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D1FC1" w14:textId="77777777" w:rsidR="000C511F" w:rsidRPr="00C66DFA" w:rsidRDefault="00C865D3" w:rsidP="000C511F">
      <w:pPr>
        <w:pStyle w:val="Header"/>
        <w:jc w:val="center"/>
        <w:rPr>
          <w:b/>
        </w:rPr>
      </w:pPr>
      <w:bookmarkStart w:id="0" w:name="_GoBack"/>
      <w:bookmarkEnd w:id="0"/>
      <w:r>
        <w:rPr>
          <w:b/>
          <w:bdr w:val="nil"/>
          <w:lang w:val="es-ES"/>
        </w:rPr>
        <w:t>Para más detalles, llame al 1-800-311-7343</w:t>
      </w:r>
    </w:p>
    <w:p w14:paraId="34182A72" w14:textId="77777777" w:rsidR="000C511F" w:rsidRPr="00C66DFA" w:rsidRDefault="00C83E14">
      <w:pPr>
        <w:jc w:val="center"/>
        <w:rPr>
          <w:b/>
        </w:rPr>
      </w:pPr>
    </w:p>
    <w:p w14:paraId="1E2130A8" w14:textId="77777777" w:rsidR="00890608" w:rsidRDefault="00C865D3" w:rsidP="00CC2E5E">
      <w:pPr>
        <w:jc w:val="center"/>
        <w:rPr>
          <w:b/>
        </w:rPr>
      </w:pPr>
      <w:r>
        <w:rPr>
          <w:b/>
          <w:bCs/>
          <w:bdr w:val="nil"/>
          <w:lang w:val="es-ES"/>
        </w:rPr>
        <w:t xml:space="preserve">NOTIFICACIÓN DE PETICIÓN DE SAN DIEGO GAS &amp; ELECTRIC COMPANY PARA AUMENTAR LAS TARIFAS </w:t>
      </w:r>
      <w:r w:rsidR="00D3597F">
        <w:rPr>
          <w:b/>
          <w:bCs/>
          <w:bdr w:val="nil"/>
          <w:lang w:val="es-ES"/>
        </w:rPr>
        <w:t>PARA</w:t>
      </w:r>
      <w:r>
        <w:rPr>
          <w:b/>
          <w:bCs/>
          <w:bdr w:val="nil"/>
          <w:lang w:val="es-ES"/>
        </w:rPr>
        <w:t xml:space="preserve"> COSTOS RELACIONADOS CON EL PROYECTO DE MITIGACIÓN MARINA DE </w:t>
      </w:r>
      <w:r w:rsidR="00D3597F">
        <w:rPr>
          <w:b/>
          <w:bCs/>
          <w:bdr w:val="nil"/>
          <w:lang w:val="es-ES"/>
        </w:rPr>
        <w:t xml:space="preserve">LA </w:t>
      </w:r>
      <w:r>
        <w:rPr>
          <w:b/>
          <w:bCs/>
          <w:bdr w:val="nil"/>
          <w:lang w:val="es-ES"/>
        </w:rPr>
        <w:t xml:space="preserve">EXPANSIÓN DEL ARRECIFE WHEELER </w:t>
      </w:r>
      <w:r w:rsidR="008F7EFF">
        <w:rPr>
          <w:b/>
          <w:bCs/>
          <w:bdr w:val="nil"/>
          <w:lang w:val="es-ES"/>
        </w:rPr>
        <w:t xml:space="preserve">NORTH </w:t>
      </w:r>
      <w:r>
        <w:rPr>
          <w:b/>
          <w:bCs/>
          <w:bdr w:val="nil"/>
          <w:lang w:val="es-ES"/>
        </w:rPr>
        <w:t>(WHEELER NORTH REEF EXPANSION MARINE MITIGATION PROJECT)</w:t>
      </w:r>
    </w:p>
    <w:p w14:paraId="7A545D51" w14:textId="77777777" w:rsidR="00472FB8" w:rsidRPr="00C66DFA" w:rsidRDefault="00D3597F" w:rsidP="00CC2E5E">
      <w:pPr>
        <w:jc w:val="center"/>
        <w:rPr>
          <w:b/>
        </w:rPr>
      </w:pPr>
      <w:r>
        <w:rPr>
          <w:b/>
          <w:bdr w:val="nil"/>
          <w:lang w:val="es-ES"/>
        </w:rPr>
        <w:t>PRESENTACIÓN DE SOLICITUD NÚM.</w:t>
      </w:r>
      <w:r w:rsidR="00C865D3">
        <w:rPr>
          <w:b/>
          <w:bdr w:val="nil"/>
          <w:lang w:val="es-ES"/>
        </w:rPr>
        <w:t xml:space="preserve"> A. 16-11-XXX</w:t>
      </w:r>
    </w:p>
    <w:p w14:paraId="118CE6C9" w14:textId="77777777" w:rsidR="00472FB8" w:rsidRPr="00C66DFA" w:rsidRDefault="00C83E14">
      <w:pPr>
        <w:jc w:val="center"/>
        <w:rPr>
          <w:b/>
        </w:rPr>
      </w:pPr>
    </w:p>
    <w:p w14:paraId="657E7852" w14:textId="77777777" w:rsidR="008B0852" w:rsidRPr="008B0852" w:rsidRDefault="00C865D3" w:rsidP="002A2A73">
      <w:pPr>
        <w:rPr>
          <w:b/>
          <w:u w:val="single"/>
        </w:rPr>
      </w:pPr>
      <w:r>
        <w:rPr>
          <w:b/>
          <w:bCs/>
          <w:u w:val="single"/>
          <w:bdr w:val="nil"/>
          <w:lang w:val="es-ES"/>
        </w:rPr>
        <w:t>RESUMEN</w:t>
      </w:r>
    </w:p>
    <w:p w14:paraId="3FDAD0AF" w14:textId="77777777" w:rsidR="002A2A73" w:rsidRDefault="00C865D3" w:rsidP="002A2A73">
      <w:r>
        <w:rPr>
          <w:bdr w:val="nil"/>
          <w:lang w:val="es-ES"/>
        </w:rPr>
        <w:t>El 1 de diciembre de 2016, San Diego Gas &amp; Electric Company (SDG&amp;E</w:t>
      </w:r>
      <w:r w:rsidRPr="00D3597F">
        <w:rPr>
          <w:bdr w:val="nil"/>
          <w:vertAlign w:val="superscript"/>
          <w:lang w:val="es-ES"/>
        </w:rPr>
        <w:t>®</w:t>
      </w:r>
      <w:r>
        <w:rPr>
          <w:bdr w:val="nil"/>
          <w:lang w:val="es-ES"/>
        </w:rPr>
        <w:t>) y Southern California Edison</w:t>
      </w:r>
      <w:r w:rsidRPr="00D3597F">
        <w:rPr>
          <w:bdr w:val="nil"/>
          <w:vertAlign w:val="superscript"/>
          <w:lang w:val="es-ES"/>
        </w:rPr>
        <w:t>®</w:t>
      </w:r>
      <w:r>
        <w:rPr>
          <w:bdr w:val="nil"/>
          <w:lang w:val="es-ES"/>
        </w:rPr>
        <w:t xml:space="preserve"> (SCE) presentaron una solicitud conjunta ante la Comisión de Servicios Públicos de California (CPUC) en la que piden autorización para aumentar las tarifas para la recuperación de </w:t>
      </w:r>
      <w:r w:rsidR="006B3B9D">
        <w:rPr>
          <w:bdr w:val="nil"/>
          <w:lang w:val="es-ES"/>
        </w:rPr>
        <w:t xml:space="preserve">los </w:t>
      </w:r>
      <w:r>
        <w:rPr>
          <w:bdr w:val="nil"/>
          <w:lang w:val="es-ES"/>
        </w:rPr>
        <w:t xml:space="preserve">costos asociados con el Proyecto de Expansión del Arrecife </w:t>
      </w:r>
      <w:proofErr w:type="spellStart"/>
      <w:r>
        <w:rPr>
          <w:bdr w:val="nil"/>
          <w:lang w:val="es-ES"/>
        </w:rPr>
        <w:t>Wheeler</w:t>
      </w:r>
      <w:proofErr w:type="spellEnd"/>
      <w:r>
        <w:rPr>
          <w:bdr w:val="nil"/>
          <w:lang w:val="es-ES"/>
        </w:rPr>
        <w:t xml:space="preserve"> </w:t>
      </w:r>
      <w:r w:rsidR="006B3B9D">
        <w:rPr>
          <w:bdr w:val="nil"/>
          <w:lang w:val="es-ES"/>
        </w:rPr>
        <w:t xml:space="preserve">North </w:t>
      </w:r>
      <w:r>
        <w:rPr>
          <w:bdr w:val="nil"/>
          <w:lang w:val="es-ES"/>
        </w:rPr>
        <w:t>(WNR).</w:t>
      </w:r>
      <w:r>
        <w:rPr>
          <w:rStyle w:val="FootnoteReference"/>
        </w:rPr>
        <w:footnoteReference w:id="1"/>
      </w:r>
      <w:r>
        <w:rPr>
          <w:bdr w:val="nil"/>
          <w:lang w:val="es-ES"/>
        </w:rPr>
        <w:t xml:space="preserve"> Esta solicitud busca recuperar los costos asociados con el Proyecto de Expansión del WNR </w:t>
      </w:r>
      <w:r w:rsidR="006B3B9D">
        <w:rPr>
          <w:bdr w:val="nil"/>
          <w:lang w:val="es-ES"/>
        </w:rPr>
        <w:t>requerido por</w:t>
      </w:r>
      <w:r>
        <w:rPr>
          <w:bdr w:val="nil"/>
          <w:lang w:val="es-ES"/>
        </w:rPr>
        <w:t xml:space="preserve"> la Comisión Costera de California (CCC). El Proyecto de Expansión del WNR no </w:t>
      </w:r>
      <w:r w:rsidR="006B3B9D">
        <w:rPr>
          <w:bdr w:val="nil"/>
          <w:lang w:val="es-ES"/>
        </w:rPr>
        <w:t>se incluyó</w:t>
      </w:r>
      <w:r>
        <w:rPr>
          <w:bdr w:val="nil"/>
          <w:lang w:val="es-ES"/>
        </w:rPr>
        <w:t xml:space="preserve"> en la solicitud de Revisión General de Tarifas (GRC) 2018 de SCE (descrita más adelante). De aprobarse, esta solicitud conjunta daría como resultado el que los clientes de SDG&amp;E experimentaran un aumento total de $7.416 millones entre 2018 y 2020.</w:t>
      </w:r>
    </w:p>
    <w:p w14:paraId="48849CD2" w14:textId="77777777" w:rsidR="002A2A73" w:rsidRDefault="00C83E14" w:rsidP="002A2A73"/>
    <w:p w14:paraId="2280F690" w14:textId="77777777" w:rsidR="002A2A73" w:rsidRDefault="00C865D3" w:rsidP="002A2A73">
      <w:pPr>
        <w:rPr>
          <w:b/>
          <w:u w:val="single"/>
        </w:rPr>
      </w:pPr>
      <w:r>
        <w:rPr>
          <w:b/>
          <w:bCs/>
          <w:u w:val="single"/>
          <w:bdr w:val="nil"/>
          <w:lang w:val="es-ES"/>
        </w:rPr>
        <w:t>ACERCA DE LA SOLICITUD</w:t>
      </w:r>
    </w:p>
    <w:p w14:paraId="487FB6B9" w14:textId="77777777" w:rsidR="002A2A73" w:rsidRDefault="00C865D3" w:rsidP="002A2A73">
      <w:r>
        <w:rPr>
          <w:bdr w:val="nil"/>
          <w:lang w:val="es-ES"/>
        </w:rPr>
        <w:t>SCE es el operador autorizado de la Estación de Generación Nuclear de San Onofre (SONGS). Como tal, SCE es responsable de mantener el cumplimiento con diversas agencias reguladoras con respecto a SONGS. SCE es responsable de presentar los costos relacionados con la SONGS en su GRC. SDG&amp;E es un copropietario minoritario y es responsable de 20% de cualesquier costos incurridos por SCE en relación con la SONGS. En la Decisión D.15-11-021 la CPUC determinó que los costos relacionados con el cumplimiento de SCE con proyectos de mitigación marina relacionados con la SONGS deberán registrarse como costo de servicio y recuperarse a trav</w:t>
      </w:r>
      <w:r w:rsidR="00403B50">
        <w:rPr>
          <w:bdr w:val="nil"/>
          <w:lang w:val="es-ES"/>
        </w:rPr>
        <w:t xml:space="preserve">és de tarifas de los clientes. </w:t>
      </w:r>
      <w:r>
        <w:rPr>
          <w:bdr w:val="nil"/>
          <w:lang w:val="es-ES"/>
        </w:rPr>
        <w:t>Esta decisión permite también que SCE y SDG&amp;E presenten una solicitud por separado para recuperar los costos por cualesquier proyectos de construcción de arrecifes adicionales no incluidos en la solicitud de GRC de SCE.</w:t>
      </w:r>
    </w:p>
    <w:p w14:paraId="6691AAD3" w14:textId="77777777" w:rsidR="002A2A73" w:rsidRDefault="00C83E14" w:rsidP="002A2A73"/>
    <w:p w14:paraId="7D5355C3" w14:textId="77777777" w:rsidR="002A2A73" w:rsidRDefault="00C865D3" w:rsidP="002A2A73">
      <w:r>
        <w:rPr>
          <w:bdr w:val="nil"/>
          <w:lang w:val="es-ES"/>
        </w:rPr>
        <w:t xml:space="preserve">La CCC </w:t>
      </w:r>
      <w:r w:rsidR="00B14B13">
        <w:rPr>
          <w:bdr w:val="nil"/>
          <w:lang w:val="es-ES"/>
        </w:rPr>
        <w:t>giró instrucciones</w:t>
      </w:r>
      <w:r>
        <w:rPr>
          <w:bdr w:val="nil"/>
          <w:lang w:val="es-ES"/>
        </w:rPr>
        <w:t xml:space="preserve"> a SCE </w:t>
      </w:r>
      <w:r w:rsidR="00B14B13">
        <w:rPr>
          <w:bdr w:val="nil"/>
          <w:lang w:val="es-ES"/>
        </w:rPr>
        <w:t xml:space="preserve">para </w:t>
      </w:r>
      <w:r>
        <w:rPr>
          <w:bdr w:val="nil"/>
          <w:lang w:val="es-ES"/>
        </w:rPr>
        <w:t xml:space="preserve">que comenzara a implementar un proyecto de expansión de arrecife para el WNR localizado cerca de la SONGS a fin de mejorar </w:t>
      </w:r>
      <w:r w:rsidR="00F16638">
        <w:rPr>
          <w:bdr w:val="nil"/>
          <w:lang w:val="es-ES"/>
        </w:rPr>
        <w:t>el desempeño de</w:t>
      </w:r>
      <w:r w:rsidR="00B14B13">
        <w:rPr>
          <w:bdr w:val="nil"/>
          <w:lang w:val="es-ES"/>
        </w:rPr>
        <w:t>l</w:t>
      </w:r>
      <w:r w:rsidR="00F16638">
        <w:rPr>
          <w:bdr w:val="nil"/>
          <w:lang w:val="es-ES"/>
        </w:rPr>
        <w:t xml:space="preserve"> arrecife. </w:t>
      </w:r>
      <w:r>
        <w:rPr>
          <w:bdr w:val="nil"/>
          <w:lang w:val="es-ES"/>
        </w:rPr>
        <w:t>Por cuestión de fechas, estos costos no pudieron incluirse en la GRC 2018 de SCE. Como resultado, SCE y SDG&amp;E están presentando esta solicitud conjunta por separado para recuperar esos costos adicionales.</w:t>
      </w:r>
    </w:p>
    <w:p w14:paraId="010E1660" w14:textId="77777777" w:rsidR="007A32FF" w:rsidRDefault="00C83E14" w:rsidP="00A40F28">
      <w:pPr>
        <w:jc w:val="both"/>
      </w:pPr>
    </w:p>
    <w:p w14:paraId="147D1028" w14:textId="77777777" w:rsidR="00291495" w:rsidRPr="009D7BC4" w:rsidRDefault="00C865D3" w:rsidP="00291495">
      <w:pPr>
        <w:pStyle w:val="BodyText"/>
        <w:jc w:val="both"/>
        <w:rPr>
          <w:b/>
          <w:szCs w:val="24"/>
          <w:u w:val="single"/>
        </w:rPr>
      </w:pPr>
      <w:r>
        <w:rPr>
          <w:b/>
          <w:bCs/>
          <w:szCs w:val="24"/>
          <w:u w:val="single"/>
          <w:bdr w:val="nil"/>
          <w:lang w:val="es-ES"/>
        </w:rPr>
        <w:t>EFECTO ILUSTRATIVO EN TARIFAS Y FACTURAS ELÉCTRICAS</w:t>
      </w:r>
    </w:p>
    <w:p w14:paraId="1CE1999D" w14:textId="77777777" w:rsidR="000B25F5" w:rsidRPr="00C66DFA" w:rsidRDefault="00C865D3" w:rsidP="00291495">
      <w:r>
        <w:rPr>
          <w:bdr w:val="nil"/>
          <w:lang w:val="es-ES"/>
        </w:rPr>
        <w:t>Los siguientes cuadros representan el impacto estimado en las tarifas por grupo de clientes, en caso de que l</w:t>
      </w:r>
      <w:r w:rsidR="00F16638">
        <w:rPr>
          <w:bdr w:val="nil"/>
          <w:lang w:val="es-ES"/>
        </w:rPr>
        <w:t xml:space="preserve">a CPUC apruebe esta solicitud. </w:t>
      </w:r>
      <w:r>
        <w:rPr>
          <w:bdr w:val="nil"/>
          <w:lang w:val="es-ES"/>
        </w:rPr>
        <w:t xml:space="preserve">Con base en los pronósticos sobre requisitos de ingresos para 2017, 2018, 2019 y 2020, las tarifas de los clientes aumentarán en 2018, 2019 y 2020. Si la CPUC aprueba la petición de SDG&amp;E, los clientes experimentarán un </w:t>
      </w:r>
      <w:r w:rsidRPr="00B14B13">
        <w:rPr>
          <w:b/>
          <w:u w:val="single"/>
          <w:bdr w:val="nil"/>
          <w:lang w:val="es-ES"/>
        </w:rPr>
        <w:t>aumento</w:t>
      </w:r>
      <w:r w:rsidRPr="00B14B13">
        <w:rPr>
          <w:b/>
          <w:bdr w:val="nil"/>
          <w:lang w:val="es-ES"/>
        </w:rPr>
        <w:t xml:space="preserve"> estimado</w:t>
      </w:r>
      <w:r>
        <w:rPr>
          <w:b/>
          <w:bCs/>
          <w:bdr w:val="nil"/>
          <w:lang w:val="es-ES"/>
        </w:rPr>
        <w:t xml:space="preserve"> en la tarifa promedio del sistema de 0.01% para </w:t>
      </w:r>
      <w:r>
        <w:rPr>
          <w:b/>
          <w:bCs/>
          <w:bdr w:val="nil"/>
          <w:lang w:val="es-ES"/>
        </w:rPr>
        <w:lastRenderedPageBreak/>
        <w:t xml:space="preserve">2018 en comparación con las tarifas actuales, </w:t>
      </w:r>
      <w:r>
        <w:rPr>
          <w:bdr w:val="nil"/>
          <w:lang w:val="es-ES"/>
        </w:rPr>
        <w:t xml:space="preserve">un </w:t>
      </w:r>
      <w:r w:rsidRPr="00B14B13">
        <w:rPr>
          <w:b/>
          <w:bdr w:val="nil"/>
          <w:lang w:val="es-ES"/>
        </w:rPr>
        <w:t xml:space="preserve">aumento estimado en la tarifa promedio del sistema de </w:t>
      </w:r>
      <w:r>
        <w:rPr>
          <w:b/>
          <w:bCs/>
          <w:bdr w:val="nil"/>
          <w:lang w:val="es-ES"/>
        </w:rPr>
        <w:t xml:space="preserve">0.10% para 2019 </w:t>
      </w:r>
      <w:r>
        <w:rPr>
          <w:bdr w:val="nil"/>
          <w:lang w:val="es-ES"/>
        </w:rPr>
        <w:t>en comparación con las tarifas actuales</w:t>
      </w:r>
      <w:r>
        <w:rPr>
          <w:b/>
          <w:bCs/>
          <w:bdr w:val="nil"/>
          <w:lang w:val="es-ES"/>
        </w:rPr>
        <w:t xml:space="preserve">, </w:t>
      </w:r>
      <w:r>
        <w:rPr>
          <w:bdr w:val="nil"/>
          <w:lang w:val="es-ES"/>
        </w:rPr>
        <w:t>y</w:t>
      </w:r>
      <w:r>
        <w:rPr>
          <w:b/>
          <w:bCs/>
          <w:bdr w:val="nil"/>
          <w:lang w:val="es-ES"/>
        </w:rPr>
        <w:t xml:space="preserve"> </w:t>
      </w:r>
      <w:r>
        <w:rPr>
          <w:bdr w:val="nil"/>
          <w:lang w:val="es-ES"/>
        </w:rPr>
        <w:t xml:space="preserve">un </w:t>
      </w:r>
      <w:r w:rsidRPr="00B14B13">
        <w:rPr>
          <w:b/>
          <w:bdr w:val="nil"/>
          <w:lang w:val="es-ES"/>
        </w:rPr>
        <w:t>aumento estimado en la tarifa promedio del sistema de</w:t>
      </w:r>
      <w:r>
        <w:rPr>
          <w:bdr w:val="nil"/>
          <w:lang w:val="es-ES"/>
        </w:rPr>
        <w:t xml:space="preserve"> </w:t>
      </w:r>
      <w:r>
        <w:rPr>
          <w:b/>
          <w:bCs/>
          <w:bdr w:val="nil"/>
          <w:lang w:val="es-ES"/>
        </w:rPr>
        <w:t>0.11% para 2020</w:t>
      </w:r>
      <w:r>
        <w:rPr>
          <w:bdr w:val="nil"/>
          <w:lang w:val="es-ES"/>
        </w:rPr>
        <w:t xml:space="preserve"> en comparación con las tarifas actuales. Si la CPUC aprueba esta solicitud, un cliente residencial típico que no participe en CARE, viva en la zona climática del interior y consuma un promedio de 500 kilovatios-hora al mes podría ver un incremento en la factura mensual de invierno de 0.01%, o $0.01, de una factura mensual típica actual de $111.54 a $111.55 para 2018, un aumento de 0.09%, o $0.10, de una tarifa mensual típica actual de $111.54 a $111.64 para 2019 y un incremento de 0.09%, o $0.10, de una factura mensual típica actual de $111.54 a $111.64 para 2020.</w:t>
      </w:r>
    </w:p>
    <w:p w14:paraId="15CEDB2A" w14:textId="77777777" w:rsidR="000B25F5" w:rsidRPr="00C66DFA" w:rsidRDefault="00C83E14" w:rsidP="00A40F28">
      <w:pPr>
        <w:pStyle w:val="BodyText"/>
        <w:jc w:val="both"/>
        <w:rPr>
          <w:szCs w:val="24"/>
        </w:rPr>
      </w:pPr>
    </w:p>
    <w:p w14:paraId="3BBAA227" w14:textId="77777777" w:rsidR="0096745E" w:rsidRDefault="00C865D3" w:rsidP="00890608">
      <w:pPr>
        <w:pStyle w:val="BodyText"/>
        <w:jc w:val="both"/>
        <w:rPr>
          <w:szCs w:val="24"/>
        </w:rPr>
      </w:pPr>
      <w:r>
        <w:rPr>
          <w:szCs w:val="24"/>
          <w:bdr w:val="nil"/>
          <w:lang w:val="es-ES"/>
        </w:rPr>
        <w:t>Los porcentajes mostrados no necesariamente reflejan los cambios que puede ver en su factura. Los cambios en las facturas individuales dependerán también de cuánta electricidad consuma cada cliente.</w:t>
      </w:r>
    </w:p>
    <w:p w14:paraId="01EB83BB" w14:textId="77777777" w:rsidR="00890608" w:rsidRPr="00C66DFA" w:rsidRDefault="00C83E14" w:rsidP="00627F37">
      <w:pPr>
        <w:pStyle w:val="BodyText"/>
        <w:rPr>
          <w:szCs w:val="24"/>
        </w:rPr>
      </w:pPr>
    </w:p>
    <w:p w14:paraId="432958BA" w14:textId="77777777" w:rsidR="00C23C89" w:rsidRPr="00C66DFA" w:rsidRDefault="00C865D3" w:rsidP="0031191A">
      <w:pPr>
        <w:pStyle w:val="BodyText"/>
        <w:jc w:val="center"/>
        <w:rPr>
          <w:b/>
          <w:szCs w:val="24"/>
        </w:rPr>
      </w:pPr>
      <w:r>
        <w:rPr>
          <w:b/>
          <w:bCs/>
          <w:szCs w:val="24"/>
          <w:bdr w:val="nil"/>
          <w:lang w:val="es-ES"/>
        </w:rPr>
        <w:t xml:space="preserve">AUMENTO ILUSTRATIVO EN LA TARIFA ELÉCTRICA COMBINADA </w:t>
      </w:r>
      <w:r w:rsidR="00F82C6B">
        <w:rPr>
          <w:b/>
          <w:bCs/>
          <w:szCs w:val="24"/>
          <w:bdr w:val="nil"/>
          <w:lang w:val="es-ES"/>
        </w:rPr>
        <w:br/>
      </w:r>
      <w:r>
        <w:rPr>
          <w:b/>
          <w:bCs/>
          <w:szCs w:val="24"/>
          <w:bdr w:val="nil"/>
          <w:lang w:val="es-ES"/>
        </w:rPr>
        <w:t>DE SAN DIEGO GAS &amp; ELECTRIC COMPANY</w:t>
      </w:r>
    </w:p>
    <w:p w14:paraId="243DAF77" w14:textId="77777777" w:rsidR="00A23FBC" w:rsidRDefault="00C865D3" w:rsidP="0031191A">
      <w:pPr>
        <w:pStyle w:val="BodyText"/>
        <w:jc w:val="center"/>
        <w:rPr>
          <w:b/>
          <w:szCs w:val="24"/>
        </w:rPr>
      </w:pPr>
      <w:r>
        <w:rPr>
          <w:b/>
          <w:bCs/>
          <w:szCs w:val="24"/>
          <w:bdr w:val="nil"/>
          <w:lang w:val="es-ES"/>
        </w:rPr>
        <w:t>(LAS TARIFAS TOTALES INCLUYEN UDC</w:t>
      </w:r>
      <w:r>
        <w:rPr>
          <w:b/>
          <w:bCs/>
          <w:szCs w:val="24"/>
          <w:bdr w:val="nil"/>
          <w:vertAlign w:val="superscript"/>
          <w:lang w:val="es-ES"/>
        </w:rPr>
        <w:t>1</w:t>
      </w:r>
      <w:r>
        <w:rPr>
          <w:b/>
          <w:bCs/>
          <w:szCs w:val="24"/>
          <w:bdr w:val="nil"/>
          <w:lang w:val="es-ES"/>
        </w:rPr>
        <w:t xml:space="preserve"> Y COMO PRODUCTO BÁSICO</w:t>
      </w:r>
      <w:r>
        <w:rPr>
          <w:b/>
          <w:bCs/>
          <w:szCs w:val="24"/>
          <w:bdr w:val="nil"/>
          <w:vertAlign w:val="superscript"/>
          <w:lang w:val="es-ES"/>
        </w:rPr>
        <w:t>2</w:t>
      </w:r>
      <w:r>
        <w:rPr>
          <w:b/>
          <w:bCs/>
          <w:szCs w:val="24"/>
          <w:bdr w:val="nil"/>
          <w:lang w:val="es-ES"/>
        </w:rPr>
        <w:t>)</w:t>
      </w:r>
    </w:p>
    <w:p w14:paraId="6D81352E" w14:textId="77777777" w:rsidR="00526170" w:rsidRPr="00C66DFA" w:rsidRDefault="00C865D3" w:rsidP="0031191A">
      <w:pPr>
        <w:pStyle w:val="BodyText"/>
        <w:jc w:val="center"/>
        <w:rPr>
          <w:b/>
          <w:szCs w:val="24"/>
        </w:rPr>
      </w:pPr>
      <w:r>
        <w:rPr>
          <w:b/>
          <w:bCs/>
          <w:szCs w:val="24"/>
          <w:bdr w:val="nil"/>
          <w:lang w:val="es-ES"/>
        </w:rPr>
        <w:t>2018</w:t>
      </w:r>
    </w:p>
    <w:p w14:paraId="10E21475" w14:textId="77777777" w:rsidR="004F103A" w:rsidRPr="00C66DFA" w:rsidRDefault="00C83E14" w:rsidP="00A40F28">
      <w:pPr>
        <w:pStyle w:val="BodyText"/>
        <w:jc w:val="center"/>
        <w:rPr>
          <w:b/>
          <w:szCs w:val="24"/>
        </w:rPr>
      </w:pPr>
    </w:p>
    <w:tbl>
      <w:tblPr>
        <w:tblW w:w="9765" w:type="dxa"/>
        <w:jc w:val="center"/>
        <w:tblLayout w:type="fixed"/>
        <w:tblLook w:val="0000" w:firstRow="0" w:lastRow="0" w:firstColumn="0" w:lastColumn="0" w:noHBand="0" w:noVBand="0"/>
      </w:tblPr>
      <w:tblGrid>
        <w:gridCol w:w="239"/>
        <w:gridCol w:w="270"/>
        <w:gridCol w:w="1550"/>
        <w:gridCol w:w="270"/>
        <w:gridCol w:w="1634"/>
        <w:gridCol w:w="236"/>
        <w:gridCol w:w="270"/>
        <w:gridCol w:w="236"/>
        <w:gridCol w:w="1437"/>
        <w:gridCol w:w="236"/>
        <w:gridCol w:w="236"/>
        <w:gridCol w:w="236"/>
        <w:gridCol w:w="952"/>
        <w:gridCol w:w="236"/>
        <w:gridCol w:w="564"/>
        <w:gridCol w:w="906"/>
        <w:gridCol w:w="257"/>
      </w:tblGrid>
      <w:tr w:rsidR="00842251" w14:paraId="5C525074" w14:textId="77777777" w:rsidTr="004F29DA">
        <w:trPr>
          <w:trHeight w:val="324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3791F6" w14:textId="77777777" w:rsidR="00A23FBC" w:rsidRPr="00C66DFA" w:rsidRDefault="00C83E14" w:rsidP="004F103A">
            <w:pPr>
              <w:rPr>
                <w:b/>
                <w:bCs/>
              </w:rPr>
            </w:pPr>
          </w:p>
          <w:p w14:paraId="0AE772D2" w14:textId="77777777" w:rsidR="00D25660" w:rsidRPr="00C66DFA" w:rsidRDefault="00C865D3" w:rsidP="00763C92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bdr w:val="nil"/>
                <w:lang w:val="es-ES"/>
              </w:rPr>
              <w:t>Clase de cliente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C9DB4" w14:textId="77777777" w:rsidR="00D25660" w:rsidRPr="00C66DFA" w:rsidRDefault="00C83E14" w:rsidP="00334609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AB042C" w14:textId="77777777" w:rsidR="00D25660" w:rsidRPr="00C66DFA" w:rsidRDefault="00C865D3" w:rsidP="005D2E59">
            <w:pPr>
              <w:jc w:val="center"/>
            </w:pPr>
            <w:r>
              <w:rPr>
                <w:b/>
                <w:bdr w:val="nil"/>
                <w:lang w:val="es-ES"/>
              </w:rPr>
              <w:t xml:space="preserve"> Tarifas promedio por clase en vigor el 08/01/16</w:t>
            </w:r>
            <w:r w:rsidRPr="005D2E59">
              <w:rPr>
                <w:b/>
                <w:bdr w:val="nil"/>
                <w:vertAlign w:val="superscript"/>
                <w:lang w:val="es-ES"/>
              </w:rPr>
              <w:t>3</w:t>
            </w:r>
            <w:r>
              <w:rPr>
                <w:b/>
                <w:bdr w:val="nil"/>
                <w:lang w:val="es-ES"/>
              </w:rPr>
              <w:t xml:space="preserve"> (¢/</w:t>
            </w:r>
            <w:proofErr w:type="spellStart"/>
            <w:r>
              <w:rPr>
                <w:b/>
                <w:bdr w:val="nil"/>
                <w:lang w:val="es-ES"/>
              </w:rPr>
              <w:t>kWh</w:t>
            </w:r>
            <w:proofErr w:type="spellEnd"/>
            <w:r>
              <w:rPr>
                <w:b/>
                <w:bdr w:val="nil"/>
                <w:lang w:val="es-ES"/>
              </w:rPr>
              <w:t xml:space="preserve">)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BB02C" w14:textId="77777777" w:rsidR="00D25660" w:rsidRPr="00C66DFA" w:rsidRDefault="00C83E14" w:rsidP="00763C92">
            <w:pPr>
              <w:jc w:val="center"/>
              <w:rPr>
                <w:b/>
                <w:bCs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27DEC" w14:textId="77777777" w:rsidR="00F95C16" w:rsidRDefault="00C865D3" w:rsidP="0038595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Tarifas promedio por clase que reflejan el aumento propuesto en los ingresos por Solicitud (2018)</w:t>
            </w:r>
          </w:p>
          <w:p w14:paraId="1A159CD4" w14:textId="77777777" w:rsidR="00D25660" w:rsidRPr="00C66DFA" w:rsidRDefault="00C865D3" w:rsidP="0038595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(¢/kWh)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14:paraId="4A2E3F8A" w14:textId="77777777" w:rsidR="00D25660" w:rsidRPr="00C66DFA" w:rsidRDefault="00C83E14" w:rsidP="00763C92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878C2" w14:textId="77777777" w:rsidR="00D25660" w:rsidRPr="00C66DFA" w:rsidRDefault="00C83E14" w:rsidP="00A40F28">
            <w:pPr>
              <w:jc w:val="center"/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4D8C55" w14:textId="77777777" w:rsidR="00D25660" w:rsidRPr="00C66DFA" w:rsidRDefault="00C865D3" w:rsidP="00763C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Aumento total en la tarifa (¢/kWh)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D7B68" w14:textId="77777777" w:rsidR="00D25660" w:rsidRPr="00C66DFA" w:rsidRDefault="00C83E14" w:rsidP="00A40F28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443F84" w14:textId="77777777" w:rsidR="00D25660" w:rsidRPr="00C66DFA" w:rsidRDefault="00C865D3" w:rsidP="00C819C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Aumento porcentual en la tarifa (%)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</w:tcPr>
          <w:p w14:paraId="2D4572D0" w14:textId="77777777" w:rsidR="00D25660" w:rsidRPr="00C66DFA" w:rsidRDefault="00C83E14" w:rsidP="00334609">
            <w:pPr>
              <w:jc w:val="center"/>
              <w:rPr>
                <w:b/>
                <w:bCs/>
              </w:rPr>
            </w:pPr>
          </w:p>
        </w:tc>
      </w:tr>
      <w:tr w:rsidR="00842251" w14:paraId="33707954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56980" w14:textId="77777777" w:rsidR="00785970" w:rsidRPr="00C66DFA" w:rsidRDefault="00C865D3" w:rsidP="00334609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Residencial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D3AE6" w14:textId="77777777" w:rsidR="00785970" w:rsidRPr="00C66DFA" w:rsidRDefault="00C83E14" w:rsidP="00334609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97CDE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22.644 </w:t>
            </w:r>
          </w:p>
          <w:p w14:paraId="41583F65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84CAFF" w14:textId="77777777" w:rsidR="00785970" w:rsidRPr="00C66DFA" w:rsidRDefault="00C83E14" w:rsidP="00334609"/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C9984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22.646 </w:t>
            </w:r>
          </w:p>
          <w:p w14:paraId="774A209C" w14:textId="77777777" w:rsidR="00785970" w:rsidRPr="00C66DFA" w:rsidRDefault="00C83E14" w:rsidP="00E90598">
            <w:pPr>
              <w:jc w:val="center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D201B2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801C7" w14:textId="77777777" w:rsidR="00785970" w:rsidRPr="00C66DFA" w:rsidRDefault="00C83E14" w:rsidP="00334609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8E95E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0.002 </w:t>
            </w:r>
          </w:p>
          <w:p w14:paraId="596D65DB" w14:textId="77777777" w:rsidR="00785970" w:rsidRPr="00C66DFA" w:rsidRDefault="00C83E14" w:rsidP="00E90598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E970EE" w14:textId="77777777" w:rsidR="00785970" w:rsidRPr="00C66DFA" w:rsidRDefault="00C83E14" w:rsidP="00334609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9E3A4C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0.01%</w:t>
            </w:r>
          </w:p>
          <w:p w14:paraId="432F354C" w14:textId="77777777" w:rsidR="00785970" w:rsidRPr="00C66DFA" w:rsidRDefault="00C83E14" w:rsidP="00950295">
            <w:pPr>
              <w:jc w:val="center"/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</w:tcPr>
          <w:p w14:paraId="051C8D96" w14:textId="77777777" w:rsidR="00785970" w:rsidRPr="00C66DFA" w:rsidRDefault="00C83E14" w:rsidP="00334609">
            <w:pPr>
              <w:jc w:val="center"/>
            </w:pPr>
          </w:p>
        </w:tc>
      </w:tr>
      <w:tr w:rsidR="00842251" w14:paraId="20867041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B4A14" w14:textId="77777777" w:rsidR="00785970" w:rsidRPr="00C66DFA" w:rsidRDefault="00C865D3" w:rsidP="00334609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 xml:space="preserve">Comercial pequeño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85D4CE" w14:textId="77777777" w:rsidR="00785970" w:rsidRPr="00C66DFA" w:rsidRDefault="00C83E14" w:rsidP="00334609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1C045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22.511 </w:t>
            </w:r>
          </w:p>
          <w:p w14:paraId="4B7A0450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44476" w14:textId="77777777" w:rsidR="00785970" w:rsidRPr="00C66DFA" w:rsidRDefault="00C83E14" w:rsidP="00334609"/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C31CB5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22.513 </w:t>
            </w:r>
          </w:p>
          <w:p w14:paraId="593154A6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938BF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2EC6D" w14:textId="77777777" w:rsidR="00785970" w:rsidRPr="00C66DFA" w:rsidRDefault="00C83E14" w:rsidP="00334609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4E0CD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0.002 </w:t>
            </w:r>
          </w:p>
          <w:p w14:paraId="3C70CBB9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45B56" w14:textId="77777777" w:rsidR="00785970" w:rsidRPr="00C66DFA" w:rsidRDefault="00C83E14" w:rsidP="00334609"/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0D7FF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0.01%</w:t>
            </w:r>
          </w:p>
          <w:p w14:paraId="171B1EBE" w14:textId="77777777" w:rsidR="00785970" w:rsidRPr="00C66DFA" w:rsidRDefault="00C83E14" w:rsidP="00950295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06770EFB" w14:textId="77777777" w:rsidR="00785970" w:rsidRPr="00C66DFA" w:rsidRDefault="00C83E14" w:rsidP="00334609">
            <w:pPr>
              <w:jc w:val="center"/>
            </w:pPr>
          </w:p>
        </w:tc>
      </w:tr>
      <w:tr w:rsidR="00842251" w14:paraId="0245C63C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8D2283" w14:textId="77777777" w:rsidR="00785970" w:rsidRPr="00C66DFA" w:rsidRDefault="00C865D3" w:rsidP="00356776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CeI mediano y grande</w:t>
            </w:r>
            <w:r>
              <w:rPr>
                <w:b/>
                <w:bCs/>
                <w:bdr w:val="nil"/>
                <w:vertAlign w:val="superscript"/>
                <w:lang w:val="es-ES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1DE93" w14:textId="77777777" w:rsidR="00785970" w:rsidRPr="00C66DFA" w:rsidRDefault="00C83E14" w:rsidP="00334609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45EDB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18.749 </w:t>
            </w:r>
          </w:p>
          <w:p w14:paraId="1367CCE8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C8F7D" w14:textId="77777777" w:rsidR="00785970" w:rsidRPr="00C66DFA" w:rsidRDefault="00C83E14" w:rsidP="00334609"/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897286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18.751 </w:t>
            </w:r>
          </w:p>
          <w:p w14:paraId="6BFB366D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3D2D5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C0A1F" w14:textId="77777777" w:rsidR="00785970" w:rsidRPr="00C66DFA" w:rsidRDefault="00C83E14" w:rsidP="00334609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D31D0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0.002 </w:t>
            </w:r>
          </w:p>
          <w:p w14:paraId="5AACB747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FFF9E8" w14:textId="77777777" w:rsidR="00785970" w:rsidRPr="00C66DFA" w:rsidRDefault="00C83E14" w:rsidP="00334609"/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230E54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0.01%</w:t>
            </w:r>
          </w:p>
          <w:p w14:paraId="34E96636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7902FA35" w14:textId="77777777" w:rsidR="00785970" w:rsidRPr="00C66DFA" w:rsidRDefault="00C83E14" w:rsidP="00334609">
            <w:pPr>
              <w:jc w:val="center"/>
            </w:pPr>
          </w:p>
        </w:tc>
      </w:tr>
      <w:tr w:rsidR="00842251" w14:paraId="22C7A518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28C64" w14:textId="77777777" w:rsidR="00785970" w:rsidRPr="00C66DFA" w:rsidRDefault="00C865D3" w:rsidP="00334609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Agrícola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0B2B2" w14:textId="77777777" w:rsidR="00785970" w:rsidRPr="00C66DFA" w:rsidRDefault="00C83E14" w:rsidP="00334609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42363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16.544 </w:t>
            </w:r>
          </w:p>
          <w:p w14:paraId="26BE8D2B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A7C5D" w14:textId="77777777" w:rsidR="00785970" w:rsidRPr="00C66DFA" w:rsidRDefault="00C83E14" w:rsidP="00334609"/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20282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16.546 </w:t>
            </w:r>
          </w:p>
          <w:p w14:paraId="42E6FF7B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3EBC0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7E4F6" w14:textId="77777777" w:rsidR="00785970" w:rsidRPr="00C66DFA" w:rsidRDefault="00C83E14" w:rsidP="00334609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7A4C2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0.002 </w:t>
            </w:r>
          </w:p>
          <w:p w14:paraId="55F875D3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D0734" w14:textId="77777777" w:rsidR="00785970" w:rsidRPr="00C66DFA" w:rsidRDefault="00C83E14" w:rsidP="00334609"/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9A30C7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0.01%</w:t>
            </w:r>
          </w:p>
          <w:p w14:paraId="694E28CB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767FE02A" w14:textId="77777777" w:rsidR="00785970" w:rsidRPr="00C66DFA" w:rsidRDefault="00C83E14" w:rsidP="00334609">
            <w:pPr>
              <w:jc w:val="center"/>
            </w:pPr>
          </w:p>
        </w:tc>
      </w:tr>
      <w:tr w:rsidR="00842251" w14:paraId="05D76EA8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54AAE" w14:textId="77777777" w:rsidR="00785970" w:rsidRPr="00C66DFA" w:rsidRDefault="00C865D3" w:rsidP="00334609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Iluminación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EE18F" w14:textId="77777777" w:rsidR="00785970" w:rsidRPr="00C66DFA" w:rsidRDefault="00C83E14" w:rsidP="00334609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FF774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18.778 </w:t>
            </w:r>
          </w:p>
          <w:p w14:paraId="6844E213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1D0F0" w14:textId="77777777" w:rsidR="00785970" w:rsidRPr="00C66DFA" w:rsidRDefault="00C83E14" w:rsidP="00334609"/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95F75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18.780 </w:t>
            </w:r>
          </w:p>
          <w:p w14:paraId="7D2FBDED" w14:textId="77777777" w:rsidR="00785970" w:rsidRPr="00C66DFA" w:rsidRDefault="00C83E14" w:rsidP="0055214A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636AB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C047B" w14:textId="77777777" w:rsidR="00785970" w:rsidRPr="00C66DFA" w:rsidRDefault="00C83E14" w:rsidP="00334609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4ABAB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0.002 </w:t>
            </w:r>
          </w:p>
          <w:p w14:paraId="123A6F74" w14:textId="77777777" w:rsidR="00785970" w:rsidRPr="00C66DFA" w:rsidRDefault="00C83E14" w:rsidP="0055214A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D26EAF" w14:textId="77777777" w:rsidR="00785970" w:rsidRPr="00C66DFA" w:rsidRDefault="00C83E14" w:rsidP="00334609"/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ED1C99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0.01%</w:t>
            </w:r>
          </w:p>
          <w:p w14:paraId="706ED812" w14:textId="77777777" w:rsidR="00785970" w:rsidRPr="00C66DFA" w:rsidRDefault="00C83E14" w:rsidP="0055214A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6764171C" w14:textId="77777777" w:rsidR="00785970" w:rsidRPr="00C66DFA" w:rsidRDefault="00C83E14" w:rsidP="00334609">
            <w:pPr>
              <w:jc w:val="center"/>
            </w:pPr>
          </w:p>
        </w:tc>
      </w:tr>
      <w:tr w:rsidR="00842251" w14:paraId="63D8785A" w14:textId="77777777" w:rsidTr="001C721E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CE292" w14:textId="77777777" w:rsidR="00785970" w:rsidRPr="00C66DFA" w:rsidRDefault="00C865D3" w:rsidP="00334609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Total del sistema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4CD614" w14:textId="77777777" w:rsidR="00785970" w:rsidRPr="00C66DFA" w:rsidRDefault="00C83E14" w:rsidP="00334609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D8B58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20.524 </w:t>
            </w:r>
          </w:p>
          <w:p w14:paraId="5D976CC8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52F3E" w14:textId="77777777" w:rsidR="00785970" w:rsidRPr="00C66DFA" w:rsidRDefault="00C83E14" w:rsidP="00334609"/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2174B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20.526 </w:t>
            </w:r>
          </w:p>
          <w:p w14:paraId="322473CF" w14:textId="77777777" w:rsidR="00785970" w:rsidRPr="00C66DFA" w:rsidRDefault="00C83E14" w:rsidP="00E90598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BA4B1" w14:textId="77777777" w:rsidR="00785970" w:rsidRPr="00C66DFA" w:rsidRDefault="00C83E14" w:rsidP="00334609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9E1A3" w14:textId="77777777" w:rsidR="00785970" w:rsidRPr="00C66DFA" w:rsidRDefault="00C83E14" w:rsidP="00334609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1DAB2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0.002 </w:t>
            </w:r>
          </w:p>
          <w:p w14:paraId="302FA626" w14:textId="77777777" w:rsidR="00785970" w:rsidRPr="00C66DFA" w:rsidRDefault="00C83E14" w:rsidP="00E90598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05BE39" w14:textId="77777777" w:rsidR="00785970" w:rsidRPr="00C66DFA" w:rsidRDefault="00C83E14" w:rsidP="00334609"/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F4FF3" w14:textId="77777777" w:rsidR="00CE2217" w:rsidRDefault="00C865D3" w:rsidP="00CE2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0.01%</w:t>
            </w:r>
          </w:p>
          <w:p w14:paraId="058ADC72" w14:textId="77777777" w:rsidR="00785970" w:rsidRPr="00C66DFA" w:rsidRDefault="00C83E14" w:rsidP="00950295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3B37B99C" w14:textId="77777777" w:rsidR="00785970" w:rsidRPr="00C66DFA" w:rsidRDefault="00C83E14" w:rsidP="00770DCD">
            <w:pPr>
              <w:jc w:val="center"/>
            </w:pPr>
          </w:p>
        </w:tc>
      </w:tr>
      <w:tr w:rsidR="00842251" w14:paraId="1B49A0D5" w14:textId="77777777" w:rsidTr="00A40F28">
        <w:trPr>
          <w:gridAfter w:val="16"/>
          <w:wAfter w:w="9526" w:type="dxa"/>
          <w:trHeight w:val="198"/>
          <w:jc w:val="center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28DF701" w14:textId="77777777" w:rsidR="00D25660" w:rsidRPr="00C66DFA" w:rsidRDefault="00C83E14" w:rsidP="00334609">
            <w:pPr>
              <w:jc w:val="center"/>
              <w:rPr>
                <w:b/>
                <w:caps/>
              </w:rPr>
            </w:pPr>
          </w:p>
        </w:tc>
      </w:tr>
      <w:tr w:rsidR="00842251" w14:paraId="1FBF0176" w14:textId="77777777" w:rsidTr="004F29DA">
        <w:trPr>
          <w:trHeight w:val="198"/>
          <w:jc w:val="center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2ABB916" w14:textId="77777777" w:rsidR="004F103A" w:rsidRPr="00C66DFA" w:rsidRDefault="00C83E14" w:rsidP="00A40F28">
            <w:pPr>
              <w:jc w:val="center"/>
              <w:rPr>
                <w:b/>
                <w:cap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0E86A31" w14:textId="77777777" w:rsidR="00A23FBC" w:rsidRPr="00C66DFA" w:rsidRDefault="00C83E14" w:rsidP="00A66869">
            <w:pPr>
              <w:rPr>
                <w:highlight w:val="yellow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EB48A" w14:textId="77777777" w:rsidR="00A23FBC" w:rsidRPr="00C66DFA" w:rsidRDefault="00C83E14" w:rsidP="00A66869">
            <w:pPr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A0EAB3" w14:textId="77777777" w:rsidR="00A23FBC" w:rsidRPr="00C66DFA" w:rsidRDefault="00C83E14" w:rsidP="00A66869">
            <w:pPr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8A354" w14:textId="77777777" w:rsidR="00A23FBC" w:rsidRPr="00C66DFA" w:rsidRDefault="00C83E14" w:rsidP="00A66869">
            <w:pPr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267EA03D" w14:textId="77777777" w:rsidR="00A23FBC" w:rsidRPr="00C66DFA" w:rsidRDefault="00C83E14" w:rsidP="00A66869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D60C04" w14:textId="77777777" w:rsidR="00A23FBC" w:rsidRPr="00C66DFA" w:rsidRDefault="00C83E14" w:rsidP="00A66869"/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7D6B6" w14:textId="77777777" w:rsidR="00A23FBC" w:rsidRPr="00C66DFA" w:rsidRDefault="00C83E14" w:rsidP="00A66869">
            <w:pPr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14D51E" w14:textId="77777777" w:rsidR="00A23FBC" w:rsidRPr="00C66DFA" w:rsidRDefault="00C83E14" w:rsidP="00A66869"/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0A0F0" w14:textId="77777777" w:rsidR="00A23FBC" w:rsidRPr="00C66DFA" w:rsidRDefault="00C83E14" w:rsidP="00A66869">
            <w:pPr>
              <w:jc w:val="center"/>
              <w:rPr>
                <w:b/>
                <w:bCs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right w:val="nil"/>
            </w:tcBorders>
          </w:tcPr>
          <w:p w14:paraId="006AE425" w14:textId="77777777" w:rsidR="00A23FBC" w:rsidRPr="00C66DFA" w:rsidRDefault="00C83E14" w:rsidP="00A66869">
            <w:pPr>
              <w:jc w:val="center"/>
              <w:rPr>
                <w:b/>
                <w:bCs/>
              </w:rPr>
            </w:pPr>
          </w:p>
        </w:tc>
      </w:tr>
    </w:tbl>
    <w:p w14:paraId="7DA7D12C" w14:textId="77777777" w:rsidR="001663E1" w:rsidRDefault="001663E1" w:rsidP="00B13855">
      <w:pPr>
        <w:pStyle w:val="BodyText"/>
        <w:jc w:val="center"/>
        <w:rPr>
          <w:b/>
          <w:szCs w:val="24"/>
        </w:rPr>
      </w:pPr>
    </w:p>
    <w:p w14:paraId="2A10915D" w14:textId="77777777" w:rsidR="001663E1" w:rsidRDefault="001663E1">
      <w:pPr>
        <w:rPr>
          <w:b/>
        </w:rPr>
      </w:pPr>
      <w:r>
        <w:rPr>
          <w:b/>
        </w:rPr>
        <w:br w:type="page"/>
      </w:r>
    </w:p>
    <w:p w14:paraId="58A56F21" w14:textId="77777777" w:rsidR="004F29DA" w:rsidRDefault="00C83E14" w:rsidP="00B13855">
      <w:pPr>
        <w:pStyle w:val="BodyText"/>
        <w:jc w:val="center"/>
        <w:rPr>
          <w:b/>
          <w:szCs w:val="24"/>
        </w:rPr>
      </w:pPr>
    </w:p>
    <w:p w14:paraId="5DA536BA" w14:textId="77777777" w:rsidR="0056727B" w:rsidRPr="00C66DFA" w:rsidRDefault="00C865D3" w:rsidP="0056727B">
      <w:pPr>
        <w:pStyle w:val="BodyText"/>
        <w:jc w:val="center"/>
        <w:rPr>
          <w:b/>
          <w:szCs w:val="24"/>
        </w:rPr>
      </w:pPr>
      <w:r>
        <w:rPr>
          <w:b/>
          <w:bCs/>
          <w:szCs w:val="24"/>
          <w:bdr w:val="nil"/>
          <w:lang w:val="es-ES"/>
        </w:rPr>
        <w:t xml:space="preserve">AUMENTO ILUSTRATIVO EN LA TARIFA ELÉCTRICA COMBINADA </w:t>
      </w:r>
      <w:r w:rsidR="001663E1">
        <w:rPr>
          <w:b/>
          <w:bCs/>
          <w:szCs w:val="24"/>
          <w:bdr w:val="nil"/>
          <w:lang w:val="es-ES"/>
        </w:rPr>
        <w:br/>
      </w:r>
      <w:r>
        <w:rPr>
          <w:b/>
          <w:bCs/>
          <w:szCs w:val="24"/>
          <w:bdr w:val="nil"/>
          <w:lang w:val="es-ES"/>
        </w:rPr>
        <w:t>DE SAN DIEGO GAS &amp; ELECTRIC COMPANY</w:t>
      </w:r>
    </w:p>
    <w:p w14:paraId="2631736F" w14:textId="77777777" w:rsidR="0056727B" w:rsidRDefault="00C865D3" w:rsidP="0056727B">
      <w:pPr>
        <w:pStyle w:val="BodyText"/>
        <w:jc w:val="center"/>
        <w:rPr>
          <w:b/>
          <w:szCs w:val="24"/>
        </w:rPr>
      </w:pPr>
      <w:r>
        <w:rPr>
          <w:b/>
          <w:bCs/>
          <w:szCs w:val="24"/>
          <w:bdr w:val="nil"/>
          <w:lang w:val="es-ES"/>
        </w:rPr>
        <w:t>(LAS TARIFAS TOTALES INCLUYEN UDC</w:t>
      </w:r>
      <w:r>
        <w:rPr>
          <w:b/>
          <w:bCs/>
          <w:szCs w:val="24"/>
          <w:bdr w:val="nil"/>
          <w:vertAlign w:val="superscript"/>
          <w:lang w:val="es-ES"/>
        </w:rPr>
        <w:t>1</w:t>
      </w:r>
      <w:r>
        <w:rPr>
          <w:b/>
          <w:bCs/>
          <w:szCs w:val="24"/>
          <w:bdr w:val="nil"/>
          <w:lang w:val="es-ES"/>
        </w:rPr>
        <w:t xml:space="preserve"> Y COMO PRODUCTO BÁSICO</w:t>
      </w:r>
      <w:r>
        <w:rPr>
          <w:b/>
          <w:bCs/>
          <w:szCs w:val="24"/>
          <w:bdr w:val="nil"/>
          <w:vertAlign w:val="superscript"/>
          <w:lang w:val="es-ES"/>
        </w:rPr>
        <w:t>2</w:t>
      </w:r>
      <w:r>
        <w:rPr>
          <w:b/>
          <w:bCs/>
          <w:szCs w:val="24"/>
          <w:bdr w:val="nil"/>
          <w:lang w:val="es-ES"/>
        </w:rPr>
        <w:t>)</w:t>
      </w:r>
    </w:p>
    <w:p w14:paraId="52263873" w14:textId="77777777" w:rsidR="0056727B" w:rsidRPr="00C66DFA" w:rsidRDefault="00C865D3" w:rsidP="0056727B">
      <w:pPr>
        <w:pStyle w:val="BodyText"/>
        <w:jc w:val="center"/>
        <w:rPr>
          <w:b/>
          <w:szCs w:val="24"/>
        </w:rPr>
      </w:pPr>
      <w:r>
        <w:rPr>
          <w:b/>
          <w:bCs/>
          <w:szCs w:val="24"/>
          <w:bdr w:val="nil"/>
          <w:lang w:val="es-ES"/>
        </w:rPr>
        <w:t xml:space="preserve">2019 </w:t>
      </w:r>
    </w:p>
    <w:p w14:paraId="1F50666D" w14:textId="77777777" w:rsidR="0056727B" w:rsidRPr="00C66DFA" w:rsidRDefault="00C83E14" w:rsidP="0056727B">
      <w:pPr>
        <w:pStyle w:val="BodyText"/>
        <w:jc w:val="center"/>
        <w:rPr>
          <w:b/>
          <w:szCs w:val="24"/>
        </w:rPr>
      </w:pPr>
    </w:p>
    <w:tbl>
      <w:tblPr>
        <w:tblW w:w="9765" w:type="dxa"/>
        <w:jc w:val="center"/>
        <w:tblLayout w:type="fixed"/>
        <w:tblLook w:val="0000" w:firstRow="0" w:lastRow="0" w:firstColumn="0" w:lastColumn="0" w:noHBand="0" w:noVBand="0"/>
      </w:tblPr>
      <w:tblGrid>
        <w:gridCol w:w="2059"/>
        <w:gridCol w:w="270"/>
        <w:gridCol w:w="1634"/>
        <w:gridCol w:w="236"/>
        <w:gridCol w:w="1943"/>
        <w:gridCol w:w="236"/>
        <w:gridCol w:w="236"/>
        <w:gridCol w:w="1188"/>
        <w:gridCol w:w="236"/>
        <w:gridCol w:w="1470"/>
        <w:gridCol w:w="257"/>
      </w:tblGrid>
      <w:tr w:rsidR="00842251" w14:paraId="7CB3C57A" w14:textId="77777777" w:rsidTr="00972F43">
        <w:trPr>
          <w:trHeight w:val="324"/>
          <w:jc w:val="center"/>
        </w:trPr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76247C" w14:textId="77777777" w:rsidR="0056727B" w:rsidRPr="00C66DFA" w:rsidRDefault="00C83E14" w:rsidP="00972F43">
            <w:pPr>
              <w:rPr>
                <w:b/>
                <w:bCs/>
              </w:rPr>
            </w:pPr>
          </w:p>
          <w:p w14:paraId="51628E6D" w14:textId="77777777" w:rsidR="0056727B" w:rsidRPr="00C66DFA" w:rsidRDefault="00C865D3" w:rsidP="00972F43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bdr w:val="nil"/>
                <w:lang w:val="es-ES"/>
              </w:rPr>
              <w:t>Clase de cliente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FEBC38" w14:textId="77777777" w:rsidR="0056727B" w:rsidRPr="00C66DFA" w:rsidRDefault="00C83E14" w:rsidP="00972F43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879B44" w14:textId="77777777" w:rsidR="0056727B" w:rsidRPr="00C66DFA" w:rsidRDefault="00C865D3" w:rsidP="001663E1">
            <w:pPr>
              <w:jc w:val="center"/>
            </w:pPr>
            <w:r>
              <w:rPr>
                <w:b/>
                <w:bdr w:val="nil"/>
                <w:lang w:val="es-ES"/>
              </w:rPr>
              <w:t xml:space="preserve"> Tarifas promedio por clase en vigor el 08/01/16</w:t>
            </w:r>
            <w:r w:rsidRPr="001663E1">
              <w:rPr>
                <w:b/>
                <w:bdr w:val="nil"/>
                <w:vertAlign w:val="superscript"/>
                <w:lang w:val="es-ES"/>
              </w:rPr>
              <w:t>3</w:t>
            </w:r>
            <w:r>
              <w:rPr>
                <w:b/>
                <w:bdr w:val="nil"/>
                <w:lang w:val="es-ES"/>
              </w:rPr>
              <w:t xml:space="preserve"> (¢/</w:t>
            </w:r>
            <w:proofErr w:type="spellStart"/>
            <w:r>
              <w:rPr>
                <w:b/>
                <w:bdr w:val="nil"/>
                <w:lang w:val="es-ES"/>
              </w:rPr>
              <w:t>kWh</w:t>
            </w:r>
            <w:proofErr w:type="spellEnd"/>
            <w:r>
              <w:rPr>
                <w:b/>
                <w:bdr w:val="nil"/>
                <w:lang w:val="es-ES"/>
              </w:rPr>
              <w:t xml:space="preserve">)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C6142" w14:textId="77777777" w:rsidR="0056727B" w:rsidRPr="00C66DFA" w:rsidRDefault="00C83E14" w:rsidP="00972F43">
            <w:pPr>
              <w:jc w:val="center"/>
              <w:rPr>
                <w:b/>
                <w:bCs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C0DD9" w14:textId="77777777" w:rsidR="0056727B" w:rsidRDefault="00C865D3" w:rsidP="00972F43">
            <w:pPr>
              <w:jc w:val="center"/>
              <w:rPr>
                <w:b/>
              </w:rPr>
            </w:pPr>
            <w:r>
              <w:rPr>
                <w:b/>
                <w:bCs/>
                <w:bdr w:val="nil"/>
                <w:lang w:val="es-ES"/>
              </w:rPr>
              <w:t xml:space="preserve">Tarifas promedio por clase que reflejan el aumento propuesto en los ingresos por Solicitud </w:t>
            </w:r>
            <w:r w:rsidR="001663E1">
              <w:rPr>
                <w:b/>
                <w:bCs/>
                <w:bdr w:val="nil"/>
                <w:lang w:val="es-ES"/>
              </w:rPr>
              <w:br/>
            </w:r>
            <w:r>
              <w:rPr>
                <w:b/>
                <w:bCs/>
                <w:bdr w:val="nil"/>
                <w:lang w:val="es-ES"/>
              </w:rPr>
              <w:t>(2019)</w:t>
            </w:r>
          </w:p>
          <w:p w14:paraId="347C14C0" w14:textId="77777777" w:rsidR="0056727B" w:rsidRPr="00C66DFA" w:rsidRDefault="00C865D3" w:rsidP="00972F4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 xml:space="preserve"> (¢/kWh)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14:paraId="1734D834" w14:textId="77777777" w:rsidR="0056727B" w:rsidRPr="00C66DFA" w:rsidRDefault="00C83E14" w:rsidP="00972F43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6FD2F" w14:textId="77777777" w:rsidR="0056727B" w:rsidRPr="00C66DFA" w:rsidRDefault="00C83E14" w:rsidP="00972F43">
            <w:pPr>
              <w:jc w:val="center"/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3BDA0D" w14:textId="77777777" w:rsidR="0056727B" w:rsidRPr="00C66DFA" w:rsidRDefault="00C865D3" w:rsidP="00972F4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Aumento total en la tarifa (¢/kWh)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906BA" w14:textId="77777777" w:rsidR="0056727B" w:rsidRPr="00C66DFA" w:rsidRDefault="00C83E14" w:rsidP="00972F43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F3FDE3" w14:textId="77777777" w:rsidR="0056727B" w:rsidRPr="00C66DFA" w:rsidRDefault="00C865D3" w:rsidP="00972F4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 xml:space="preserve">Aumento porcentual en la tarifa </w:t>
            </w:r>
          </w:p>
          <w:p w14:paraId="3B5FD205" w14:textId="77777777" w:rsidR="0056727B" w:rsidRPr="00C66DFA" w:rsidRDefault="00C865D3" w:rsidP="00972F43">
            <w:pPr>
              <w:jc w:val="center"/>
              <w:rPr>
                <w:b/>
                <w:bCs/>
              </w:rPr>
            </w:pPr>
            <w:r w:rsidRPr="00C66DFA">
              <w:rPr>
                <w:b/>
                <w:bCs/>
              </w:rPr>
              <w:t>(%)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</w:tcPr>
          <w:p w14:paraId="6608DA83" w14:textId="77777777" w:rsidR="0056727B" w:rsidRPr="00C66DFA" w:rsidRDefault="00C83E14" w:rsidP="00972F43">
            <w:pPr>
              <w:jc w:val="center"/>
              <w:rPr>
                <w:b/>
                <w:bCs/>
              </w:rPr>
            </w:pPr>
          </w:p>
        </w:tc>
      </w:tr>
      <w:tr w:rsidR="00842251" w14:paraId="74AD7A4F" w14:textId="77777777" w:rsidTr="00972F43">
        <w:trPr>
          <w:trHeight w:val="255"/>
          <w:jc w:val="center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BDD1F" w14:textId="77777777" w:rsidR="0056727B" w:rsidRPr="00C66DFA" w:rsidRDefault="00C865D3" w:rsidP="00972F43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Residencial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4EB538" w14:textId="77777777" w:rsidR="0056727B" w:rsidRPr="00C66DFA" w:rsidRDefault="00C83E14" w:rsidP="00972F43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AFFB5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22.644 </w:t>
            </w:r>
          </w:p>
          <w:p w14:paraId="2C809ED8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A8102" w14:textId="77777777" w:rsidR="0056727B" w:rsidRPr="00C66DFA" w:rsidRDefault="00C83E14" w:rsidP="00972F43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420EF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22.665 </w:t>
            </w:r>
          </w:p>
          <w:p w14:paraId="434070A7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A2E8C04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E24A9" w14:textId="77777777" w:rsidR="0056727B" w:rsidRPr="00C66DFA" w:rsidRDefault="00C83E14" w:rsidP="00972F43"/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12B81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0.021 </w:t>
            </w:r>
          </w:p>
          <w:p w14:paraId="273ED1FA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0A1CB1" w14:textId="77777777" w:rsidR="0056727B" w:rsidRPr="00C66DFA" w:rsidRDefault="00C83E14" w:rsidP="00972F43">
            <w:pPr>
              <w:jc w:val="center"/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FB86F9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0.09%</w:t>
            </w:r>
          </w:p>
          <w:p w14:paraId="6275BBAC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</w:tcPr>
          <w:p w14:paraId="59AD9EAF" w14:textId="77777777" w:rsidR="0056727B" w:rsidRPr="00C66DFA" w:rsidRDefault="00C83E14" w:rsidP="00972F43">
            <w:pPr>
              <w:jc w:val="center"/>
            </w:pPr>
          </w:p>
        </w:tc>
      </w:tr>
      <w:tr w:rsidR="00842251" w14:paraId="767A0A53" w14:textId="77777777" w:rsidTr="00972F43">
        <w:trPr>
          <w:trHeight w:val="255"/>
          <w:jc w:val="center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3A27A1" w14:textId="77777777" w:rsidR="0056727B" w:rsidRPr="00C66DFA" w:rsidRDefault="00C865D3" w:rsidP="00972F43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 xml:space="preserve">Comercial pequeño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F19F0" w14:textId="77777777" w:rsidR="0056727B" w:rsidRPr="00C66DFA" w:rsidRDefault="00C83E14" w:rsidP="00972F43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2ECD8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22.511 </w:t>
            </w:r>
          </w:p>
          <w:p w14:paraId="2C250073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EF76C" w14:textId="77777777" w:rsidR="0056727B" w:rsidRPr="00C66DFA" w:rsidRDefault="00C83E14" w:rsidP="00972F43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6B430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22.530 </w:t>
            </w:r>
          </w:p>
          <w:p w14:paraId="392B79FE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3D5F8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647CFC" w14:textId="77777777" w:rsidR="0056727B" w:rsidRPr="00C66DFA" w:rsidRDefault="00C83E14" w:rsidP="00972F43"/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BACFB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0.019 </w:t>
            </w:r>
          </w:p>
          <w:p w14:paraId="2EC8066E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B7D5B" w14:textId="77777777" w:rsidR="0056727B" w:rsidRPr="00C66DFA" w:rsidRDefault="00C83E14" w:rsidP="00972F43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4EC45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0.08%</w:t>
            </w:r>
          </w:p>
          <w:p w14:paraId="6218CF3B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6CD3052A" w14:textId="77777777" w:rsidR="0056727B" w:rsidRPr="00C66DFA" w:rsidRDefault="00C83E14" w:rsidP="00972F43">
            <w:pPr>
              <w:jc w:val="center"/>
            </w:pPr>
          </w:p>
        </w:tc>
      </w:tr>
      <w:tr w:rsidR="00842251" w14:paraId="6928E133" w14:textId="77777777" w:rsidTr="00972F43">
        <w:trPr>
          <w:trHeight w:val="255"/>
          <w:jc w:val="center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EB0BE9" w14:textId="77777777" w:rsidR="0056727B" w:rsidRPr="00C66DFA" w:rsidRDefault="00C865D3" w:rsidP="00E138CE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CeI mediano y grande</w:t>
            </w:r>
            <w:r>
              <w:rPr>
                <w:b/>
                <w:bCs/>
                <w:bdr w:val="nil"/>
                <w:vertAlign w:val="superscript"/>
                <w:lang w:val="es-ES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34C9ED" w14:textId="77777777" w:rsidR="0056727B" w:rsidRPr="00C66DFA" w:rsidRDefault="00C83E14" w:rsidP="00972F43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37298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18.749 </w:t>
            </w:r>
          </w:p>
          <w:p w14:paraId="02C027D6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4DE76" w14:textId="77777777" w:rsidR="0056727B" w:rsidRPr="00C66DFA" w:rsidRDefault="00C83E14" w:rsidP="00972F43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724AB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18.770 </w:t>
            </w:r>
          </w:p>
          <w:p w14:paraId="30668FC2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5E4EF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4C8E67" w14:textId="77777777" w:rsidR="0056727B" w:rsidRPr="00C66DFA" w:rsidRDefault="00C83E14" w:rsidP="00972F43"/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FB646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0.021</w:t>
            </w:r>
          </w:p>
          <w:p w14:paraId="50005F64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84F81" w14:textId="77777777" w:rsidR="0056727B" w:rsidRPr="00C66DFA" w:rsidRDefault="00C83E14" w:rsidP="00972F43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EEC8FB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0.11%</w:t>
            </w:r>
          </w:p>
          <w:p w14:paraId="62A0F2BD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538D2748" w14:textId="77777777" w:rsidR="0056727B" w:rsidRPr="00C66DFA" w:rsidRDefault="00C83E14" w:rsidP="00972F43">
            <w:pPr>
              <w:jc w:val="center"/>
            </w:pPr>
          </w:p>
        </w:tc>
      </w:tr>
      <w:tr w:rsidR="00842251" w14:paraId="6C916B88" w14:textId="77777777" w:rsidTr="00972F43">
        <w:trPr>
          <w:trHeight w:val="255"/>
          <w:jc w:val="center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45EE1" w14:textId="77777777" w:rsidR="0056727B" w:rsidRPr="00C66DFA" w:rsidRDefault="00C865D3" w:rsidP="00972F43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Agrícola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8D986" w14:textId="77777777" w:rsidR="0056727B" w:rsidRPr="00C66DFA" w:rsidRDefault="00C83E14" w:rsidP="00972F43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D9FDA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16.544 </w:t>
            </w:r>
          </w:p>
          <w:p w14:paraId="77FA548B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A5D7E" w14:textId="77777777" w:rsidR="0056727B" w:rsidRPr="00C66DFA" w:rsidRDefault="00C83E14" w:rsidP="00972F43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19480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16.562 </w:t>
            </w:r>
          </w:p>
          <w:p w14:paraId="051AB14B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045F6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8E5A7" w14:textId="77777777" w:rsidR="0056727B" w:rsidRPr="00C66DFA" w:rsidRDefault="00C83E14" w:rsidP="00972F43"/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F181A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0.018 </w:t>
            </w:r>
          </w:p>
          <w:p w14:paraId="18FC6E85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8AC53" w14:textId="77777777" w:rsidR="0056727B" w:rsidRPr="00C66DFA" w:rsidRDefault="00C83E14" w:rsidP="00972F43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67B4FB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0.11%</w:t>
            </w:r>
          </w:p>
          <w:p w14:paraId="4B96F04D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788DA21F" w14:textId="77777777" w:rsidR="0056727B" w:rsidRPr="00C66DFA" w:rsidRDefault="00C83E14" w:rsidP="00972F43">
            <w:pPr>
              <w:jc w:val="center"/>
            </w:pPr>
          </w:p>
        </w:tc>
      </w:tr>
      <w:tr w:rsidR="00842251" w14:paraId="6581F312" w14:textId="77777777" w:rsidTr="00972F43">
        <w:trPr>
          <w:trHeight w:val="255"/>
          <w:jc w:val="center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72C61" w14:textId="77777777" w:rsidR="0056727B" w:rsidRPr="00C66DFA" w:rsidRDefault="00C865D3" w:rsidP="00972F43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Iluminación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E5556" w14:textId="77777777" w:rsidR="0056727B" w:rsidRPr="00C66DFA" w:rsidRDefault="00C83E14" w:rsidP="00972F43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CA4C0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18.778 </w:t>
            </w:r>
          </w:p>
          <w:p w14:paraId="2E3931CB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37FCA1" w14:textId="77777777" w:rsidR="0056727B" w:rsidRPr="00C66DFA" w:rsidRDefault="00C83E14" w:rsidP="00972F43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39C0E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18.793 </w:t>
            </w:r>
          </w:p>
          <w:p w14:paraId="37E6B0AF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4FD1F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3F560B" w14:textId="77777777" w:rsidR="0056727B" w:rsidRPr="00C66DFA" w:rsidRDefault="00C83E14" w:rsidP="00972F43"/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4BE49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0.015</w:t>
            </w:r>
          </w:p>
          <w:p w14:paraId="3C94CBA3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5133E" w14:textId="77777777" w:rsidR="0056727B" w:rsidRPr="00C66DFA" w:rsidRDefault="00C83E14" w:rsidP="00972F43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001FF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0.08%</w:t>
            </w:r>
          </w:p>
          <w:p w14:paraId="03E970A0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2D926D90" w14:textId="77777777" w:rsidR="0056727B" w:rsidRPr="00C66DFA" w:rsidRDefault="00C83E14" w:rsidP="00972F43">
            <w:pPr>
              <w:jc w:val="center"/>
            </w:pPr>
          </w:p>
        </w:tc>
      </w:tr>
      <w:tr w:rsidR="00842251" w14:paraId="141CF5E1" w14:textId="77777777" w:rsidTr="00972F43">
        <w:trPr>
          <w:trHeight w:val="255"/>
          <w:jc w:val="center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56D780" w14:textId="77777777" w:rsidR="0056727B" w:rsidRPr="00C66DFA" w:rsidRDefault="00C865D3" w:rsidP="00972F43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Total del sistema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61ACC" w14:textId="77777777" w:rsidR="0056727B" w:rsidRPr="00C66DFA" w:rsidRDefault="00C83E14" w:rsidP="00972F43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EE106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20.524 </w:t>
            </w:r>
          </w:p>
          <w:p w14:paraId="005B5FA7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12D2F" w14:textId="77777777" w:rsidR="0056727B" w:rsidRPr="00C66DFA" w:rsidRDefault="00C83E14" w:rsidP="00972F43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DF41AA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20.545 </w:t>
            </w:r>
          </w:p>
          <w:p w14:paraId="0BE6D39A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0814E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D5650" w14:textId="77777777" w:rsidR="0056727B" w:rsidRPr="00C66DFA" w:rsidRDefault="00C83E14" w:rsidP="00972F43"/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5381D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0.021 </w:t>
            </w:r>
          </w:p>
          <w:p w14:paraId="7526B6E1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2C9CD" w14:textId="77777777" w:rsidR="0056727B" w:rsidRPr="00C66DFA" w:rsidRDefault="00C83E14" w:rsidP="00972F43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4A540" w14:textId="77777777" w:rsidR="0056727B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0.10%</w:t>
            </w:r>
          </w:p>
          <w:p w14:paraId="5E8451AE" w14:textId="77777777" w:rsidR="0056727B" w:rsidRPr="00C66DFA" w:rsidRDefault="00C83E14" w:rsidP="00972F43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153E5A5A" w14:textId="77777777" w:rsidR="0056727B" w:rsidRPr="00C66DFA" w:rsidRDefault="00C83E14" w:rsidP="00972F43">
            <w:pPr>
              <w:jc w:val="center"/>
            </w:pPr>
          </w:p>
        </w:tc>
      </w:tr>
    </w:tbl>
    <w:p w14:paraId="361181A5" w14:textId="77777777" w:rsidR="0056727B" w:rsidRDefault="00C83E14" w:rsidP="00B13855">
      <w:pPr>
        <w:pStyle w:val="BodyText"/>
        <w:jc w:val="center"/>
        <w:rPr>
          <w:b/>
          <w:szCs w:val="24"/>
        </w:rPr>
      </w:pPr>
    </w:p>
    <w:p w14:paraId="58A766AA" w14:textId="77777777" w:rsidR="0056727B" w:rsidRDefault="00C83E14" w:rsidP="00B13855">
      <w:pPr>
        <w:pStyle w:val="BodyText"/>
        <w:jc w:val="center"/>
        <w:rPr>
          <w:b/>
          <w:szCs w:val="24"/>
        </w:rPr>
      </w:pPr>
    </w:p>
    <w:p w14:paraId="291A6BCA" w14:textId="77777777" w:rsidR="00526170" w:rsidRPr="00C66DFA" w:rsidRDefault="00C865D3" w:rsidP="00526170">
      <w:pPr>
        <w:pStyle w:val="BodyText"/>
        <w:jc w:val="center"/>
        <w:rPr>
          <w:b/>
          <w:szCs w:val="24"/>
        </w:rPr>
      </w:pPr>
      <w:r>
        <w:rPr>
          <w:b/>
          <w:bCs/>
          <w:szCs w:val="24"/>
          <w:bdr w:val="nil"/>
          <w:lang w:val="es-ES"/>
        </w:rPr>
        <w:t xml:space="preserve">AUMENTO ILUSTRATIVO EN LA TARIFA ELÉCTRICA COMBINADA </w:t>
      </w:r>
      <w:r w:rsidR="001663E1">
        <w:rPr>
          <w:b/>
          <w:bCs/>
          <w:szCs w:val="24"/>
          <w:bdr w:val="nil"/>
          <w:lang w:val="es-ES"/>
        </w:rPr>
        <w:br/>
      </w:r>
      <w:r>
        <w:rPr>
          <w:b/>
          <w:bCs/>
          <w:szCs w:val="24"/>
          <w:bdr w:val="nil"/>
          <w:lang w:val="es-ES"/>
        </w:rPr>
        <w:t>DE SAN DIEGO GAS &amp; ELECTRIC COMPANY</w:t>
      </w:r>
    </w:p>
    <w:p w14:paraId="75A5EAAA" w14:textId="77777777" w:rsidR="00526170" w:rsidRDefault="00C865D3" w:rsidP="00526170">
      <w:pPr>
        <w:pStyle w:val="BodyText"/>
        <w:jc w:val="center"/>
        <w:rPr>
          <w:b/>
          <w:szCs w:val="24"/>
        </w:rPr>
      </w:pPr>
      <w:r>
        <w:rPr>
          <w:b/>
          <w:bCs/>
          <w:szCs w:val="24"/>
          <w:bdr w:val="nil"/>
          <w:lang w:val="es-ES"/>
        </w:rPr>
        <w:t>(LAS TARIFAS TOTALES INCLUYEN UDC</w:t>
      </w:r>
      <w:r>
        <w:rPr>
          <w:b/>
          <w:bCs/>
          <w:szCs w:val="24"/>
          <w:bdr w:val="nil"/>
          <w:vertAlign w:val="superscript"/>
          <w:lang w:val="es-ES"/>
        </w:rPr>
        <w:t>1</w:t>
      </w:r>
      <w:r>
        <w:rPr>
          <w:b/>
          <w:bCs/>
          <w:szCs w:val="24"/>
          <w:bdr w:val="nil"/>
          <w:lang w:val="es-ES"/>
        </w:rPr>
        <w:t xml:space="preserve"> Y COMO PRODUCTO BÁSICO</w:t>
      </w:r>
      <w:r>
        <w:rPr>
          <w:b/>
          <w:bCs/>
          <w:szCs w:val="24"/>
          <w:bdr w:val="nil"/>
          <w:vertAlign w:val="superscript"/>
          <w:lang w:val="es-ES"/>
        </w:rPr>
        <w:t>2</w:t>
      </w:r>
      <w:r>
        <w:rPr>
          <w:b/>
          <w:bCs/>
          <w:szCs w:val="24"/>
          <w:bdr w:val="nil"/>
          <w:lang w:val="es-ES"/>
        </w:rPr>
        <w:t>)</w:t>
      </w:r>
    </w:p>
    <w:p w14:paraId="79286421" w14:textId="77777777" w:rsidR="00526170" w:rsidRPr="00C66DFA" w:rsidRDefault="00C865D3" w:rsidP="00526170">
      <w:pPr>
        <w:pStyle w:val="BodyText"/>
        <w:jc w:val="center"/>
        <w:rPr>
          <w:b/>
          <w:szCs w:val="24"/>
        </w:rPr>
      </w:pPr>
      <w:r>
        <w:rPr>
          <w:b/>
          <w:bCs/>
          <w:szCs w:val="24"/>
          <w:bdr w:val="nil"/>
          <w:lang w:val="es-ES"/>
        </w:rPr>
        <w:t xml:space="preserve">2020 </w:t>
      </w:r>
    </w:p>
    <w:p w14:paraId="1D96473E" w14:textId="77777777" w:rsidR="00526170" w:rsidRPr="00C66DFA" w:rsidRDefault="00C83E14" w:rsidP="00526170">
      <w:pPr>
        <w:pStyle w:val="BodyText"/>
        <w:jc w:val="center"/>
        <w:rPr>
          <w:b/>
          <w:szCs w:val="24"/>
        </w:rPr>
      </w:pPr>
    </w:p>
    <w:tbl>
      <w:tblPr>
        <w:tblW w:w="9765" w:type="dxa"/>
        <w:jc w:val="center"/>
        <w:tblLayout w:type="fixed"/>
        <w:tblLook w:val="0000" w:firstRow="0" w:lastRow="0" w:firstColumn="0" w:lastColumn="0" w:noHBand="0" w:noVBand="0"/>
      </w:tblPr>
      <w:tblGrid>
        <w:gridCol w:w="239"/>
        <w:gridCol w:w="270"/>
        <w:gridCol w:w="1550"/>
        <w:gridCol w:w="270"/>
        <w:gridCol w:w="1634"/>
        <w:gridCol w:w="236"/>
        <w:gridCol w:w="270"/>
        <w:gridCol w:w="236"/>
        <w:gridCol w:w="1437"/>
        <w:gridCol w:w="236"/>
        <w:gridCol w:w="236"/>
        <w:gridCol w:w="236"/>
        <w:gridCol w:w="952"/>
        <w:gridCol w:w="236"/>
        <w:gridCol w:w="564"/>
        <w:gridCol w:w="906"/>
        <w:gridCol w:w="257"/>
      </w:tblGrid>
      <w:tr w:rsidR="00842251" w14:paraId="67F846B5" w14:textId="77777777" w:rsidTr="003D0113">
        <w:trPr>
          <w:trHeight w:val="324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37D5BD" w14:textId="77777777" w:rsidR="00526170" w:rsidRPr="00C66DFA" w:rsidRDefault="00C83E14" w:rsidP="003D0113">
            <w:pPr>
              <w:rPr>
                <w:b/>
                <w:bCs/>
              </w:rPr>
            </w:pPr>
          </w:p>
          <w:p w14:paraId="5E0F80AF" w14:textId="77777777" w:rsidR="00526170" w:rsidRPr="00C66DFA" w:rsidRDefault="00C865D3" w:rsidP="003D0113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bdr w:val="nil"/>
                <w:lang w:val="es-ES"/>
              </w:rPr>
              <w:t>Clase de cliente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8AF4A" w14:textId="77777777" w:rsidR="00526170" w:rsidRPr="00C66DFA" w:rsidRDefault="00C83E14" w:rsidP="003D0113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96B13" w14:textId="77777777" w:rsidR="00526170" w:rsidRPr="00C66DFA" w:rsidRDefault="00C865D3" w:rsidP="001663E1">
            <w:pPr>
              <w:jc w:val="center"/>
            </w:pPr>
            <w:r>
              <w:rPr>
                <w:b/>
                <w:bdr w:val="nil"/>
                <w:lang w:val="es-ES"/>
              </w:rPr>
              <w:t xml:space="preserve"> Tarifas promedio por clase en vigor el 08/01/16</w:t>
            </w:r>
            <w:r w:rsidRPr="001663E1">
              <w:rPr>
                <w:b/>
                <w:bdr w:val="nil"/>
                <w:vertAlign w:val="superscript"/>
                <w:lang w:val="es-ES"/>
              </w:rPr>
              <w:t>3</w:t>
            </w:r>
            <w:r>
              <w:rPr>
                <w:b/>
                <w:bdr w:val="nil"/>
                <w:lang w:val="es-ES"/>
              </w:rPr>
              <w:t xml:space="preserve"> (¢/</w:t>
            </w:r>
            <w:proofErr w:type="spellStart"/>
            <w:r>
              <w:rPr>
                <w:b/>
                <w:bdr w:val="nil"/>
                <w:lang w:val="es-ES"/>
              </w:rPr>
              <w:t>kWh</w:t>
            </w:r>
            <w:proofErr w:type="spellEnd"/>
            <w:r>
              <w:rPr>
                <w:b/>
                <w:bdr w:val="nil"/>
                <w:lang w:val="es-ES"/>
              </w:rPr>
              <w:t xml:space="preserve">)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D6C6D" w14:textId="77777777" w:rsidR="00526170" w:rsidRPr="00C66DFA" w:rsidRDefault="00C83E14" w:rsidP="003D0113">
            <w:pPr>
              <w:jc w:val="center"/>
              <w:rPr>
                <w:b/>
                <w:bCs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5781A" w14:textId="77777777" w:rsidR="00F95C16" w:rsidRDefault="00C865D3" w:rsidP="003D0113">
            <w:pPr>
              <w:jc w:val="center"/>
              <w:rPr>
                <w:b/>
              </w:rPr>
            </w:pPr>
            <w:r>
              <w:rPr>
                <w:b/>
                <w:bCs/>
                <w:bdr w:val="nil"/>
                <w:lang w:val="es-ES"/>
              </w:rPr>
              <w:t xml:space="preserve">Tarifas promedio por clase que reflejan el aumento propuesto en los ingresos por Solicitud </w:t>
            </w:r>
            <w:r w:rsidR="007C0F88">
              <w:rPr>
                <w:b/>
                <w:bCs/>
                <w:bdr w:val="nil"/>
                <w:lang w:val="es-ES"/>
              </w:rPr>
              <w:br/>
            </w:r>
            <w:r>
              <w:rPr>
                <w:b/>
                <w:bCs/>
                <w:bdr w:val="nil"/>
                <w:lang w:val="es-ES"/>
              </w:rPr>
              <w:t>(2020)</w:t>
            </w:r>
          </w:p>
          <w:p w14:paraId="2E5D4381" w14:textId="77777777" w:rsidR="00526170" w:rsidRPr="00C66DFA" w:rsidRDefault="00C865D3" w:rsidP="003D011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 xml:space="preserve"> (¢/kWh)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14:paraId="4AF37F55" w14:textId="77777777" w:rsidR="00526170" w:rsidRPr="00C66DFA" w:rsidRDefault="00C83E14" w:rsidP="003D0113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8C70D" w14:textId="77777777" w:rsidR="00526170" w:rsidRPr="00C66DFA" w:rsidRDefault="00C83E14" w:rsidP="003D0113">
            <w:pPr>
              <w:jc w:val="center"/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A9427F" w14:textId="77777777" w:rsidR="00526170" w:rsidRPr="00C66DFA" w:rsidRDefault="00C865D3" w:rsidP="003D011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Aumento total en la tarifa (¢/kWh)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8D6E2" w14:textId="77777777" w:rsidR="00526170" w:rsidRPr="00C66DFA" w:rsidRDefault="00C83E14" w:rsidP="003D0113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08604A" w14:textId="77777777" w:rsidR="00526170" w:rsidRPr="00C66DFA" w:rsidRDefault="00C865D3" w:rsidP="003D011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 xml:space="preserve">Aumento porcentual en la tarifa </w:t>
            </w:r>
          </w:p>
          <w:p w14:paraId="2162B59A" w14:textId="77777777" w:rsidR="00526170" w:rsidRPr="00C66DFA" w:rsidRDefault="00C865D3" w:rsidP="003D0113">
            <w:pPr>
              <w:jc w:val="center"/>
              <w:rPr>
                <w:b/>
                <w:bCs/>
              </w:rPr>
            </w:pPr>
            <w:r w:rsidRPr="00C66DFA">
              <w:rPr>
                <w:b/>
                <w:bCs/>
              </w:rPr>
              <w:t>(%)</w:t>
            </w:r>
          </w:p>
        </w:tc>
        <w:tc>
          <w:tcPr>
            <w:tcW w:w="257" w:type="dxa"/>
            <w:tcBorders>
              <w:top w:val="nil"/>
              <w:left w:val="nil"/>
              <w:right w:val="nil"/>
            </w:tcBorders>
          </w:tcPr>
          <w:p w14:paraId="62DD89B1" w14:textId="77777777" w:rsidR="00526170" w:rsidRPr="00C66DFA" w:rsidRDefault="00C83E14" w:rsidP="003D0113">
            <w:pPr>
              <w:jc w:val="center"/>
              <w:rPr>
                <w:b/>
                <w:bCs/>
              </w:rPr>
            </w:pPr>
          </w:p>
        </w:tc>
      </w:tr>
      <w:tr w:rsidR="00842251" w14:paraId="7AD37232" w14:textId="77777777" w:rsidTr="003D0113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D6DD0" w14:textId="77777777" w:rsidR="006605C8" w:rsidRPr="00C66DFA" w:rsidRDefault="00C865D3" w:rsidP="003D0113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Residencial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A9929" w14:textId="77777777" w:rsidR="006605C8" w:rsidRPr="00C66DFA" w:rsidRDefault="00C83E14" w:rsidP="003D0113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27024" w14:textId="77777777" w:rsidR="006605C8" w:rsidRDefault="00C865D3" w:rsidP="00C943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22.644 </w:t>
            </w:r>
          </w:p>
          <w:p w14:paraId="08D50267" w14:textId="77777777" w:rsidR="006605C8" w:rsidRPr="00C66DFA" w:rsidRDefault="00C83E14" w:rsidP="00CF0EFF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C9DD6A" w14:textId="77777777" w:rsidR="006605C8" w:rsidRPr="00C66DFA" w:rsidRDefault="00C83E14" w:rsidP="003D0113"/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02DF5" w14:textId="77777777" w:rsidR="006605C8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22.666 </w:t>
            </w:r>
          </w:p>
          <w:p w14:paraId="262FF2FC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89855E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CE1620" w14:textId="77777777" w:rsidR="006605C8" w:rsidRPr="00C66DFA" w:rsidRDefault="00C83E14" w:rsidP="003D0113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3C58E" w14:textId="77777777" w:rsidR="006605C8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0.022 </w:t>
            </w:r>
          </w:p>
          <w:p w14:paraId="242EC336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3B460" w14:textId="77777777" w:rsidR="006605C8" w:rsidRPr="00C66DFA" w:rsidRDefault="00C83E14" w:rsidP="003D0113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2BA4D5" w14:textId="77777777" w:rsidR="006605C8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0.10%</w:t>
            </w:r>
          </w:p>
          <w:p w14:paraId="035F770B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</w:tcPr>
          <w:p w14:paraId="0066979F" w14:textId="77777777" w:rsidR="006605C8" w:rsidRPr="00C66DFA" w:rsidRDefault="00C83E14" w:rsidP="003D0113">
            <w:pPr>
              <w:jc w:val="center"/>
            </w:pPr>
          </w:p>
        </w:tc>
      </w:tr>
      <w:tr w:rsidR="00842251" w14:paraId="3F5D5AF5" w14:textId="77777777" w:rsidTr="003D0113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0D44A" w14:textId="77777777" w:rsidR="006605C8" w:rsidRPr="00C66DFA" w:rsidRDefault="00C865D3" w:rsidP="003D0113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 xml:space="preserve">Comercial pequeño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6CE0F2" w14:textId="77777777" w:rsidR="006605C8" w:rsidRPr="00C66DFA" w:rsidRDefault="00C83E14" w:rsidP="003D0113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E5105" w14:textId="77777777" w:rsidR="006605C8" w:rsidRDefault="00C865D3" w:rsidP="00C943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22.511 </w:t>
            </w:r>
          </w:p>
          <w:p w14:paraId="387713FE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6D5C2" w14:textId="77777777" w:rsidR="006605C8" w:rsidRPr="00C66DFA" w:rsidRDefault="00C83E14" w:rsidP="003D0113"/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34F30" w14:textId="77777777" w:rsidR="006605C8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22.531 </w:t>
            </w:r>
          </w:p>
          <w:p w14:paraId="0381CADE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065D1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EBB20" w14:textId="77777777" w:rsidR="006605C8" w:rsidRPr="00C66DFA" w:rsidRDefault="00C83E14" w:rsidP="003D0113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D76F2" w14:textId="77777777" w:rsidR="006605C8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0.020 </w:t>
            </w:r>
          </w:p>
          <w:p w14:paraId="2208DDDC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340063" w14:textId="77777777" w:rsidR="006605C8" w:rsidRPr="00C66DFA" w:rsidRDefault="00C83E14" w:rsidP="003D0113"/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FAA08" w14:textId="77777777" w:rsidR="006605C8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0.09%</w:t>
            </w:r>
          </w:p>
          <w:p w14:paraId="6D2AED77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22E4D21D" w14:textId="77777777" w:rsidR="006605C8" w:rsidRPr="00C66DFA" w:rsidRDefault="00C83E14" w:rsidP="003D0113">
            <w:pPr>
              <w:jc w:val="center"/>
            </w:pPr>
          </w:p>
        </w:tc>
      </w:tr>
      <w:tr w:rsidR="00842251" w14:paraId="7155F5AE" w14:textId="77777777" w:rsidTr="003D0113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73A39" w14:textId="77777777" w:rsidR="006605C8" w:rsidRPr="00C66DFA" w:rsidRDefault="00C865D3" w:rsidP="00E138CE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 xml:space="preserve">CeI mediano y </w:t>
            </w:r>
            <w:r>
              <w:rPr>
                <w:b/>
                <w:bCs/>
                <w:bdr w:val="nil"/>
                <w:lang w:val="es-ES"/>
              </w:rPr>
              <w:lastRenderedPageBreak/>
              <w:t>grande</w:t>
            </w:r>
            <w:r>
              <w:rPr>
                <w:b/>
                <w:bCs/>
                <w:bdr w:val="nil"/>
                <w:vertAlign w:val="superscript"/>
                <w:lang w:val="es-ES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19904" w14:textId="77777777" w:rsidR="006605C8" w:rsidRPr="00C66DFA" w:rsidRDefault="00C83E14" w:rsidP="003D0113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7EF1D" w14:textId="77777777" w:rsidR="006605C8" w:rsidRDefault="00C865D3" w:rsidP="00C943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18.749 </w:t>
            </w:r>
          </w:p>
          <w:p w14:paraId="287D2260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9C737F" w14:textId="77777777" w:rsidR="006605C8" w:rsidRPr="00C66DFA" w:rsidRDefault="00C83E14" w:rsidP="003D0113"/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7B8F0" w14:textId="77777777" w:rsidR="006605C8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18.770 </w:t>
            </w:r>
          </w:p>
          <w:p w14:paraId="374E94F2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4E5DF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393AD" w14:textId="77777777" w:rsidR="006605C8" w:rsidRPr="00C66DFA" w:rsidRDefault="00C83E14" w:rsidP="003D0113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50A66" w14:textId="77777777" w:rsidR="006605C8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0.021</w:t>
            </w:r>
          </w:p>
          <w:p w14:paraId="498CA786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03898F" w14:textId="77777777" w:rsidR="006605C8" w:rsidRPr="00C66DFA" w:rsidRDefault="00C83E14" w:rsidP="003D0113"/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C1108A" w14:textId="77777777" w:rsidR="006605C8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0.11%</w:t>
            </w:r>
          </w:p>
          <w:p w14:paraId="37A42C97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304F6803" w14:textId="77777777" w:rsidR="006605C8" w:rsidRPr="00C66DFA" w:rsidRDefault="00C83E14" w:rsidP="003D0113">
            <w:pPr>
              <w:jc w:val="center"/>
            </w:pPr>
          </w:p>
        </w:tc>
      </w:tr>
      <w:tr w:rsidR="00842251" w14:paraId="0ADF193F" w14:textId="77777777" w:rsidTr="003D0113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F1611" w14:textId="77777777" w:rsidR="006605C8" w:rsidRPr="00C66DFA" w:rsidRDefault="00C865D3" w:rsidP="003D0113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lastRenderedPageBreak/>
              <w:t>Agrícola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E356A" w14:textId="77777777" w:rsidR="006605C8" w:rsidRPr="00C66DFA" w:rsidRDefault="00C83E14" w:rsidP="003D0113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3CF91" w14:textId="77777777" w:rsidR="006605C8" w:rsidRDefault="00C865D3" w:rsidP="00C943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16.544 </w:t>
            </w:r>
          </w:p>
          <w:p w14:paraId="510EC006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98890" w14:textId="77777777" w:rsidR="006605C8" w:rsidRPr="00C66DFA" w:rsidRDefault="00C83E14" w:rsidP="003D0113"/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28C2BF" w14:textId="77777777" w:rsidR="006605C8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16.563 </w:t>
            </w:r>
          </w:p>
          <w:p w14:paraId="0DC3E957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B5AD1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37BDD9" w14:textId="77777777" w:rsidR="006605C8" w:rsidRPr="00C66DFA" w:rsidRDefault="00C83E14" w:rsidP="003D0113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AF0F8" w14:textId="77777777" w:rsidR="006605C8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0.019 </w:t>
            </w:r>
          </w:p>
          <w:p w14:paraId="3D7B2A58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143A0D" w14:textId="77777777" w:rsidR="006605C8" w:rsidRPr="00C66DFA" w:rsidRDefault="00C83E14" w:rsidP="003D0113"/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03D485" w14:textId="77777777" w:rsidR="006605C8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0.11%</w:t>
            </w:r>
          </w:p>
          <w:p w14:paraId="25FCDD51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70C32E96" w14:textId="77777777" w:rsidR="006605C8" w:rsidRPr="00C66DFA" w:rsidRDefault="00C83E14" w:rsidP="003D0113">
            <w:pPr>
              <w:jc w:val="center"/>
            </w:pPr>
          </w:p>
        </w:tc>
      </w:tr>
      <w:tr w:rsidR="00842251" w14:paraId="5413C2C1" w14:textId="77777777" w:rsidTr="003D0113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836F7" w14:textId="77777777" w:rsidR="006605C8" w:rsidRPr="00C66DFA" w:rsidRDefault="00C865D3" w:rsidP="003D0113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Iluminación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17A99" w14:textId="77777777" w:rsidR="006605C8" w:rsidRPr="00C66DFA" w:rsidRDefault="00C83E14" w:rsidP="003D0113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90365" w14:textId="77777777" w:rsidR="006605C8" w:rsidRDefault="00C865D3" w:rsidP="00C943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18.778 </w:t>
            </w:r>
          </w:p>
          <w:p w14:paraId="5853FBED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F4A2D1" w14:textId="77777777" w:rsidR="006605C8" w:rsidRPr="00C66DFA" w:rsidRDefault="00C83E14" w:rsidP="003D0113"/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6FF19" w14:textId="77777777" w:rsidR="006605C8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18.793 </w:t>
            </w:r>
          </w:p>
          <w:p w14:paraId="29452D63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AF77E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59662" w14:textId="77777777" w:rsidR="006605C8" w:rsidRPr="00C66DFA" w:rsidRDefault="00C83E14" w:rsidP="003D0113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6FFE0" w14:textId="77777777" w:rsidR="006605C8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0.015</w:t>
            </w:r>
          </w:p>
          <w:p w14:paraId="3A92F8C9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F0AA4" w14:textId="77777777" w:rsidR="006605C8" w:rsidRPr="00C66DFA" w:rsidRDefault="00C83E14" w:rsidP="003D0113"/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280453" w14:textId="77777777" w:rsidR="006605C8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0.08%</w:t>
            </w:r>
          </w:p>
          <w:p w14:paraId="7A3AE0AE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3FCA6F11" w14:textId="77777777" w:rsidR="006605C8" w:rsidRPr="00C66DFA" w:rsidRDefault="00C83E14" w:rsidP="003D0113">
            <w:pPr>
              <w:jc w:val="center"/>
            </w:pPr>
          </w:p>
        </w:tc>
      </w:tr>
      <w:tr w:rsidR="00842251" w14:paraId="3E17A2C8" w14:textId="77777777" w:rsidTr="003D0113">
        <w:trPr>
          <w:trHeight w:val="255"/>
          <w:jc w:val="center"/>
        </w:trPr>
        <w:tc>
          <w:tcPr>
            <w:tcW w:w="2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34F51" w14:textId="77777777" w:rsidR="006605C8" w:rsidRPr="00C66DFA" w:rsidRDefault="00C865D3" w:rsidP="003D0113">
            <w:pPr>
              <w:rPr>
                <w:b/>
                <w:bCs/>
              </w:rPr>
            </w:pPr>
            <w:r>
              <w:rPr>
                <w:b/>
                <w:bCs/>
                <w:bdr w:val="nil"/>
                <w:lang w:val="es-ES"/>
              </w:rPr>
              <w:t>Total del sistema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68ACE" w14:textId="77777777" w:rsidR="006605C8" w:rsidRPr="00C66DFA" w:rsidRDefault="00C83E14" w:rsidP="003D0113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7B30A" w14:textId="77777777" w:rsidR="006605C8" w:rsidRDefault="00C865D3" w:rsidP="00C943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20.524 </w:t>
            </w:r>
          </w:p>
          <w:p w14:paraId="140C54F0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23278C" w14:textId="77777777" w:rsidR="006605C8" w:rsidRPr="00C66DFA" w:rsidRDefault="00C83E14" w:rsidP="003D0113"/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B0EDB7" w14:textId="77777777" w:rsidR="006605C8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20.546 </w:t>
            </w:r>
          </w:p>
          <w:p w14:paraId="199C66BD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E31A9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63E16F" w14:textId="77777777" w:rsidR="006605C8" w:rsidRPr="00C66DFA" w:rsidRDefault="00C83E14" w:rsidP="003D0113"/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C2C47" w14:textId="77777777" w:rsidR="006605C8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 xml:space="preserve">0.022 </w:t>
            </w:r>
          </w:p>
          <w:p w14:paraId="46CB682C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684BA9" w14:textId="77777777" w:rsidR="006605C8" w:rsidRPr="00C66DFA" w:rsidRDefault="00C83E14" w:rsidP="003D0113"/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B468C" w14:textId="77777777" w:rsidR="006605C8" w:rsidRDefault="00C865D3" w:rsidP="00972F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bdr w:val="nil"/>
                <w:lang w:val="es-ES"/>
              </w:rPr>
              <w:t>0.11%</w:t>
            </w:r>
          </w:p>
          <w:p w14:paraId="073E2C86" w14:textId="77777777" w:rsidR="006605C8" w:rsidRPr="00C66DFA" w:rsidRDefault="00C83E14" w:rsidP="003D0113">
            <w:pPr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773EC4FA" w14:textId="77777777" w:rsidR="006605C8" w:rsidRPr="00C66DFA" w:rsidRDefault="00C83E14" w:rsidP="003D0113">
            <w:pPr>
              <w:jc w:val="center"/>
            </w:pPr>
          </w:p>
        </w:tc>
      </w:tr>
      <w:tr w:rsidR="00842251" w14:paraId="64E8A27B" w14:textId="77777777" w:rsidTr="003D0113">
        <w:trPr>
          <w:gridAfter w:val="16"/>
          <w:wAfter w:w="9526" w:type="dxa"/>
          <w:trHeight w:val="198"/>
          <w:jc w:val="center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BCCA527" w14:textId="77777777" w:rsidR="00F95C16" w:rsidRPr="00C66DFA" w:rsidRDefault="00C83E14" w:rsidP="003D0113">
            <w:pPr>
              <w:jc w:val="center"/>
              <w:rPr>
                <w:b/>
                <w:caps/>
              </w:rPr>
            </w:pPr>
          </w:p>
        </w:tc>
      </w:tr>
      <w:tr w:rsidR="00842251" w14:paraId="72C0D112" w14:textId="77777777" w:rsidTr="00F95C16">
        <w:trPr>
          <w:trHeight w:val="198"/>
          <w:jc w:val="center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BAE364E" w14:textId="77777777" w:rsidR="00F95C16" w:rsidRPr="00C66DFA" w:rsidRDefault="00C83E14" w:rsidP="003D0113">
            <w:pPr>
              <w:jc w:val="center"/>
              <w:rPr>
                <w:b/>
                <w:cap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5661E35" w14:textId="77777777" w:rsidR="00F95C16" w:rsidRPr="00C66DFA" w:rsidRDefault="00C83E14" w:rsidP="003D0113">
            <w:pPr>
              <w:rPr>
                <w:highlight w:val="yellow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1C938" w14:textId="77777777" w:rsidR="00F95C16" w:rsidRPr="00C66DFA" w:rsidRDefault="00C83E14" w:rsidP="003D0113">
            <w:pPr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EB14DD2" w14:textId="77777777" w:rsidR="00F95C16" w:rsidRPr="00C66DFA" w:rsidRDefault="00C83E14" w:rsidP="003D0113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36161" w14:textId="77777777" w:rsidR="00F95C16" w:rsidRPr="00C66DFA" w:rsidRDefault="00C83E14" w:rsidP="003D0113">
            <w:pPr>
              <w:jc w:val="center"/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63BBBC40" w14:textId="77777777" w:rsidR="00F95C16" w:rsidRPr="00C66DFA" w:rsidRDefault="00C83E14" w:rsidP="003D0113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31C063" w14:textId="77777777" w:rsidR="00F95C16" w:rsidRPr="00C66DFA" w:rsidRDefault="00C83E14" w:rsidP="003D0113"/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6756" w14:textId="77777777" w:rsidR="00F95C16" w:rsidRPr="00C66DFA" w:rsidRDefault="00C83E14" w:rsidP="003D0113">
            <w:pPr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BF3220" w14:textId="77777777" w:rsidR="00F95C16" w:rsidRPr="00C66DFA" w:rsidRDefault="00C83E14" w:rsidP="003D0113"/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2AE0C" w14:textId="77777777" w:rsidR="00F95C16" w:rsidRPr="00C66DFA" w:rsidRDefault="00C83E14" w:rsidP="003D0113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right w:val="nil"/>
            </w:tcBorders>
          </w:tcPr>
          <w:p w14:paraId="3A0BD395" w14:textId="77777777" w:rsidR="00F95C16" w:rsidRPr="00C66DFA" w:rsidRDefault="00C83E14" w:rsidP="003D0113">
            <w:pPr>
              <w:jc w:val="center"/>
              <w:rPr>
                <w:b/>
                <w:bCs/>
              </w:rPr>
            </w:pPr>
          </w:p>
        </w:tc>
      </w:tr>
    </w:tbl>
    <w:p w14:paraId="6A21867D" w14:textId="77777777" w:rsidR="00526170" w:rsidRPr="00C66DFA" w:rsidRDefault="00C865D3" w:rsidP="007C0F88">
      <w:pPr>
        <w:ind w:left="142" w:hanging="142"/>
      </w:pPr>
      <w:r>
        <w:rPr>
          <w:bdr w:val="nil"/>
          <w:vertAlign w:val="superscript"/>
          <w:lang w:val="es-ES"/>
        </w:rPr>
        <w:t xml:space="preserve">1 </w:t>
      </w:r>
      <w:r>
        <w:rPr>
          <w:bdr w:val="nil"/>
          <w:lang w:val="es-ES"/>
        </w:rPr>
        <w:t>Las tarifas UDC incluyen el cargo Bond Charge del Departamento de Recursos Hídricos (DWR).</w:t>
      </w:r>
    </w:p>
    <w:p w14:paraId="2331596E" w14:textId="77777777" w:rsidR="00795ED2" w:rsidRPr="00C66DFA" w:rsidRDefault="00C865D3" w:rsidP="00526170">
      <w:pPr>
        <w:ind w:left="-1260" w:firstLine="1260"/>
      </w:pPr>
      <w:r>
        <w:rPr>
          <w:bdr w:val="nil"/>
          <w:vertAlign w:val="superscript"/>
          <w:lang w:val="es-ES"/>
        </w:rPr>
        <w:t xml:space="preserve">2 </w:t>
      </w:r>
      <w:r>
        <w:rPr>
          <w:bdr w:val="nil"/>
          <w:lang w:val="es-ES"/>
        </w:rPr>
        <w:t>Las tarifas del producto básico incluyen el abono Power Charge del DWR.</w:t>
      </w:r>
    </w:p>
    <w:p w14:paraId="374099A4" w14:textId="77777777" w:rsidR="00526170" w:rsidRPr="00C66DFA" w:rsidRDefault="00C865D3">
      <w:pPr>
        <w:ind w:left="-1260" w:firstLine="1260"/>
      </w:pPr>
      <w:r>
        <w:rPr>
          <w:bdr w:val="nil"/>
          <w:vertAlign w:val="superscript"/>
          <w:lang w:val="es-ES"/>
        </w:rPr>
        <w:t>3</w:t>
      </w:r>
      <w:r>
        <w:rPr>
          <w:bdr w:val="nil"/>
          <w:lang w:val="es-ES"/>
        </w:rPr>
        <w:t xml:space="preserve"> Tarifas en vigor a partir del 8/1/16 conforme a la Carta de Aviso (AL) 2996-E.</w:t>
      </w:r>
    </w:p>
    <w:p w14:paraId="445309C3" w14:textId="77777777" w:rsidR="00526170" w:rsidRPr="00C66DFA" w:rsidRDefault="007C0F88" w:rsidP="00526170">
      <w:pPr>
        <w:ind w:left="-1260" w:firstLine="1260"/>
      </w:pPr>
      <w:r>
        <w:rPr>
          <w:bdr w:val="nil"/>
          <w:vertAlign w:val="superscript"/>
          <w:lang w:val="es-ES"/>
        </w:rPr>
        <w:t>4</w:t>
      </w:r>
      <w:r w:rsidR="00C865D3">
        <w:rPr>
          <w:bdr w:val="nil"/>
          <w:vertAlign w:val="superscript"/>
          <w:lang w:val="es-ES"/>
        </w:rPr>
        <w:t xml:space="preserve"> </w:t>
      </w:r>
      <w:r w:rsidR="00C865D3">
        <w:rPr>
          <w:bdr w:val="nil"/>
          <w:lang w:val="es-ES"/>
        </w:rPr>
        <w:t>CeI significa Comercial e Industrial.</w:t>
      </w:r>
    </w:p>
    <w:p w14:paraId="40AA47DF" w14:textId="77777777" w:rsidR="00526170" w:rsidRPr="00C66DFA" w:rsidRDefault="00C83E14" w:rsidP="00B13855">
      <w:pPr>
        <w:pStyle w:val="BodyText"/>
        <w:jc w:val="center"/>
        <w:rPr>
          <w:b/>
          <w:szCs w:val="24"/>
        </w:rPr>
      </w:pPr>
    </w:p>
    <w:p w14:paraId="5F93FB2B" w14:textId="77777777" w:rsidR="00A23FBC" w:rsidRPr="00C66DFA" w:rsidRDefault="00C865D3" w:rsidP="00A40F28">
      <w:pPr>
        <w:pStyle w:val="BodyText"/>
        <w:jc w:val="both"/>
        <w:rPr>
          <w:b/>
          <w:bCs/>
          <w:szCs w:val="24"/>
        </w:rPr>
      </w:pPr>
      <w:r>
        <w:rPr>
          <w:b/>
          <w:bCs/>
          <w:szCs w:val="24"/>
          <w:bdr w:val="nil"/>
          <w:lang w:val="es-ES"/>
        </w:rPr>
        <w:t>Para mayor información sobre estas propuestas, puede comunicarse a la línea de Servicio al Cliente de SDG&amp;E al 1-800-311-SDGE (7343).</w:t>
      </w:r>
    </w:p>
    <w:p w14:paraId="4B179390" w14:textId="77777777" w:rsidR="00A23FBC" w:rsidRPr="00C66DFA" w:rsidRDefault="00C83E14" w:rsidP="00A40F28">
      <w:pPr>
        <w:pStyle w:val="BodyText"/>
        <w:jc w:val="both"/>
        <w:rPr>
          <w:b/>
          <w:bCs/>
          <w:szCs w:val="24"/>
        </w:rPr>
      </w:pPr>
    </w:p>
    <w:p w14:paraId="6284C737" w14:textId="77777777" w:rsidR="00472FB8" w:rsidRPr="009D7BC4" w:rsidRDefault="00C865D3" w:rsidP="00A40F28">
      <w:pPr>
        <w:pStyle w:val="BodyText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  <w:bdr w:val="nil"/>
          <w:lang w:val="es-ES"/>
        </w:rPr>
        <w:t>PARA MÁS INFORMACIÓN</w:t>
      </w:r>
    </w:p>
    <w:p w14:paraId="1ADB62E6" w14:textId="77777777" w:rsidR="00472FB8" w:rsidRPr="00C66DFA" w:rsidRDefault="00C865D3" w:rsidP="00A40F28">
      <w:pPr>
        <w:jc w:val="both"/>
      </w:pPr>
      <w:r>
        <w:rPr>
          <w:bdr w:val="nil"/>
          <w:lang w:val="es-ES"/>
        </w:rPr>
        <w:t>Puede solicitar mayor información u obtener una copia de la solicitud y los anexos relacionados escribiendo a: Wendy Johnson, Regulatory Business Manager, San Diego Gas &amp; Electric Company, 8330 Century Park Cour</w:t>
      </w:r>
      <w:r w:rsidR="00403B50">
        <w:rPr>
          <w:bdr w:val="nil"/>
          <w:lang w:val="es-ES"/>
        </w:rPr>
        <w:t xml:space="preserve">t, CP32F, San Diego, CA 92123. </w:t>
      </w:r>
      <w:r>
        <w:rPr>
          <w:bdr w:val="nil"/>
          <w:lang w:val="es-ES"/>
        </w:rPr>
        <w:t xml:space="preserve">SDG&amp;E proporcionará una copia de esta solicitud </w:t>
      </w:r>
      <w:r w:rsidR="00F217A4">
        <w:rPr>
          <w:bdr w:val="nil"/>
          <w:lang w:val="es-ES"/>
        </w:rPr>
        <w:t>a petición</w:t>
      </w:r>
      <w:r>
        <w:rPr>
          <w:bdr w:val="nil"/>
          <w:lang w:val="es-ES"/>
        </w:rPr>
        <w:t xml:space="preserve">. Se pueden revisar la solicitud y los anexos de SDG&amp;E en la Central Files Office de la CPUC, previa cita. Para más información, póngase en contacto escribiendo a </w:t>
      </w:r>
      <w:hyperlink r:id="rId9" w:history="1">
        <w:r>
          <w:rPr>
            <w:color w:val="0000FF"/>
            <w:u w:val="single"/>
            <w:bdr w:val="nil"/>
            <w:lang w:val="es-ES"/>
          </w:rPr>
          <w:t>aljcentralfilesid@cpuc.ca.gov</w:t>
        </w:r>
      </w:hyperlink>
      <w:r>
        <w:rPr>
          <w:bdr w:val="nil"/>
          <w:lang w:val="es-ES"/>
        </w:rPr>
        <w:t xml:space="preserve"> o llamando al (415) 703-2045. Una copia de esta solicitud puede inspeccionarse en las siguientes oficinas comerciales de SDG&amp;E:</w:t>
      </w:r>
    </w:p>
    <w:p w14:paraId="6D6DC3D4" w14:textId="77777777" w:rsidR="00472FB8" w:rsidRPr="00C66DFA" w:rsidRDefault="00C83E1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842251" w14:paraId="33E6730B" w14:textId="77777777"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6FE97A6" w14:textId="77777777" w:rsidR="00472FB8" w:rsidRPr="00C66DFA" w:rsidRDefault="00C865D3">
            <w:r>
              <w:rPr>
                <w:bdr w:val="nil"/>
                <w:lang w:val="es-ES"/>
              </w:rPr>
              <w:t>436 H St.</w:t>
            </w:r>
          </w:p>
          <w:p w14:paraId="100C8A0F" w14:textId="77777777" w:rsidR="00472FB8" w:rsidRPr="00C66DFA" w:rsidRDefault="00C865D3">
            <w:r>
              <w:rPr>
                <w:bdr w:val="nil"/>
                <w:lang w:val="es-ES"/>
              </w:rPr>
              <w:t>Chula Vista, CA 91910</w:t>
            </w:r>
          </w:p>
          <w:p w14:paraId="4C191141" w14:textId="77777777" w:rsidR="00472FB8" w:rsidRPr="00C66DFA" w:rsidRDefault="00C83E14"/>
          <w:p w14:paraId="78B7C01A" w14:textId="77777777" w:rsidR="00472FB8" w:rsidRPr="00C66DFA" w:rsidRDefault="00C865D3">
            <w:r>
              <w:rPr>
                <w:bdr w:val="nil"/>
                <w:lang w:val="es-ES"/>
              </w:rPr>
              <w:t>2405 E. Plaza Blvd.</w:t>
            </w:r>
          </w:p>
          <w:p w14:paraId="3C51AF50" w14:textId="77777777" w:rsidR="00472FB8" w:rsidRPr="00C66DFA" w:rsidRDefault="00C865D3">
            <w:r>
              <w:rPr>
                <w:bdr w:val="nil"/>
                <w:lang w:val="es-ES"/>
              </w:rPr>
              <w:t>National City, CA 91950</w:t>
            </w:r>
          </w:p>
          <w:p w14:paraId="24BF724C" w14:textId="77777777" w:rsidR="00472FB8" w:rsidRPr="00C66DFA" w:rsidRDefault="00C83E14"/>
          <w:p w14:paraId="5F90861B" w14:textId="77777777" w:rsidR="00472FB8" w:rsidRPr="00C66DFA" w:rsidRDefault="00C865D3">
            <w:r>
              <w:rPr>
                <w:bdr w:val="nil"/>
                <w:lang w:val="es-ES"/>
              </w:rPr>
              <w:t>440 Beech St.</w:t>
            </w:r>
          </w:p>
          <w:p w14:paraId="46759200" w14:textId="77777777" w:rsidR="00472FB8" w:rsidRPr="00C66DFA" w:rsidRDefault="00C865D3">
            <w:r>
              <w:rPr>
                <w:bdr w:val="nil"/>
                <w:lang w:val="es-ES"/>
              </w:rPr>
              <w:t>San Diego, CA 92101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76EDBD3" w14:textId="77777777" w:rsidR="00472FB8" w:rsidRPr="00C66DFA" w:rsidRDefault="00C865D3">
            <w:r>
              <w:rPr>
                <w:bdr w:val="nil"/>
                <w:lang w:val="es-ES"/>
              </w:rPr>
              <w:t>104 N. Johnson Ave.</w:t>
            </w:r>
          </w:p>
          <w:p w14:paraId="62F3EE9D" w14:textId="77777777" w:rsidR="00472FB8" w:rsidRPr="00C66DFA" w:rsidRDefault="00C865D3">
            <w:r>
              <w:rPr>
                <w:bdr w:val="nil"/>
                <w:lang w:val="es-ES"/>
              </w:rPr>
              <w:t>El Cajon, CA 92020</w:t>
            </w:r>
          </w:p>
          <w:p w14:paraId="4315E962" w14:textId="77777777" w:rsidR="00472FB8" w:rsidRPr="00C66DFA" w:rsidRDefault="00C83E14"/>
          <w:p w14:paraId="3AA7211B" w14:textId="77777777" w:rsidR="00472FB8" w:rsidRPr="00C66DFA" w:rsidRDefault="00C865D3">
            <w:r>
              <w:rPr>
                <w:bdr w:val="nil"/>
                <w:lang w:val="es-ES"/>
              </w:rPr>
              <w:t>336 Euclid Ave.</w:t>
            </w:r>
          </w:p>
          <w:p w14:paraId="38ADCDBE" w14:textId="77777777" w:rsidR="00472FB8" w:rsidRPr="00C66DFA" w:rsidRDefault="00C865D3">
            <w:r>
              <w:rPr>
                <w:bdr w:val="nil"/>
                <w:lang w:val="es-ES"/>
              </w:rPr>
              <w:t>San Diego, CA 92114</w:t>
            </w:r>
          </w:p>
          <w:p w14:paraId="7EBAD00E" w14:textId="77777777" w:rsidR="00472FB8" w:rsidRPr="00C66DFA" w:rsidRDefault="00C83E14"/>
          <w:p w14:paraId="5FCCA7B7" w14:textId="77777777" w:rsidR="00472FB8" w:rsidRPr="00C66DFA" w:rsidRDefault="00C83E14"/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494AF06C" w14:textId="77777777" w:rsidR="00472FB8" w:rsidRPr="00C66DFA" w:rsidRDefault="00C865D3">
            <w:r>
              <w:rPr>
                <w:bdr w:val="nil"/>
                <w:lang w:val="es-ES"/>
              </w:rPr>
              <w:t>644 W. Mission Ave.</w:t>
            </w:r>
          </w:p>
          <w:p w14:paraId="5AF62A03" w14:textId="77777777" w:rsidR="00472FB8" w:rsidRPr="00C66DFA" w:rsidRDefault="00C865D3">
            <w:r>
              <w:rPr>
                <w:bdr w:val="nil"/>
                <w:lang w:val="es-ES"/>
              </w:rPr>
              <w:t>Escondido, CA 92025</w:t>
            </w:r>
          </w:p>
          <w:p w14:paraId="30B69992" w14:textId="77777777" w:rsidR="00472FB8" w:rsidRPr="00C66DFA" w:rsidRDefault="00C83E14"/>
          <w:p w14:paraId="682E3FC4" w14:textId="77777777" w:rsidR="00472FB8" w:rsidRPr="00C66DFA" w:rsidRDefault="00C865D3">
            <w:r>
              <w:rPr>
                <w:bdr w:val="nil"/>
                <w:lang w:val="es-ES"/>
              </w:rPr>
              <w:t>2604 S. El Camino Real</w:t>
            </w:r>
          </w:p>
          <w:p w14:paraId="51513837" w14:textId="77777777" w:rsidR="00472FB8" w:rsidRPr="00C66DFA" w:rsidRDefault="00403B50">
            <w:r>
              <w:rPr>
                <w:bdr w:val="nil"/>
                <w:lang w:val="es-ES"/>
              </w:rPr>
              <w:t>Carlsbad, CA</w:t>
            </w:r>
            <w:r w:rsidR="00C865D3">
              <w:rPr>
                <w:bdr w:val="nil"/>
                <w:lang w:val="es-ES"/>
              </w:rPr>
              <w:t xml:space="preserve"> 92008</w:t>
            </w:r>
          </w:p>
        </w:tc>
      </w:tr>
    </w:tbl>
    <w:p w14:paraId="2AD83767" w14:textId="77777777" w:rsidR="00472FB8" w:rsidRPr="00C66DFA" w:rsidRDefault="00C83E14"/>
    <w:p w14:paraId="43D22C0E" w14:textId="77777777" w:rsidR="00472FB8" w:rsidRPr="00C66DFA" w:rsidRDefault="00C865D3" w:rsidP="00A40F28">
      <w:pPr>
        <w:jc w:val="both"/>
      </w:pPr>
      <w:r>
        <w:rPr>
          <w:bdr w:val="nil"/>
          <w:lang w:val="es-ES"/>
        </w:rPr>
        <w:t xml:space="preserve">La solicitud y los anexos relacionados también puede encontrarlos electrónicamente en el sitio web de SDG&amp;E en </w:t>
      </w:r>
      <w:hyperlink r:id="rId10" w:history="1">
        <w:r>
          <w:rPr>
            <w:color w:val="0000FF"/>
            <w:u w:val="single"/>
            <w:bdr w:val="nil"/>
            <w:lang w:val="es-ES"/>
          </w:rPr>
          <w:t>www.sdge.com/regulatory/cpuc.shtml</w:t>
        </w:r>
      </w:hyperlink>
      <w:r>
        <w:rPr>
          <w:bdr w:val="nil"/>
          <w:lang w:val="es-ES"/>
        </w:rPr>
        <w:t>.</w:t>
      </w:r>
    </w:p>
    <w:p w14:paraId="70F0F36B" w14:textId="77777777" w:rsidR="00FB1785" w:rsidRPr="00C66DFA" w:rsidRDefault="00C83E14" w:rsidP="00A40F28">
      <w:pPr>
        <w:jc w:val="both"/>
      </w:pPr>
    </w:p>
    <w:p w14:paraId="66B74402" w14:textId="77777777" w:rsidR="00472FB8" w:rsidRPr="00C66DFA" w:rsidRDefault="00C865D3" w:rsidP="00A40F28">
      <w:pPr>
        <w:jc w:val="both"/>
      </w:pPr>
      <w:r>
        <w:rPr>
          <w:bdr w:val="nil"/>
          <w:lang w:val="es-ES"/>
        </w:rPr>
        <w:t xml:space="preserve">Habrá copias de este encarte de factura para su consulta e impresión en el sitio web de SDG&amp;E en </w:t>
      </w:r>
      <w:hyperlink r:id="rId11" w:history="1">
        <w:r>
          <w:rPr>
            <w:color w:val="0000FF"/>
            <w:u w:val="single"/>
            <w:bdr w:val="nil"/>
            <w:lang w:val="es-ES"/>
          </w:rPr>
          <w:t>www.sdge.com/billinserts/regulatory.shtml</w:t>
        </w:r>
      </w:hyperlink>
      <w:r>
        <w:rPr>
          <w:bdr w:val="nil"/>
          <w:lang w:val="es-ES"/>
        </w:rPr>
        <w:t>.</w:t>
      </w:r>
    </w:p>
    <w:p w14:paraId="1FB8EF8C" w14:textId="77777777" w:rsidR="00472FB8" w:rsidRPr="00C66DFA" w:rsidRDefault="00C83E14" w:rsidP="00A40F28">
      <w:pPr>
        <w:jc w:val="both"/>
      </w:pPr>
    </w:p>
    <w:p w14:paraId="14CA9A24" w14:textId="77777777" w:rsidR="00FD4690" w:rsidRPr="009D7BC4" w:rsidRDefault="00C865D3" w:rsidP="00FD4690">
      <w:pPr>
        <w:pStyle w:val="BodyText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  <w:bdr w:val="nil"/>
          <w:lang w:val="es-ES"/>
        </w:rPr>
        <w:t xml:space="preserve">PROCESO DE LA CPUC </w:t>
      </w:r>
    </w:p>
    <w:p w14:paraId="3B88071C" w14:textId="77777777" w:rsidR="00FD4690" w:rsidRPr="00C66DFA" w:rsidRDefault="00C865D3" w:rsidP="00FD4690">
      <w:r>
        <w:rPr>
          <w:bdr w:val="nil"/>
          <w:lang w:val="es-ES"/>
        </w:rPr>
        <w:t>La presente solicitud conjunta será asignada a un Juez de Derecho Administrativo (Juez) quien determinará cómo se recibirán las pruebas y otros documentos relacionados, necesarios para que la CPUC establezca un acta</w:t>
      </w:r>
      <w:r w:rsidR="00403B50">
        <w:rPr>
          <w:bdr w:val="nil"/>
          <w:lang w:val="es-ES"/>
        </w:rPr>
        <w:t xml:space="preserve"> en la que basará su decisión. </w:t>
      </w:r>
      <w:r>
        <w:rPr>
          <w:bdr w:val="nil"/>
          <w:lang w:val="es-ES"/>
        </w:rPr>
        <w:t>Las audiencias para la presentación de pruebas pueden llevarse a cabo en donde las partes que aparecen en el acta presentarán su testimonio y pueden estar sujetas a un contrainterrog</w:t>
      </w:r>
      <w:r w:rsidR="00403B50">
        <w:rPr>
          <w:bdr w:val="nil"/>
          <w:lang w:val="es-ES"/>
        </w:rPr>
        <w:t>atorio por otras de las partes.</w:t>
      </w:r>
      <w:r>
        <w:rPr>
          <w:bdr w:val="nil"/>
          <w:lang w:val="es-ES"/>
        </w:rPr>
        <w:t xml:space="preserve"> Estas audiencias para la presentación de </w:t>
      </w:r>
      <w:r>
        <w:rPr>
          <w:bdr w:val="nil"/>
          <w:lang w:val="es-ES"/>
        </w:rPr>
        <w:lastRenderedPageBreak/>
        <w:t xml:space="preserve">pruebas están abiertas al público, pero sólo las partes que aparecen en el acta pueden participar. </w:t>
      </w:r>
    </w:p>
    <w:p w14:paraId="6C858134" w14:textId="77777777" w:rsidR="00FD4690" w:rsidRPr="00C66DFA" w:rsidRDefault="00C83E14" w:rsidP="00FD4690"/>
    <w:p w14:paraId="58BAA565" w14:textId="77777777" w:rsidR="00FD4690" w:rsidRPr="00C66DFA" w:rsidRDefault="00C865D3" w:rsidP="00FD4690">
      <w:r>
        <w:rPr>
          <w:bdr w:val="nil"/>
          <w:lang w:val="es-ES"/>
        </w:rPr>
        <w:t>Después de considerar todas las propuestas y pruebas presentadas durante el proceso formal de las audiencias, el Juez asignado emitirá una propuesta de decisión que tal vez adopte la propuesta de SDG&amp;</w:t>
      </w:r>
      <w:r w:rsidR="00403B50">
        <w:rPr>
          <w:bdr w:val="nil"/>
          <w:lang w:val="es-ES"/>
        </w:rPr>
        <w:t xml:space="preserve">E, la modifique o la deniegue. </w:t>
      </w:r>
      <w:r>
        <w:rPr>
          <w:bdr w:val="nil"/>
          <w:lang w:val="es-ES"/>
        </w:rPr>
        <w:t>Cualquier Comisionado de la CPUC pue</w:t>
      </w:r>
      <w:r w:rsidR="00403B50">
        <w:rPr>
          <w:bdr w:val="nil"/>
          <w:lang w:val="es-ES"/>
        </w:rPr>
        <w:t>de apoyar una decisión alterna.</w:t>
      </w:r>
      <w:r>
        <w:rPr>
          <w:bdr w:val="nil"/>
          <w:lang w:val="es-ES"/>
        </w:rPr>
        <w:t xml:space="preserve"> La decisión propuesta y cualquier decisión alterna se discutirán y someterán a voto en una Reunión de Votación de la CPUC, que se programe. </w:t>
      </w:r>
    </w:p>
    <w:p w14:paraId="0B67F720" w14:textId="77777777" w:rsidR="00FD4690" w:rsidRPr="00C66DFA" w:rsidRDefault="00C83E14" w:rsidP="00FD4690"/>
    <w:p w14:paraId="2E803B87" w14:textId="77777777" w:rsidR="00FD4690" w:rsidRPr="00C66DFA" w:rsidRDefault="00C865D3" w:rsidP="00FD4690">
      <w:r>
        <w:rPr>
          <w:bdr w:val="nil"/>
          <w:lang w:val="es-ES"/>
        </w:rPr>
        <w:t>La Oficina de Defensores del Contribuyente (ORA) puede examinar esta solicitud conjunta. ORA es el defensor independiente del consumidor dentro de la CPUC con un mandato legislativo para representar a clientes de empresas de servicios públicos propiedad de inversionistas a fin de obtener la tarifa más baja posible por un servicio, acorde con los niveles de un servicio confiable y seguro. ORA cuenta con un personal multidisciplinario con pericia en economía, finanzas, contabilid</w:t>
      </w:r>
      <w:r w:rsidR="00403B50">
        <w:rPr>
          <w:bdr w:val="nil"/>
          <w:lang w:val="es-ES"/>
        </w:rPr>
        <w:t xml:space="preserve">ad e ingeniería. </w:t>
      </w:r>
      <w:r>
        <w:rPr>
          <w:bdr w:val="nil"/>
          <w:lang w:val="es-ES"/>
        </w:rPr>
        <w:t xml:space="preserve">Para más información sobre ORA, por favor llame al (415) 703-1584, envíe un mensaje por correo electrónico a </w:t>
      </w:r>
      <w:hyperlink r:id="rId12" w:history="1">
        <w:r>
          <w:rPr>
            <w:color w:val="0000FF"/>
            <w:u w:val="single"/>
            <w:bdr w:val="nil"/>
            <w:lang w:val="es-ES"/>
          </w:rPr>
          <w:t>ora@cpuc.ca.gov</w:t>
        </w:r>
      </w:hyperlink>
      <w:r>
        <w:rPr>
          <w:bdr w:val="nil"/>
          <w:lang w:val="es-ES"/>
        </w:rPr>
        <w:t xml:space="preserve"> o visite el sitio web de ORA en </w:t>
      </w:r>
      <w:hyperlink r:id="rId13" w:history="1">
        <w:r>
          <w:rPr>
            <w:color w:val="0000FF"/>
            <w:u w:val="single"/>
            <w:bdr w:val="nil"/>
            <w:lang w:val="es-ES"/>
          </w:rPr>
          <w:t>www.ora.ca.gov</w:t>
        </w:r>
      </w:hyperlink>
      <w:r>
        <w:rPr>
          <w:bdr w:val="nil"/>
          <w:lang w:val="es-ES"/>
        </w:rPr>
        <w:t>.</w:t>
      </w:r>
    </w:p>
    <w:p w14:paraId="087866AA" w14:textId="77777777" w:rsidR="00FD4690" w:rsidRPr="00C66DFA" w:rsidRDefault="00C83E14" w:rsidP="00FD4690"/>
    <w:p w14:paraId="0E073937" w14:textId="77777777" w:rsidR="00FD4690" w:rsidRPr="009D7BC4" w:rsidRDefault="00C865D3" w:rsidP="00FD4690">
      <w:pPr>
        <w:rPr>
          <w:b/>
          <w:u w:val="single"/>
        </w:rPr>
      </w:pPr>
      <w:r>
        <w:rPr>
          <w:b/>
          <w:bCs/>
          <w:u w:val="single"/>
          <w:bdr w:val="nil"/>
          <w:lang w:val="es-ES"/>
        </w:rPr>
        <w:t>MANTÉNGASE INFORMADO</w:t>
      </w:r>
    </w:p>
    <w:p w14:paraId="462AA1F6" w14:textId="77777777" w:rsidR="00737AAE" w:rsidRPr="00C66DFA" w:rsidRDefault="00C865D3" w:rsidP="00737AAE">
      <w:r>
        <w:rPr>
          <w:bdr w:val="nil"/>
          <w:lang w:val="es-ES"/>
        </w:rPr>
        <w:t xml:space="preserve">Si desea seguir este procedimiento, o cualquier otro asunto presentado ante la CPUC, puede utilizar el servicio de suscripción gratuito de la CPUC. Inscríbase en: </w:t>
      </w:r>
      <w:hyperlink r:id="rId14" w:history="1">
        <w:r>
          <w:rPr>
            <w:color w:val="0000FF"/>
            <w:u w:val="single"/>
            <w:bdr w:val="nil"/>
            <w:lang w:val="es-ES"/>
          </w:rPr>
          <w:t>http://subscribecpuc.cpuc.ca.gov/</w:t>
        </w:r>
      </w:hyperlink>
      <w:r>
        <w:rPr>
          <w:bdr w:val="nil"/>
          <w:lang w:val="es-ES"/>
        </w:rPr>
        <w:t>.</w:t>
      </w:r>
    </w:p>
    <w:p w14:paraId="6C942FEF" w14:textId="77777777" w:rsidR="00737AAE" w:rsidRPr="00C66DFA" w:rsidRDefault="00C83E14" w:rsidP="00737AAE"/>
    <w:p w14:paraId="0BFFCE4D" w14:textId="77777777" w:rsidR="00737AAE" w:rsidRPr="00C66DFA" w:rsidRDefault="00C865D3" w:rsidP="00737AAE">
      <w:r>
        <w:rPr>
          <w:bdr w:val="nil"/>
          <w:lang w:val="es-ES"/>
        </w:rPr>
        <w:t xml:space="preserve">Si quiere obtener información sobre cómo puede participar en el procedimiento, o si tiene comentarios informales acerca de la solicitud, o preguntas sobre los procesos de la CPUC, puede entrar a la página web de la Oficina del Asesor Público (PAO) de la CPUC en </w:t>
      </w:r>
      <w:hyperlink r:id="rId15" w:history="1">
        <w:r>
          <w:rPr>
            <w:color w:val="0000FF"/>
            <w:u w:val="single"/>
            <w:bdr w:val="nil"/>
            <w:lang w:val="es-ES"/>
          </w:rPr>
          <w:t>http://www.cpuc.ca.gov/pao/</w:t>
        </w:r>
      </w:hyperlink>
      <w:r w:rsidR="00403B50">
        <w:rPr>
          <w:bdr w:val="nil"/>
          <w:lang w:val="es-ES"/>
        </w:rPr>
        <w:t xml:space="preserve">. </w:t>
      </w:r>
      <w:r>
        <w:rPr>
          <w:bdr w:val="nil"/>
          <w:lang w:val="es-ES"/>
        </w:rPr>
        <w:t>También puede ponerse en contacto con la PAO de la siguiente manera:</w:t>
      </w:r>
    </w:p>
    <w:p w14:paraId="6F9A17CB" w14:textId="77777777" w:rsidR="00737AAE" w:rsidRPr="00C66DFA" w:rsidRDefault="00C83E14" w:rsidP="00737AAE"/>
    <w:p w14:paraId="058FACF4" w14:textId="77777777" w:rsidR="00737AAE" w:rsidRPr="00C66DFA" w:rsidRDefault="00C865D3" w:rsidP="00737AAE">
      <w:r>
        <w:rPr>
          <w:bdr w:val="nil"/>
          <w:lang w:val="es-ES"/>
        </w:rPr>
        <w:t xml:space="preserve">Envíe un mensaje por correo electrónico a: </w:t>
      </w:r>
      <w:r>
        <w:rPr>
          <w:bdr w:val="nil"/>
          <w:lang w:val="es-ES"/>
        </w:rPr>
        <w:tab/>
        <w:t xml:space="preserve">public.advisor@cpuc.ca.gov </w:t>
      </w:r>
    </w:p>
    <w:p w14:paraId="73EAB6D3" w14:textId="77777777" w:rsidR="00737AAE" w:rsidRPr="00C66DFA" w:rsidRDefault="00C83E14" w:rsidP="00737AAE"/>
    <w:p w14:paraId="0E74A09C" w14:textId="77777777" w:rsidR="00737AAE" w:rsidRPr="00C66DFA" w:rsidRDefault="00C865D3" w:rsidP="00737AAE">
      <w:r>
        <w:rPr>
          <w:bdr w:val="nil"/>
          <w:lang w:val="es-ES"/>
        </w:rPr>
        <w:t>Escriba a:</w:t>
      </w:r>
      <w:r>
        <w:rPr>
          <w:bdr w:val="nil"/>
          <w:lang w:val="es-ES"/>
        </w:rPr>
        <w:tab/>
        <w:t>CPUC</w:t>
      </w:r>
    </w:p>
    <w:p w14:paraId="2B424023" w14:textId="77777777" w:rsidR="00737AAE" w:rsidRPr="00C66DFA" w:rsidRDefault="00C865D3" w:rsidP="00737AAE">
      <w:r>
        <w:rPr>
          <w:bdr w:val="nil"/>
          <w:lang w:val="es-ES"/>
        </w:rPr>
        <w:t xml:space="preserve">            </w:t>
      </w:r>
      <w:r w:rsidR="005559AA">
        <w:rPr>
          <w:bdr w:val="nil"/>
          <w:lang w:val="es-ES"/>
        </w:rPr>
        <w:tab/>
      </w:r>
      <w:proofErr w:type="spellStart"/>
      <w:r>
        <w:rPr>
          <w:bdr w:val="nil"/>
          <w:lang w:val="es-ES"/>
        </w:rPr>
        <w:t>Public</w:t>
      </w:r>
      <w:proofErr w:type="spellEnd"/>
      <w:r>
        <w:rPr>
          <w:bdr w:val="nil"/>
          <w:lang w:val="es-ES"/>
        </w:rPr>
        <w:t xml:space="preserve"> </w:t>
      </w:r>
      <w:proofErr w:type="spellStart"/>
      <w:r>
        <w:rPr>
          <w:bdr w:val="nil"/>
          <w:lang w:val="es-ES"/>
        </w:rPr>
        <w:t>Advisor’s</w:t>
      </w:r>
      <w:proofErr w:type="spellEnd"/>
      <w:r>
        <w:rPr>
          <w:bdr w:val="nil"/>
          <w:lang w:val="es-ES"/>
        </w:rPr>
        <w:t xml:space="preserve"> Office</w:t>
      </w:r>
    </w:p>
    <w:p w14:paraId="27A352C9" w14:textId="77777777" w:rsidR="00737AAE" w:rsidRPr="00C66DFA" w:rsidRDefault="00C865D3" w:rsidP="005559AA">
      <w:pPr>
        <w:ind w:left="720" w:firstLine="720"/>
      </w:pPr>
      <w:r>
        <w:rPr>
          <w:bdr w:val="nil"/>
          <w:lang w:val="es-ES"/>
        </w:rPr>
        <w:t xml:space="preserve">505 Van Ness </w:t>
      </w:r>
      <w:proofErr w:type="spellStart"/>
      <w:r>
        <w:rPr>
          <w:bdr w:val="nil"/>
          <w:lang w:val="es-ES"/>
        </w:rPr>
        <w:t>Avenue</w:t>
      </w:r>
      <w:proofErr w:type="spellEnd"/>
    </w:p>
    <w:p w14:paraId="3FABBB37" w14:textId="77777777" w:rsidR="00737AAE" w:rsidRPr="00C66DFA" w:rsidRDefault="00C865D3" w:rsidP="00737AAE">
      <w:r>
        <w:rPr>
          <w:bdr w:val="nil"/>
          <w:lang w:val="es-ES"/>
        </w:rPr>
        <w:tab/>
      </w:r>
      <w:r w:rsidR="005559AA">
        <w:rPr>
          <w:bdr w:val="nil"/>
          <w:lang w:val="es-ES"/>
        </w:rPr>
        <w:tab/>
      </w:r>
      <w:r>
        <w:rPr>
          <w:bdr w:val="nil"/>
          <w:lang w:val="es-ES"/>
        </w:rPr>
        <w:t>San Francisco, CA 94102</w:t>
      </w:r>
    </w:p>
    <w:p w14:paraId="3A3A10C9" w14:textId="77777777" w:rsidR="00737AAE" w:rsidRPr="00C66DFA" w:rsidRDefault="00C865D3" w:rsidP="00737AAE">
      <w:r>
        <w:rPr>
          <w:bdr w:val="nil"/>
          <w:lang w:val="es-ES"/>
        </w:rPr>
        <w:t xml:space="preserve">Llame al:  </w:t>
      </w:r>
      <w:r>
        <w:rPr>
          <w:bdr w:val="nil"/>
          <w:lang w:val="es-ES"/>
        </w:rPr>
        <w:tab/>
        <w:t>1-866-849-8390 (sin costo) o al 1-415-703-2074</w:t>
      </w:r>
    </w:p>
    <w:p w14:paraId="60A2C6C2" w14:textId="77777777" w:rsidR="00737AAE" w:rsidRPr="00C66DFA" w:rsidRDefault="00C865D3" w:rsidP="005559AA">
      <w:pPr>
        <w:pStyle w:val="BodyText"/>
        <w:ind w:left="720" w:firstLine="720"/>
        <w:jc w:val="both"/>
        <w:rPr>
          <w:szCs w:val="24"/>
        </w:rPr>
      </w:pPr>
      <w:r>
        <w:rPr>
          <w:szCs w:val="24"/>
          <w:bdr w:val="nil"/>
          <w:lang w:val="es-ES"/>
        </w:rPr>
        <w:t>TTY 1-866-836-7825 (sin costo) o 1-415-703-5282</w:t>
      </w:r>
    </w:p>
    <w:p w14:paraId="5FAFF537" w14:textId="77777777" w:rsidR="00737AAE" w:rsidRPr="00C66DFA" w:rsidRDefault="00C83E14" w:rsidP="00737AAE">
      <w:pPr>
        <w:pStyle w:val="BodyText"/>
        <w:jc w:val="both"/>
        <w:rPr>
          <w:szCs w:val="24"/>
        </w:rPr>
      </w:pPr>
    </w:p>
    <w:p w14:paraId="7C5F18AB" w14:textId="77777777" w:rsidR="00737AAE" w:rsidRPr="00C66DFA" w:rsidRDefault="00C865D3" w:rsidP="00737AAE">
      <w:pPr>
        <w:pStyle w:val="BodyText"/>
        <w:jc w:val="both"/>
        <w:rPr>
          <w:szCs w:val="24"/>
        </w:rPr>
      </w:pPr>
      <w:r>
        <w:rPr>
          <w:szCs w:val="24"/>
          <w:bdr w:val="nil"/>
          <w:lang w:val="es-ES"/>
        </w:rPr>
        <w:t>Por favor haga referencia a SDG&amp;E Application No. A.16-11-XXX en cualesquiera comunicaciones que sostenga con la CPUC en relación con este asunto. Todos los comentarios públicos se volverán parte del expediente de correspondencia pública de este procedimiento y se pondrán a disposición del Juez asignado, los Comisionados y el personal pertinente de la CPUC para su revisión.</w:t>
      </w:r>
    </w:p>
    <w:p w14:paraId="67424238" w14:textId="77777777" w:rsidR="00472FB8" w:rsidRPr="00C66DFA" w:rsidRDefault="00C83E14" w:rsidP="00737AAE"/>
    <w:sectPr w:rsidR="00472FB8" w:rsidRPr="00C66DFA" w:rsidSect="00A40F28">
      <w:headerReference w:type="default" r:id="rId16"/>
      <w:footerReference w:type="default" r:id="rId17"/>
      <w:pgSz w:w="12240" w:h="15840"/>
      <w:pgMar w:top="1008" w:right="1728" w:bottom="1008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8D75B" w14:textId="77777777" w:rsidR="00C83E14" w:rsidRDefault="00C83E14">
      <w:r>
        <w:separator/>
      </w:r>
    </w:p>
  </w:endnote>
  <w:endnote w:type="continuationSeparator" w:id="0">
    <w:p w14:paraId="40A40717" w14:textId="77777777" w:rsidR="00C83E14" w:rsidRDefault="00C8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E2A42" w14:textId="77777777" w:rsidR="001839EA" w:rsidRDefault="00C83E1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B2982" w14:textId="77777777" w:rsidR="00C83E14" w:rsidRDefault="00C83E14" w:rsidP="007450E0">
      <w:r>
        <w:separator/>
      </w:r>
    </w:p>
  </w:footnote>
  <w:footnote w:type="continuationSeparator" w:id="0">
    <w:p w14:paraId="60A88EF1" w14:textId="77777777" w:rsidR="00C83E14" w:rsidRDefault="00C83E14" w:rsidP="007450E0">
      <w:r>
        <w:continuationSeparator/>
      </w:r>
    </w:p>
  </w:footnote>
  <w:footnote w:id="1">
    <w:p w14:paraId="3E6FF195" w14:textId="77777777" w:rsidR="001C6509" w:rsidRDefault="00C865D3">
      <w:pPr>
        <w:pStyle w:val="FootnoteText"/>
      </w:pPr>
      <w:r>
        <w:rPr>
          <w:rStyle w:val="FootnoteReference"/>
        </w:rPr>
        <w:footnoteRef/>
      </w:r>
      <w:r>
        <w:rPr>
          <w:bdr w:val="nil"/>
          <w:lang w:val="es-ES"/>
        </w:rPr>
        <w:t xml:space="preserve"> SCE tiene una participación de 78.21% en las </w:t>
      </w:r>
      <w:r w:rsidR="001A1B1B">
        <w:rPr>
          <w:bdr w:val="nil"/>
          <w:lang w:val="es-ES"/>
        </w:rPr>
        <w:t xml:space="preserve">Unidades </w:t>
      </w:r>
      <w:r>
        <w:rPr>
          <w:bdr w:val="nil"/>
          <w:lang w:val="es-ES"/>
        </w:rPr>
        <w:t xml:space="preserve">2 y 3 de la SONGS. SDG&amp;E tiene una participación de 20% en las </w:t>
      </w:r>
      <w:r w:rsidR="001A1B1B">
        <w:rPr>
          <w:bdr w:val="nil"/>
          <w:lang w:val="es-ES"/>
        </w:rPr>
        <w:t xml:space="preserve">Unidades </w:t>
      </w:r>
      <w:r>
        <w:rPr>
          <w:bdr w:val="nil"/>
          <w:lang w:val="es-ES"/>
        </w:rPr>
        <w:t xml:space="preserve">2 y 3 de la SONGS. La </w:t>
      </w:r>
      <w:r w:rsidR="001A1B1B">
        <w:rPr>
          <w:bdr w:val="nil"/>
          <w:lang w:val="es-ES"/>
        </w:rPr>
        <w:t>c</w:t>
      </w:r>
      <w:r>
        <w:rPr>
          <w:bdr w:val="nil"/>
          <w:lang w:val="es-ES"/>
        </w:rPr>
        <w:t xml:space="preserve">iudad de Riverside tiene la participación restante de 1.79% en las </w:t>
      </w:r>
      <w:r w:rsidR="001A1B1B">
        <w:rPr>
          <w:bdr w:val="nil"/>
          <w:lang w:val="es-ES"/>
        </w:rPr>
        <w:t xml:space="preserve">Unidades </w:t>
      </w:r>
      <w:r>
        <w:rPr>
          <w:bdr w:val="nil"/>
          <w:lang w:val="es-ES"/>
        </w:rPr>
        <w:t>2 y 3 de la SONGS.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2ED78" w14:textId="77777777" w:rsidR="001839EA" w:rsidRDefault="00C83E1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B1CC1"/>
    <w:multiLevelType w:val="hybridMultilevel"/>
    <w:tmpl w:val="C08C2BCA"/>
    <w:lvl w:ilvl="0" w:tplc="A6E66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F0E8F2" w:tentative="1">
      <w:start w:val="1"/>
      <w:numFmt w:val="lowerLetter"/>
      <w:lvlText w:val="%2."/>
      <w:lvlJc w:val="left"/>
      <w:pPr>
        <w:ind w:left="1440" w:hanging="360"/>
      </w:pPr>
    </w:lvl>
    <w:lvl w:ilvl="2" w:tplc="2F2AE8EE" w:tentative="1">
      <w:start w:val="1"/>
      <w:numFmt w:val="lowerRoman"/>
      <w:lvlText w:val="%3."/>
      <w:lvlJc w:val="right"/>
      <w:pPr>
        <w:ind w:left="2160" w:hanging="180"/>
      </w:pPr>
    </w:lvl>
    <w:lvl w:ilvl="3" w:tplc="71CE86E2" w:tentative="1">
      <w:start w:val="1"/>
      <w:numFmt w:val="decimal"/>
      <w:lvlText w:val="%4."/>
      <w:lvlJc w:val="left"/>
      <w:pPr>
        <w:ind w:left="2880" w:hanging="360"/>
      </w:pPr>
    </w:lvl>
    <w:lvl w:ilvl="4" w:tplc="0FC2D142" w:tentative="1">
      <w:start w:val="1"/>
      <w:numFmt w:val="lowerLetter"/>
      <w:lvlText w:val="%5."/>
      <w:lvlJc w:val="left"/>
      <w:pPr>
        <w:ind w:left="3600" w:hanging="360"/>
      </w:pPr>
    </w:lvl>
    <w:lvl w:ilvl="5" w:tplc="90C07C16" w:tentative="1">
      <w:start w:val="1"/>
      <w:numFmt w:val="lowerRoman"/>
      <w:lvlText w:val="%6."/>
      <w:lvlJc w:val="right"/>
      <w:pPr>
        <w:ind w:left="4320" w:hanging="180"/>
      </w:pPr>
    </w:lvl>
    <w:lvl w:ilvl="6" w:tplc="FA82ED1A" w:tentative="1">
      <w:start w:val="1"/>
      <w:numFmt w:val="decimal"/>
      <w:lvlText w:val="%7."/>
      <w:lvlJc w:val="left"/>
      <w:pPr>
        <w:ind w:left="5040" w:hanging="360"/>
      </w:pPr>
    </w:lvl>
    <w:lvl w:ilvl="7" w:tplc="B898534A" w:tentative="1">
      <w:start w:val="1"/>
      <w:numFmt w:val="lowerLetter"/>
      <w:lvlText w:val="%8."/>
      <w:lvlJc w:val="left"/>
      <w:pPr>
        <w:ind w:left="5760" w:hanging="360"/>
      </w:pPr>
    </w:lvl>
    <w:lvl w:ilvl="8" w:tplc="AE0480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51"/>
    <w:rsid w:val="001663E1"/>
    <w:rsid w:val="001A1B1B"/>
    <w:rsid w:val="00403B50"/>
    <w:rsid w:val="0052742A"/>
    <w:rsid w:val="005559AA"/>
    <w:rsid w:val="005D2E59"/>
    <w:rsid w:val="0068326E"/>
    <w:rsid w:val="006B3B9D"/>
    <w:rsid w:val="007C0F88"/>
    <w:rsid w:val="00842251"/>
    <w:rsid w:val="008F7EFF"/>
    <w:rsid w:val="00B14B13"/>
    <w:rsid w:val="00C83E14"/>
    <w:rsid w:val="00C865D3"/>
    <w:rsid w:val="00D3597F"/>
    <w:rsid w:val="00E30E8E"/>
    <w:rsid w:val="00F16638"/>
    <w:rsid w:val="00F17093"/>
    <w:rsid w:val="00F217A4"/>
    <w:rsid w:val="00F8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4A3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rPr>
      <w:szCs w:val="20"/>
    </w:rPr>
  </w:style>
  <w:style w:type="paragraph" w:styleId="FootnoteText">
    <w:name w:val="footnote text"/>
    <w:basedOn w:val="Normal"/>
    <w:link w:val="FootnoteTextChar"/>
    <w:rsid w:val="007450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450E0"/>
  </w:style>
  <w:style w:type="character" w:styleId="FootnoteReference">
    <w:name w:val="footnote reference"/>
    <w:rsid w:val="007450E0"/>
    <w:rPr>
      <w:vertAlign w:val="superscript"/>
    </w:rPr>
  </w:style>
  <w:style w:type="character" w:customStyle="1" w:styleId="FootnoteTextChar1">
    <w:name w:val="Footnote Text Char1"/>
    <w:rsid w:val="005C2D7E"/>
  </w:style>
  <w:style w:type="character" w:styleId="Strong">
    <w:name w:val="Strong"/>
    <w:qFormat/>
    <w:rsid w:val="00A30BD0"/>
    <w:rPr>
      <w:b/>
      <w:bCs/>
    </w:rPr>
  </w:style>
  <w:style w:type="paragraph" w:styleId="Header">
    <w:name w:val="header"/>
    <w:basedOn w:val="Normal"/>
    <w:link w:val="HeaderChar"/>
    <w:uiPriority w:val="99"/>
    <w:rsid w:val="00DE03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334"/>
    <w:rPr>
      <w:sz w:val="24"/>
      <w:szCs w:val="24"/>
    </w:rPr>
  </w:style>
  <w:style w:type="paragraph" w:styleId="Footer">
    <w:name w:val="footer"/>
    <w:basedOn w:val="Normal"/>
    <w:link w:val="FooterChar"/>
    <w:rsid w:val="00DE03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E0334"/>
    <w:rPr>
      <w:sz w:val="24"/>
      <w:szCs w:val="24"/>
    </w:rPr>
  </w:style>
  <w:style w:type="paragraph" w:styleId="Revision">
    <w:name w:val="Revision"/>
    <w:hidden/>
    <w:uiPriority w:val="99"/>
    <w:semiHidden/>
    <w:rsid w:val="001E15C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dge.com/billinserts/regulatory.shtml" TargetMode="External"/><Relationship Id="rId12" Type="http://schemas.openxmlformats.org/officeDocument/2006/relationships/hyperlink" Target="mailto:ora@cpuc.ca.gov" TargetMode="External"/><Relationship Id="rId13" Type="http://schemas.openxmlformats.org/officeDocument/2006/relationships/hyperlink" Target="http://www.ora.ca.gov" TargetMode="External"/><Relationship Id="rId14" Type="http://schemas.openxmlformats.org/officeDocument/2006/relationships/hyperlink" Target="http://subscribecpuc.cpuc.ca.gov/" TargetMode="External"/><Relationship Id="rId15" Type="http://schemas.openxmlformats.org/officeDocument/2006/relationships/hyperlink" Target="http://www.cpuc.ca.gov/pao/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ljcentralfilesid@cpuc.ca.gov" TargetMode="External"/><Relationship Id="rId10" Type="http://schemas.openxmlformats.org/officeDocument/2006/relationships/hyperlink" Target="http://www.sdge.com/regulatory/cpuc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E0E31-AB2D-5C4B-A946-6A91DBE6D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DB493C-FE2A-C843-A053-317FA717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1760</Words>
  <Characters>9416</Characters>
  <Application>Microsoft Macintosh Word</Application>
  <DocSecurity>0</DocSecurity>
  <Lines>627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 mas detalles llame al 1-800-311-7343</vt:lpstr>
    </vt:vector>
  </TitlesOfParts>
  <Manager/>
  <Company>Sempra Energy Utilities</Company>
  <LinksUpToDate>false</LinksUpToDate>
  <CharactersWithSpaces>10966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mas detalles llame al 1-800-311-7343</dc:title>
  <dc:subject/>
  <dc:creator>Kari Kloberdanz</dc:creator>
  <cp:keywords/>
  <dc:description/>
  <cp:lastModifiedBy>Rogelio Camacho</cp:lastModifiedBy>
  <cp:revision>3</cp:revision>
  <cp:lastPrinted>2016-11-21T17:49:00Z</cp:lastPrinted>
  <dcterms:created xsi:type="dcterms:W3CDTF">2016-12-12T15:29:00Z</dcterms:created>
  <dcterms:modified xsi:type="dcterms:W3CDTF">2016-12-12T15:29:00Z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ABAAmJ+7jnJ2eOWQzQWIAT2SIh/QpaDvDAeCzcuCtEx3ZioYnMJ0LxspkYdZArC1+7jD</vt:lpwstr>
  </property>
  <property fmtid="{D5CDD505-2E9C-101B-9397-08002B2CF9AE}" pid="3" name="MAIL_MSG_ID1">
    <vt:lpwstr>oFAAuCENMj9rVEKKCjI45HPK5e2Qpx3sJLcQja5m9fiZbeB96tuKsW7g9c8x9/ZZw263fGxvZxAaZaoA
z4I5TU5KnXhqKGopYHkq0+QrAlbFe8KJgsPFSajmUjeTLVGUH2sTEvhCSksQ86vzRjIHYd3jfOV3
aml4PYKH698Ypj/NoRZwmYyYwuE5qTez9BUxXukmGtG32Dt4bE5IHV2pfoXEo3tVUr/PN9yUIMwm
3oqbZVHBvA/2QT9Iu</vt:lpwstr>
  </property>
  <property fmtid="{D5CDD505-2E9C-101B-9397-08002B2CF9AE}" pid="4" name="MAIL_MSG_ID2">
    <vt:lpwstr>ltP1IoRSlKC93iMTAegHOjoOVROMQxTGDJJgWwYyFfONWMRYkTXuO7Yf2CD
bHyx3Ych41dUnMn2gtLi0tBXHDyxHzmrRkaWR4rL2KoKHXO2</vt:lpwstr>
  </property>
  <property fmtid="{D5CDD505-2E9C-101B-9397-08002B2CF9AE}" pid="5" name="RESPONSE_SENDER_NAME">
    <vt:lpwstr>sAAAE9kkUq3pEoIDj4NBZIY8bBF9jxOoqu62aFkwCteBKmY=</vt:lpwstr>
  </property>
  <property fmtid="{D5CDD505-2E9C-101B-9397-08002B2CF9AE}" pid="6" name="_NewReviewCycle">
    <vt:lpwstr/>
  </property>
</Properties>
</file>