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E73" w:rsidRPr="00017CFB" w:rsidRDefault="00017CFB">
      <w:pPr>
        <w:spacing w:before="56"/>
        <w:ind w:left="1972" w:firstLine="842"/>
        <w:rPr>
          <w:rFonts w:ascii="Times New Roman" w:eastAsia="Times New Roman" w:hAnsi="Times New Roman" w:cs="Times New Roman"/>
          <w:lang w:val="es-ES"/>
        </w:rPr>
      </w:pPr>
      <w:bookmarkStart w:id="0" w:name="_GoBack"/>
      <w:bookmarkEnd w:id="0"/>
      <w:r w:rsidRPr="00017CFB">
        <w:rPr>
          <w:rFonts w:ascii="Times New Roman" w:eastAsia="Times New Roman" w:hAnsi="Times New Roman" w:cs="Times New Roman"/>
          <w:lang w:val="es-ES"/>
        </w:rPr>
        <w:t>Para más detalles, llame al 1-800-311-7343</w:t>
      </w:r>
    </w:p>
    <w:p w:rsidR="00BD0E73" w:rsidRPr="00017CFB" w:rsidRDefault="00017CFB" w:rsidP="004A6A01">
      <w:pPr>
        <w:pStyle w:val="Heading1"/>
        <w:spacing w:before="108"/>
        <w:ind w:left="1492" w:right="1394"/>
        <w:jc w:val="center"/>
        <w:rPr>
          <w:rFonts w:cs="Times New Roman"/>
          <w:lang w:val="es-ES"/>
        </w:rPr>
      </w:pPr>
      <w:r w:rsidRPr="00017CFB">
        <w:rPr>
          <w:rFonts w:cs="Times New Roman"/>
          <w:spacing w:val="-1"/>
          <w:lang w:val="es-ES"/>
        </w:rPr>
        <w:t>AVISO DE AUDIENCIAS DE PARTICIPACIÓN PÚBLICA RESPECTO A LA PETICIÓN DE SAN DIEGO GAS &amp; ELECTRIC COMPANY DE AUMENTAR LAS TARIFAS PARA LA REVISIÓN GENERAL DE TARIFAS FASE 2</w:t>
      </w:r>
    </w:p>
    <w:p w:rsidR="00BD0E73" w:rsidRPr="00017CFB" w:rsidRDefault="00017CFB">
      <w:pPr>
        <w:spacing w:before="2"/>
        <w:ind w:left="2963" w:right="2861"/>
        <w:jc w:val="center"/>
        <w:rPr>
          <w:rFonts w:ascii="Times New Roman" w:eastAsia="Arial" w:hAnsi="Times New Roman" w:cs="Times New Roman"/>
          <w:b/>
          <w:sz w:val="24"/>
          <w:szCs w:val="24"/>
          <w:lang w:val="es-ES"/>
        </w:rPr>
      </w:pPr>
      <w:bookmarkStart w:id="1" w:name="APPLICATION_A.15-04-012"/>
      <w:bookmarkEnd w:id="1"/>
      <w:r w:rsidRPr="00017CFB">
        <w:rPr>
          <w:rFonts w:ascii="Times New Roman" w:eastAsia="Times New Roman" w:hAnsi="Times New Roman" w:cs="Times New Roman"/>
          <w:b/>
          <w:bCs/>
          <w:spacing w:val="-1"/>
          <w:sz w:val="24"/>
          <w:szCs w:val="24"/>
          <w:lang w:val="es-ES"/>
        </w:rPr>
        <w:t>SOLICITUD A.19-03-002</w:t>
      </w:r>
    </w:p>
    <w:p w:rsidR="00BD0E73" w:rsidRPr="00017CFB" w:rsidRDefault="00BD0E73">
      <w:pPr>
        <w:spacing w:before="9"/>
        <w:rPr>
          <w:rFonts w:ascii="Arial" w:eastAsia="Arial" w:hAnsi="Arial" w:cs="Arial"/>
          <w:i/>
          <w:sz w:val="27"/>
          <w:szCs w:val="27"/>
          <w:lang w:val="es-ES"/>
        </w:rPr>
      </w:pPr>
    </w:p>
    <w:p w:rsidR="001C65A1" w:rsidRPr="00017CFB" w:rsidRDefault="001C65A1" w:rsidP="00EA42E4">
      <w:pPr>
        <w:widowControl/>
        <w:autoSpaceDE w:val="0"/>
        <w:autoSpaceDN w:val="0"/>
        <w:adjustRightInd w:val="0"/>
        <w:rPr>
          <w:rFonts w:ascii="Times New Roman" w:eastAsia="Times New Roman" w:hAnsi="Times New Roman"/>
          <w:spacing w:val="-1"/>
          <w:sz w:val="24"/>
          <w:szCs w:val="24"/>
          <w:lang w:val="es-ES"/>
        </w:rPr>
      </w:pPr>
    </w:p>
    <w:tbl>
      <w:tblPr>
        <w:tblStyle w:val="TableGrid"/>
        <w:tblW w:w="0" w:type="auto"/>
        <w:jc w:val="center"/>
        <w:tblLook w:val="04A0" w:firstRow="1" w:lastRow="0" w:firstColumn="1" w:lastColumn="0" w:noHBand="0" w:noVBand="1"/>
      </w:tblPr>
      <w:tblGrid>
        <w:gridCol w:w="3335"/>
        <w:gridCol w:w="4045"/>
      </w:tblGrid>
      <w:tr w:rsidR="00455019" w:rsidRPr="00017CFB" w:rsidTr="00F665A4">
        <w:trPr>
          <w:jc w:val="center"/>
        </w:trPr>
        <w:tc>
          <w:tcPr>
            <w:tcW w:w="3335" w:type="dxa"/>
          </w:tcPr>
          <w:p w:rsidR="001C65A1" w:rsidRPr="00017CFB" w:rsidRDefault="00017CFB" w:rsidP="00EA42E4">
            <w:pPr>
              <w:autoSpaceDE w:val="0"/>
              <w:autoSpaceDN w:val="0"/>
              <w:adjustRightInd w:val="0"/>
              <w:rPr>
                <w:rFonts w:eastAsia="Times New Roman"/>
                <w:b/>
                <w:bCs/>
                <w:spacing w:val="-1"/>
                <w:lang w:val="es-ES"/>
              </w:rPr>
            </w:pPr>
            <w:r w:rsidRPr="00017CFB">
              <w:rPr>
                <w:rFonts w:eastAsia="Times New Roman"/>
                <w:b/>
                <w:bCs/>
                <w:spacing w:val="-1"/>
                <w:lang w:val="es-ES"/>
              </w:rPr>
              <w:t>FECHA</w:t>
            </w:r>
            <w:r w:rsidRPr="00017CFB">
              <w:rPr>
                <w:rFonts w:eastAsia="Times New Roman"/>
                <w:spacing w:val="-1"/>
                <w:lang w:val="es-ES"/>
              </w:rPr>
              <w:t xml:space="preserve"> </w:t>
            </w:r>
          </w:p>
        </w:tc>
        <w:tc>
          <w:tcPr>
            <w:tcW w:w="4045" w:type="dxa"/>
          </w:tcPr>
          <w:p w:rsidR="001C65A1" w:rsidRPr="00017CFB" w:rsidRDefault="00017CFB" w:rsidP="00EA42E4">
            <w:pPr>
              <w:autoSpaceDE w:val="0"/>
              <w:autoSpaceDN w:val="0"/>
              <w:adjustRightInd w:val="0"/>
              <w:rPr>
                <w:rFonts w:eastAsia="Times New Roman"/>
                <w:b/>
                <w:bCs/>
                <w:spacing w:val="-1"/>
                <w:lang w:val="es-ES"/>
              </w:rPr>
            </w:pPr>
            <w:r w:rsidRPr="00017CFB">
              <w:rPr>
                <w:rFonts w:eastAsia="Times New Roman"/>
                <w:b/>
                <w:bCs/>
                <w:spacing w:val="-1"/>
                <w:lang w:val="es-ES"/>
              </w:rPr>
              <w:t>LUGAR</w:t>
            </w:r>
          </w:p>
        </w:tc>
      </w:tr>
      <w:tr w:rsidR="00455019" w:rsidRPr="00017CFB" w:rsidTr="00F665A4">
        <w:trPr>
          <w:jc w:val="center"/>
        </w:trPr>
        <w:tc>
          <w:tcPr>
            <w:tcW w:w="3335" w:type="dxa"/>
          </w:tcPr>
          <w:p w:rsidR="001C65A1" w:rsidRPr="00017CFB" w:rsidRDefault="00017CFB" w:rsidP="001C65A1">
            <w:pPr>
              <w:spacing w:before="11"/>
              <w:rPr>
                <w:rFonts w:eastAsia="Times New Roman"/>
                <w:spacing w:val="-1"/>
                <w:lang w:val="es-ES"/>
              </w:rPr>
            </w:pPr>
            <w:r w:rsidRPr="00017CFB">
              <w:rPr>
                <w:rFonts w:eastAsia="Times New Roman"/>
                <w:spacing w:val="-1"/>
                <w:lang w:val="es-ES"/>
              </w:rPr>
              <w:t>Martes 17 de septiembre de 2019</w:t>
            </w:r>
          </w:p>
          <w:p w:rsidR="001C65A1" w:rsidRPr="00017CFB" w:rsidRDefault="00017CFB" w:rsidP="001C65A1">
            <w:pPr>
              <w:spacing w:before="11"/>
              <w:rPr>
                <w:rFonts w:eastAsia="Times New Roman"/>
                <w:spacing w:val="-1"/>
                <w:lang w:val="es-ES"/>
              </w:rPr>
            </w:pPr>
            <w:r w:rsidRPr="00017CFB">
              <w:rPr>
                <w:rFonts w:eastAsia="Times New Roman"/>
                <w:spacing w:val="-1"/>
                <w:lang w:val="es-ES"/>
              </w:rPr>
              <w:t>Horario: 1:00 p. m. y 6:00 p. m.</w:t>
            </w:r>
          </w:p>
          <w:p w:rsidR="001C65A1" w:rsidRPr="00017CFB" w:rsidRDefault="001C65A1" w:rsidP="001C65A1">
            <w:pPr>
              <w:autoSpaceDE w:val="0"/>
              <w:autoSpaceDN w:val="0"/>
              <w:adjustRightInd w:val="0"/>
              <w:rPr>
                <w:rFonts w:eastAsia="Times New Roman"/>
                <w:spacing w:val="-1"/>
                <w:lang w:val="es-ES"/>
              </w:rPr>
            </w:pPr>
          </w:p>
        </w:tc>
        <w:tc>
          <w:tcPr>
            <w:tcW w:w="4045" w:type="dxa"/>
          </w:tcPr>
          <w:p w:rsidR="001C65A1" w:rsidRPr="00017CFB" w:rsidRDefault="00017CFB" w:rsidP="001C65A1">
            <w:pPr>
              <w:autoSpaceDE w:val="0"/>
              <w:autoSpaceDN w:val="0"/>
              <w:adjustRightInd w:val="0"/>
              <w:rPr>
                <w:rFonts w:eastAsia="Times New Roman"/>
                <w:spacing w:val="-1"/>
                <w:lang w:val="es-ES"/>
              </w:rPr>
            </w:pPr>
            <w:r w:rsidRPr="00017CFB">
              <w:rPr>
                <w:rFonts w:eastAsia="Times New Roman"/>
                <w:spacing w:val="-1"/>
                <w:lang w:val="es-ES"/>
              </w:rPr>
              <w:t>Chula Vista Library - Auditorium</w:t>
            </w:r>
          </w:p>
          <w:p w:rsidR="001C65A1" w:rsidRPr="00017CFB" w:rsidRDefault="00017CFB" w:rsidP="001C65A1">
            <w:pPr>
              <w:autoSpaceDE w:val="0"/>
              <w:autoSpaceDN w:val="0"/>
              <w:adjustRightInd w:val="0"/>
              <w:rPr>
                <w:rFonts w:eastAsia="Times New Roman"/>
                <w:spacing w:val="-1"/>
                <w:lang w:val="es-ES"/>
              </w:rPr>
            </w:pPr>
            <w:r w:rsidRPr="00017CFB">
              <w:rPr>
                <w:rFonts w:eastAsia="Times New Roman"/>
                <w:spacing w:val="-1"/>
                <w:lang w:val="es-ES"/>
              </w:rPr>
              <w:t>365 F Street</w:t>
            </w:r>
          </w:p>
          <w:p w:rsidR="001C65A1" w:rsidRPr="00017CFB" w:rsidRDefault="00017CFB" w:rsidP="001C65A1">
            <w:pPr>
              <w:autoSpaceDE w:val="0"/>
              <w:autoSpaceDN w:val="0"/>
              <w:adjustRightInd w:val="0"/>
              <w:rPr>
                <w:rFonts w:eastAsia="Times New Roman"/>
                <w:spacing w:val="-1"/>
                <w:lang w:val="es-ES"/>
              </w:rPr>
            </w:pPr>
            <w:r w:rsidRPr="00017CFB">
              <w:rPr>
                <w:rFonts w:eastAsia="Times New Roman"/>
                <w:spacing w:val="-1"/>
                <w:lang w:val="es-ES"/>
              </w:rPr>
              <w:t>Chula Vista, California 91910</w:t>
            </w:r>
          </w:p>
          <w:p w:rsidR="001C65A1" w:rsidRPr="00017CFB" w:rsidRDefault="001C65A1" w:rsidP="001C65A1">
            <w:pPr>
              <w:autoSpaceDE w:val="0"/>
              <w:autoSpaceDN w:val="0"/>
              <w:adjustRightInd w:val="0"/>
              <w:rPr>
                <w:rFonts w:eastAsia="Times New Roman"/>
                <w:spacing w:val="-1"/>
                <w:lang w:val="es-ES"/>
              </w:rPr>
            </w:pPr>
          </w:p>
        </w:tc>
      </w:tr>
      <w:tr w:rsidR="00455019" w:rsidRPr="00017CFB" w:rsidTr="00F665A4">
        <w:trPr>
          <w:trHeight w:val="1562"/>
          <w:jc w:val="center"/>
        </w:trPr>
        <w:tc>
          <w:tcPr>
            <w:tcW w:w="3335" w:type="dxa"/>
          </w:tcPr>
          <w:p w:rsidR="001C65A1" w:rsidRPr="00017CFB" w:rsidRDefault="00017CFB" w:rsidP="001C65A1">
            <w:pPr>
              <w:autoSpaceDE w:val="0"/>
              <w:autoSpaceDN w:val="0"/>
              <w:adjustRightInd w:val="0"/>
              <w:rPr>
                <w:rFonts w:eastAsia="Times New Roman"/>
                <w:spacing w:val="-1"/>
                <w:lang w:val="es-ES"/>
              </w:rPr>
            </w:pPr>
            <w:r w:rsidRPr="00017CFB">
              <w:rPr>
                <w:rFonts w:eastAsia="Times New Roman"/>
                <w:spacing w:val="-1"/>
                <w:lang w:val="es-ES"/>
              </w:rPr>
              <w:t>Miércoles 18 de septiembre de 2019</w:t>
            </w:r>
          </w:p>
          <w:p w:rsidR="001C65A1" w:rsidRPr="00017CFB" w:rsidRDefault="00017CFB" w:rsidP="001C65A1">
            <w:pPr>
              <w:autoSpaceDE w:val="0"/>
              <w:autoSpaceDN w:val="0"/>
              <w:adjustRightInd w:val="0"/>
              <w:rPr>
                <w:rFonts w:eastAsia="Times New Roman"/>
                <w:spacing w:val="-1"/>
                <w:lang w:val="es-ES"/>
              </w:rPr>
            </w:pPr>
            <w:r w:rsidRPr="00017CFB">
              <w:rPr>
                <w:rFonts w:eastAsia="Times New Roman"/>
                <w:spacing w:val="-1"/>
                <w:lang w:val="es-ES"/>
              </w:rPr>
              <w:t>Horario: 1:00 p. m. y 6:00 p. m.</w:t>
            </w:r>
          </w:p>
          <w:p w:rsidR="001C65A1" w:rsidRPr="00017CFB" w:rsidRDefault="001C65A1" w:rsidP="001C65A1">
            <w:pPr>
              <w:autoSpaceDE w:val="0"/>
              <w:autoSpaceDN w:val="0"/>
              <w:adjustRightInd w:val="0"/>
              <w:rPr>
                <w:rFonts w:eastAsia="Times New Roman"/>
                <w:spacing w:val="-1"/>
                <w:lang w:val="es-ES"/>
              </w:rPr>
            </w:pPr>
          </w:p>
        </w:tc>
        <w:tc>
          <w:tcPr>
            <w:tcW w:w="4045" w:type="dxa"/>
          </w:tcPr>
          <w:p w:rsidR="001C65A1" w:rsidRPr="00017CFB" w:rsidRDefault="00017CFB" w:rsidP="001C65A1">
            <w:pPr>
              <w:autoSpaceDE w:val="0"/>
              <w:autoSpaceDN w:val="0"/>
              <w:adjustRightInd w:val="0"/>
              <w:rPr>
                <w:rFonts w:eastAsia="Times New Roman"/>
                <w:spacing w:val="-1"/>
                <w:lang w:val="es-ES"/>
              </w:rPr>
            </w:pPr>
            <w:r w:rsidRPr="00017CFB">
              <w:rPr>
                <w:rFonts w:eastAsia="Times New Roman"/>
                <w:spacing w:val="-1"/>
                <w:lang w:val="es-ES"/>
              </w:rPr>
              <w:t>California Center for the Arts</w:t>
            </w:r>
          </w:p>
          <w:p w:rsidR="001C65A1" w:rsidRPr="00017CFB" w:rsidRDefault="00017CFB" w:rsidP="001C65A1">
            <w:pPr>
              <w:autoSpaceDE w:val="0"/>
              <w:autoSpaceDN w:val="0"/>
              <w:adjustRightInd w:val="0"/>
              <w:rPr>
                <w:rFonts w:eastAsia="Times New Roman"/>
                <w:spacing w:val="-1"/>
                <w:lang w:val="es-ES"/>
              </w:rPr>
            </w:pPr>
            <w:r w:rsidRPr="00017CFB">
              <w:rPr>
                <w:rFonts w:eastAsia="Times New Roman"/>
                <w:spacing w:val="-1"/>
                <w:lang w:val="es-ES"/>
              </w:rPr>
              <w:t>340 North Escondido Boulevard</w:t>
            </w:r>
          </w:p>
          <w:p w:rsidR="001C65A1" w:rsidRPr="00017CFB" w:rsidRDefault="00017CFB" w:rsidP="001C65A1">
            <w:pPr>
              <w:autoSpaceDE w:val="0"/>
              <w:autoSpaceDN w:val="0"/>
              <w:adjustRightInd w:val="0"/>
              <w:rPr>
                <w:rFonts w:eastAsia="Times New Roman"/>
                <w:spacing w:val="-1"/>
                <w:lang w:val="es-ES"/>
              </w:rPr>
            </w:pPr>
            <w:r w:rsidRPr="00017CFB">
              <w:rPr>
                <w:rFonts w:eastAsia="Times New Roman"/>
                <w:spacing w:val="-1"/>
                <w:lang w:val="es-ES"/>
              </w:rPr>
              <w:t>Escondido, California 92025</w:t>
            </w:r>
          </w:p>
          <w:p w:rsidR="001C65A1" w:rsidRPr="00017CFB" w:rsidRDefault="00017CFB" w:rsidP="001C65A1">
            <w:pPr>
              <w:pStyle w:val="Default"/>
              <w:rPr>
                <w:lang w:val="es-ES"/>
              </w:rPr>
            </w:pPr>
            <w:r w:rsidRPr="00017CFB">
              <w:rPr>
                <w:rFonts w:eastAsia="Times New Roman"/>
                <w:b/>
                <w:bCs/>
                <w:color w:val="333333"/>
                <w:lang w:val="es-ES"/>
              </w:rPr>
              <w:t>Línea telefónica de escucha únicamente</w:t>
            </w:r>
            <w:r w:rsidRPr="00017CFB">
              <w:rPr>
                <w:rFonts w:eastAsia="Times New Roman"/>
                <w:color w:val="333333"/>
                <w:lang w:val="es-ES"/>
              </w:rPr>
              <w:t xml:space="preserve">: 877-937-0554 </w:t>
            </w:r>
            <w:r w:rsidR="00084303">
              <w:rPr>
                <w:rFonts w:eastAsia="Times New Roman"/>
                <w:color w:val="333333"/>
                <w:lang w:val="es-ES"/>
              </w:rPr>
              <w:br/>
            </w:r>
            <w:r w:rsidRPr="00017CFB">
              <w:rPr>
                <w:rFonts w:eastAsia="Times New Roman"/>
                <w:color w:val="333333"/>
                <w:lang w:val="es-ES"/>
              </w:rPr>
              <w:t>contraseña: 7031793</w:t>
            </w:r>
          </w:p>
          <w:p w:rsidR="001C65A1" w:rsidRPr="00017CFB" w:rsidRDefault="001C65A1" w:rsidP="001C65A1">
            <w:pPr>
              <w:autoSpaceDE w:val="0"/>
              <w:autoSpaceDN w:val="0"/>
              <w:adjustRightInd w:val="0"/>
              <w:rPr>
                <w:rFonts w:eastAsia="Times New Roman"/>
                <w:spacing w:val="-1"/>
                <w:lang w:val="es-ES"/>
              </w:rPr>
            </w:pPr>
          </w:p>
        </w:tc>
      </w:tr>
    </w:tbl>
    <w:p w:rsidR="00EA42E4" w:rsidRPr="00017CFB" w:rsidRDefault="00EA42E4" w:rsidP="00EA42E4">
      <w:pPr>
        <w:widowControl/>
        <w:autoSpaceDE w:val="0"/>
        <w:autoSpaceDN w:val="0"/>
        <w:adjustRightInd w:val="0"/>
        <w:rPr>
          <w:rFonts w:ascii="Times New Roman" w:eastAsia="Times New Roman" w:hAnsi="Times New Roman"/>
          <w:spacing w:val="-1"/>
          <w:sz w:val="24"/>
          <w:szCs w:val="24"/>
          <w:lang w:val="es-ES"/>
        </w:rPr>
      </w:pPr>
    </w:p>
    <w:p w:rsidR="00EA42E4" w:rsidRPr="00017CFB" w:rsidRDefault="00EA42E4">
      <w:pPr>
        <w:spacing w:before="11"/>
        <w:rPr>
          <w:rFonts w:ascii="Times New Roman" w:eastAsia="Times New Roman" w:hAnsi="Times New Roman"/>
          <w:i/>
          <w:spacing w:val="-1"/>
          <w:sz w:val="24"/>
          <w:szCs w:val="24"/>
          <w:lang w:val="es-ES"/>
        </w:rPr>
      </w:pPr>
    </w:p>
    <w:p w:rsidR="0015773F" w:rsidRPr="00017CFB" w:rsidRDefault="00017CFB">
      <w:pPr>
        <w:pStyle w:val="BodyText"/>
        <w:spacing w:line="276" w:lineRule="exact"/>
        <w:rPr>
          <w:rFonts w:cs="Times New Roman"/>
          <w:spacing w:val="-1"/>
          <w:lang w:val="es-ES"/>
        </w:rPr>
      </w:pPr>
      <w:r w:rsidRPr="00017CFB">
        <w:rPr>
          <w:rFonts w:cs="Times New Roman"/>
          <w:spacing w:val="-1"/>
          <w:lang w:val="es-ES"/>
        </w:rPr>
        <w:t>¡A la Comisión de Servicios Públicos de California (CPUC) le interesa escucharle! Los comentarios públicos que tenga sobre este procedimiento son importantes para la CPUC. La CPUC sostendrá Audiencias de Participación Pública (PPH) en las fechas y lugares indicados en la parte superior para escuchar sus comentarios acerca de la solicitud de SDG&amp;E de aumentar las tarifas eléctricas en su Solicitud de Revisión General de Tarifas (GRC) Fase 2. Habrá representantes de servicios al cliente de San Diego Gas &amp; Electric Company (SDG&amp;E</w:t>
      </w:r>
      <w:r w:rsidRPr="00084303">
        <w:rPr>
          <w:rFonts w:cs="Times New Roman"/>
          <w:spacing w:val="-1"/>
          <w:szCs w:val="16"/>
          <w:vertAlign w:val="superscript"/>
          <w:lang w:val="es-ES"/>
        </w:rPr>
        <w:t>®</w:t>
      </w:r>
      <w:r w:rsidRPr="00017CFB">
        <w:rPr>
          <w:rFonts w:cs="Times New Roman"/>
          <w:spacing w:val="-1"/>
          <w:lang w:val="es-ES"/>
        </w:rPr>
        <w:t>) presentes en cada una de las audiencias para ayudar con inquietudes individuales sobre facturación y servicio al cliente.</w:t>
      </w:r>
    </w:p>
    <w:p w:rsidR="0015773F" w:rsidRPr="00017CFB" w:rsidRDefault="0015773F" w:rsidP="0015773F">
      <w:pPr>
        <w:pStyle w:val="BodyText"/>
        <w:spacing w:line="276" w:lineRule="exact"/>
        <w:rPr>
          <w:spacing w:val="-1"/>
          <w:lang w:val="es-ES"/>
        </w:rPr>
      </w:pPr>
    </w:p>
    <w:p w:rsidR="0015773F" w:rsidRPr="00017CFB" w:rsidRDefault="00017CFB" w:rsidP="0015773F">
      <w:pPr>
        <w:pStyle w:val="BodyText"/>
        <w:spacing w:line="276" w:lineRule="exact"/>
        <w:rPr>
          <w:spacing w:val="-1"/>
          <w:lang w:val="es-ES"/>
        </w:rPr>
      </w:pPr>
      <w:r w:rsidRPr="00017CFB">
        <w:rPr>
          <w:rFonts w:cs="Times New Roman"/>
          <w:spacing w:val="-1"/>
          <w:lang w:val="es-ES"/>
        </w:rPr>
        <w:t>Un Juez de Derecho Administrativo (Juez) estará presidiendo estas PPH para escuchar sus inquietudes, comentarios y opiniones acerca de la solicitud propuesta. Tal vez asista</w:t>
      </w:r>
      <w:r w:rsidR="00084303">
        <w:rPr>
          <w:rFonts w:cs="Times New Roman"/>
          <w:spacing w:val="-1"/>
          <w:lang w:val="es-ES"/>
        </w:rPr>
        <w:t>n</w:t>
      </w:r>
      <w:r w:rsidRPr="00017CFB">
        <w:rPr>
          <w:rFonts w:cs="Times New Roman"/>
          <w:spacing w:val="-1"/>
          <w:lang w:val="es-ES"/>
        </w:rPr>
        <w:t xml:space="preserve"> uno o más Comisionados, pero </w:t>
      </w:r>
      <w:r w:rsidRPr="00017CFB">
        <w:rPr>
          <w:rFonts w:cs="Times New Roman"/>
          <w:b/>
          <w:bCs/>
          <w:spacing w:val="-1"/>
          <w:lang w:val="es-ES"/>
        </w:rPr>
        <w:t>no se llegará a ninguna decisión en estas audiencias.</w:t>
      </w:r>
      <w:r w:rsidRPr="00017CFB">
        <w:rPr>
          <w:rFonts w:cs="Times New Roman"/>
          <w:spacing w:val="-1"/>
          <w:lang w:val="es-ES"/>
        </w:rPr>
        <w:t xml:space="preserve"> Todos los comentarios públicos de estas PPH se incluirán en el acta formal y se convertirán en expediente público.</w:t>
      </w:r>
    </w:p>
    <w:p w:rsidR="0015773F" w:rsidRPr="00017CFB" w:rsidRDefault="0015773F" w:rsidP="0015773F">
      <w:pPr>
        <w:pStyle w:val="BodyText"/>
        <w:spacing w:line="276" w:lineRule="exact"/>
        <w:rPr>
          <w:spacing w:val="-1"/>
          <w:lang w:val="es-ES"/>
        </w:rPr>
      </w:pPr>
    </w:p>
    <w:p w:rsidR="00BD0E73" w:rsidRPr="00017CFB" w:rsidRDefault="00017CFB" w:rsidP="00FB639C">
      <w:pPr>
        <w:pStyle w:val="BodyText"/>
        <w:spacing w:line="276" w:lineRule="exact"/>
        <w:rPr>
          <w:lang w:val="es-ES"/>
        </w:rPr>
      </w:pPr>
      <w:r w:rsidRPr="00017CFB">
        <w:rPr>
          <w:rFonts w:cs="Times New Roman"/>
          <w:spacing w:val="-1"/>
          <w:lang w:val="es-ES"/>
        </w:rPr>
        <w:t>Estos lugares tienen acceso para sillas de ruedas. Si necesita un intérprete de lenguas o asistencia especial que no sea en inglés, por favor póngase en contacto con la Oficina del Asesor Público (PAO) de la CPUC en la dirección que aparece en la parte inferior de este aviso cuando menos cinco días antes de la fecha de la audiencia a la que planea asistir. Habrá representantes de servicio al cliente de SDG&amp;E en cada uno de los lugares donde se llevarán a cabo las audiencias para ayudar a los clientes con inquietudes individuales sobre facturación y servicio al cliente.</w:t>
      </w:r>
    </w:p>
    <w:p w:rsidR="00305CDE" w:rsidRPr="00017CFB" w:rsidRDefault="00305CDE" w:rsidP="00F665A4">
      <w:pPr>
        <w:pStyle w:val="BodyText"/>
        <w:spacing w:line="276" w:lineRule="exact"/>
        <w:rPr>
          <w:lang w:val="es-ES"/>
        </w:rPr>
      </w:pPr>
    </w:p>
    <w:p w:rsidR="00BD0E73" w:rsidRPr="00017CFB" w:rsidRDefault="00BD0E73" w:rsidP="00F665A4">
      <w:pPr>
        <w:ind w:right="120"/>
        <w:rPr>
          <w:rFonts w:ascii="Times New Roman" w:eastAsia="Times New Roman" w:hAnsi="Times New Roman" w:cs="Times New Roman"/>
          <w:lang w:val="es-ES"/>
        </w:rPr>
      </w:pPr>
    </w:p>
    <w:p w:rsidR="00BD0E73" w:rsidRPr="00017CFB" w:rsidRDefault="00017CFB">
      <w:pPr>
        <w:spacing w:before="5"/>
        <w:rPr>
          <w:rFonts w:ascii="Times New Roman" w:eastAsia="Times New Roman" w:hAnsi="Times New Roman" w:cs="Times New Roman"/>
          <w:b/>
          <w:bCs/>
          <w:lang w:val="es-ES"/>
        </w:rPr>
      </w:pPr>
      <w:r w:rsidRPr="00017CFB">
        <w:rPr>
          <w:rFonts w:ascii="Times New Roman" w:eastAsia="Times New Roman" w:hAnsi="Times New Roman" w:cs="Times New Roman"/>
          <w:b/>
          <w:bCs/>
          <w:lang w:val="es-ES"/>
        </w:rPr>
        <w:t>ACCESO REMOTO</w:t>
      </w:r>
    </w:p>
    <w:p w:rsidR="00A525C1" w:rsidRPr="00017CFB" w:rsidRDefault="00A525C1">
      <w:pPr>
        <w:spacing w:before="5"/>
        <w:rPr>
          <w:rFonts w:ascii="Times New Roman" w:eastAsia="Times New Roman" w:hAnsi="Times New Roman" w:cs="Times New Roman"/>
          <w:b/>
          <w:bCs/>
          <w:lang w:val="es-ES"/>
        </w:rPr>
      </w:pPr>
    </w:p>
    <w:p w:rsidR="0015773F" w:rsidRPr="00017CFB" w:rsidRDefault="00017CFB" w:rsidP="0015773F">
      <w:pPr>
        <w:ind w:left="119" w:right="120"/>
        <w:rPr>
          <w:rFonts w:ascii="Times New Roman" w:eastAsia="Times New Roman" w:hAnsi="Times New Roman" w:cs="Times New Roman"/>
          <w:spacing w:val="-1"/>
          <w:sz w:val="24"/>
          <w:szCs w:val="24"/>
          <w:lang w:val="es-ES"/>
        </w:rPr>
      </w:pPr>
      <w:r w:rsidRPr="00017CFB">
        <w:rPr>
          <w:rFonts w:ascii="Times New Roman" w:eastAsia="Times New Roman" w:hAnsi="Times New Roman" w:cs="Times New Roman"/>
          <w:spacing w:val="-1"/>
          <w:sz w:val="24"/>
          <w:szCs w:val="24"/>
          <w:lang w:val="es-ES"/>
        </w:rPr>
        <w:t xml:space="preserve">Habrá acceso remoto a disposición de los clientes que no puedan asistir a la audiencia en persona. Los clientes podrán escuchar la PPH a distancia en la fecha </w:t>
      </w:r>
      <w:r w:rsidR="00084303" w:rsidRPr="00084303">
        <w:rPr>
          <w:rFonts w:ascii="Times New Roman" w:eastAsia="Times New Roman" w:hAnsi="Times New Roman" w:cs="Times New Roman"/>
          <w:spacing w:val="-1"/>
          <w:sz w:val="24"/>
          <w:szCs w:val="24"/>
          <w:lang w:val="es-ES"/>
        </w:rPr>
        <w:t>designada</w:t>
      </w:r>
      <w:r w:rsidRPr="00017CFB">
        <w:rPr>
          <w:rFonts w:ascii="Times New Roman" w:eastAsia="Times New Roman" w:hAnsi="Times New Roman" w:cs="Times New Roman"/>
          <w:spacing w:val="-1"/>
          <w:sz w:val="24"/>
          <w:szCs w:val="24"/>
          <w:lang w:val="es-ES"/>
        </w:rPr>
        <w:t>. En la fecha des</w:t>
      </w:r>
      <w:r w:rsidR="00084303">
        <w:rPr>
          <w:rFonts w:ascii="Times New Roman" w:eastAsia="Times New Roman" w:hAnsi="Times New Roman" w:cs="Times New Roman"/>
          <w:spacing w:val="-1"/>
          <w:sz w:val="24"/>
          <w:szCs w:val="24"/>
          <w:lang w:val="es-ES"/>
        </w:rPr>
        <w:t>ignada, independientemente de do</w:t>
      </w:r>
      <w:r w:rsidRPr="00017CFB">
        <w:rPr>
          <w:rFonts w:ascii="Times New Roman" w:eastAsia="Times New Roman" w:hAnsi="Times New Roman" w:cs="Times New Roman"/>
          <w:spacing w:val="-1"/>
          <w:sz w:val="24"/>
          <w:szCs w:val="24"/>
          <w:lang w:val="es-ES"/>
        </w:rPr>
        <w:t>nde vivan o trabaj</w:t>
      </w:r>
      <w:r w:rsidR="00084303">
        <w:rPr>
          <w:rFonts w:ascii="Times New Roman" w:eastAsia="Times New Roman" w:hAnsi="Times New Roman" w:cs="Times New Roman"/>
          <w:spacing w:val="-1"/>
          <w:sz w:val="24"/>
          <w:szCs w:val="24"/>
          <w:lang w:val="es-ES"/>
        </w:rPr>
        <w:t>e</w:t>
      </w:r>
      <w:r w:rsidRPr="00017CFB">
        <w:rPr>
          <w:rFonts w:ascii="Times New Roman" w:eastAsia="Times New Roman" w:hAnsi="Times New Roman" w:cs="Times New Roman"/>
          <w:spacing w:val="-1"/>
          <w:sz w:val="24"/>
          <w:szCs w:val="24"/>
          <w:lang w:val="es-ES"/>
        </w:rPr>
        <w:t xml:space="preserve">n, los clientes podrán usar la información de acceso </w:t>
      </w:r>
      <w:r w:rsidRPr="00017CFB">
        <w:rPr>
          <w:rFonts w:ascii="Times New Roman" w:eastAsia="Times New Roman" w:hAnsi="Times New Roman" w:cs="Times New Roman"/>
          <w:spacing w:val="-1"/>
          <w:sz w:val="24"/>
          <w:szCs w:val="24"/>
          <w:lang w:val="es-ES"/>
        </w:rPr>
        <w:lastRenderedPageBreak/>
        <w:t xml:space="preserve">remoto incluida en la parte superior para sólo escuchar la PPH. </w:t>
      </w:r>
    </w:p>
    <w:p w:rsidR="00FB639C" w:rsidRPr="00017CFB" w:rsidRDefault="00FB639C" w:rsidP="0015773F">
      <w:pPr>
        <w:ind w:left="119" w:right="120"/>
        <w:rPr>
          <w:rFonts w:ascii="Times New Roman" w:eastAsia="Times New Roman" w:hAnsi="Times New Roman" w:cs="Times New Roman"/>
          <w:spacing w:val="-1"/>
          <w:sz w:val="24"/>
          <w:szCs w:val="24"/>
          <w:lang w:val="es-ES"/>
        </w:rPr>
      </w:pPr>
    </w:p>
    <w:p w:rsidR="00FB639C" w:rsidRPr="00017CFB" w:rsidRDefault="00017CFB" w:rsidP="00F665A4">
      <w:pPr>
        <w:ind w:left="119" w:right="120"/>
        <w:rPr>
          <w:rFonts w:ascii="Times New Roman"/>
          <w:b/>
          <w:spacing w:val="-1"/>
          <w:u w:color="000000"/>
          <w:lang w:val="es-ES"/>
        </w:rPr>
      </w:pPr>
      <w:r w:rsidRPr="00017CFB">
        <w:rPr>
          <w:rFonts w:ascii="Times New Roman" w:eastAsia="Times New Roman" w:hAnsi="Times New Roman" w:cs="Times New Roman"/>
          <w:spacing w:val="-1"/>
          <w:sz w:val="24"/>
          <w:szCs w:val="24"/>
          <w:lang w:val="es-ES"/>
        </w:rPr>
        <w:t>Si no puede asistir a una audiencia en persona o vía participación remota, pero de todas maneras desea emitir un comentario, puede enviar sus comentarios por escrito a la PAO en la dirección que aparece al final de este aviso</w:t>
      </w:r>
      <w:r w:rsidR="00084303">
        <w:rPr>
          <w:rFonts w:ascii="Times New Roman" w:eastAsia="Times New Roman" w:hAnsi="Times New Roman" w:cs="Times New Roman"/>
          <w:spacing w:val="-1"/>
          <w:sz w:val="24"/>
          <w:szCs w:val="24"/>
          <w:lang w:val="es-ES"/>
        </w:rPr>
        <w:t>.</w:t>
      </w:r>
    </w:p>
    <w:p w:rsidR="0015773F" w:rsidRPr="00017CFB" w:rsidRDefault="0015773F">
      <w:pPr>
        <w:spacing w:line="250" w:lineRule="exact"/>
        <w:ind w:left="120"/>
        <w:rPr>
          <w:rFonts w:ascii="Times New Roman"/>
          <w:b/>
          <w:spacing w:val="-1"/>
          <w:u w:color="000000"/>
          <w:lang w:val="es-ES"/>
        </w:rPr>
      </w:pPr>
    </w:p>
    <w:p w:rsidR="0015773F" w:rsidRPr="00017CFB" w:rsidRDefault="0015773F">
      <w:pPr>
        <w:spacing w:line="250" w:lineRule="exact"/>
        <w:ind w:left="120"/>
        <w:rPr>
          <w:rFonts w:ascii="Times New Roman"/>
          <w:b/>
          <w:spacing w:val="-1"/>
          <w:u w:color="000000"/>
          <w:lang w:val="es-ES"/>
        </w:rPr>
      </w:pPr>
    </w:p>
    <w:p w:rsidR="00BD0E73" w:rsidRPr="00017CFB" w:rsidRDefault="00017CFB">
      <w:pPr>
        <w:spacing w:line="250" w:lineRule="exact"/>
        <w:ind w:left="120"/>
        <w:rPr>
          <w:rFonts w:ascii="Times New Roman"/>
          <w:b/>
          <w:spacing w:val="-1"/>
          <w:u w:color="000000"/>
          <w:lang w:val="es-ES"/>
        </w:rPr>
      </w:pPr>
      <w:r w:rsidRPr="00017CFB">
        <w:rPr>
          <w:rFonts w:ascii="Times New Roman" w:eastAsia="Times New Roman" w:hAnsi="Times New Roman" w:cs="Times New Roman"/>
          <w:b/>
          <w:bCs/>
          <w:spacing w:val="-1"/>
          <w:u w:color="000000"/>
          <w:lang w:val="es-ES"/>
        </w:rPr>
        <w:t>INFORMACIÓN ACERCA DE ESTA SOLICITUD</w:t>
      </w:r>
    </w:p>
    <w:p w:rsidR="00662AF8" w:rsidRPr="00017CFB" w:rsidRDefault="00662AF8">
      <w:pPr>
        <w:spacing w:line="250" w:lineRule="exact"/>
        <w:ind w:left="120"/>
        <w:rPr>
          <w:rFonts w:ascii="Times New Roman" w:eastAsia="Times New Roman" w:hAnsi="Times New Roman" w:cs="Times New Roman"/>
          <w:lang w:val="es-ES"/>
        </w:rPr>
      </w:pPr>
    </w:p>
    <w:p w:rsidR="00CB5B13" w:rsidRPr="00017CFB" w:rsidRDefault="00017CFB" w:rsidP="00991A26">
      <w:pPr>
        <w:pStyle w:val="BodyText"/>
        <w:rPr>
          <w:spacing w:val="60"/>
          <w:lang w:val="es-ES"/>
        </w:rPr>
      </w:pPr>
      <w:r w:rsidRPr="00017CFB">
        <w:rPr>
          <w:rFonts w:cs="Times New Roman"/>
          <w:spacing w:val="-1"/>
          <w:lang w:val="es-ES"/>
        </w:rPr>
        <w:t xml:space="preserve">El 4 de marzo de 2019, SDG&amp;E presentó </w:t>
      </w:r>
      <w:r w:rsidR="00084303" w:rsidRPr="00017CFB">
        <w:rPr>
          <w:rFonts w:cs="Times New Roman"/>
          <w:spacing w:val="-1"/>
          <w:lang w:val="es-ES"/>
        </w:rPr>
        <w:t xml:space="preserve">ante la CPUC </w:t>
      </w:r>
      <w:r w:rsidRPr="00017CFB">
        <w:rPr>
          <w:rFonts w:cs="Times New Roman"/>
          <w:spacing w:val="-1"/>
          <w:lang w:val="es-ES"/>
        </w:rPr>
        <w:t>su solicitud para la R</w:t>
      </w:r>
      <w:r w:rsidR="00084303">
        <w:rPr>
          <w:rFonts w:cs="Times New Roman"/>
          <w:spacing w:val="-1"/>
          <w:lang w:val="es-ES"/>
        </w:rPr>
        <w:t>evisión General de Tarifas (GRC</w:t>
      </w:r>
      <w:r w:rsidRPr="00017CFB">
        <w:rPr>
          <w:rFonts w:cs="Times New Roman"/>
          <w:spacing w:val="-1"/>
          <w:lang w:val="es-ES"/>
        </w:rPr>
        <w:t>) Fase 2 (Solicitud A.19-03-002), en la que pide la aprobación para aumentar ciertas tarifas eléctricas. Esta solicitud no propone ningún cambio al ingreso total porque los aumentos en los ingresos se solicitaron y se están considerando en la GRC Fase 1 (A.17-10-007) de SDG&amp;E, presentada el 6 de octubre de 201</w:t>
      </w:r>
      <w:r w:rsidR="00084303">
        <w:rPr>
          <w:rFonts w:cs="Times New Roman"/>
          <w:spacing w:val="-1"/>
          <w:lang w:val="es-ES"/>
        </w:rPr>
        <w:t>7</w:t>
      </w:r>
      <w:r w:rsidRPr="00017CFB">
        <w:rPr>
          <w:rFonts w:cs="Times New Roman"/>
          <w:spacing w:val="-1"/>
          <w:lang w:val="es-ES"/>
        </w:rPr>
        <w:t xml:space="preserve">. </w:t>
      </w:r>
    </w:p>
    <w:p w:rsidR="00CB5B13" w:rsidRPr="00017CFB" w:rsidRDefault="00CB5B13" w:rsidP="00991A26">
      <w:pPr>
        <w:pStyle w:val="BodyText"/>
        <w:rPr>
          <w:spacing w:val="60"/>
          <w:lang w:val="es-ES"/>
        </w:rPr>
      </w:pPr>
    </w:p>
    <w:p w:rsidR="00CB5B13" w:rsidRPr="00017CFB" w:rsidRDefault="00017CFB" w:rsidP="00CB5B13">
      <w:pPr>
        <w:pStyle w:val="BodyText"/>
        <w:rPr>
          <w:lang w:val="es-ES"/>
        </w:rPr>
      </w:pPr>
      <w:r w:rsidRPr="00017CFB">
        <w:rPr>
          <w:rFonts w:cs="Times New Roman"/>
          <w:lang w:val="es-ES"/>
        </w:rPr>
        <w:t xml:space="preserve">SDG&amp;E propone (1) adoptar gradualmente tarifas que reflejen mejor el costo </w:t>
      </w:r>
      <w:r w:rsidR="00084303">
        <w:rPr>
          <w:rFonts w:cs="Times New Roman"/>
          <w:lang w:val="es-ES"/>
        </w:rPr>
        <w:t>de</w:t>
      </w:r>
      <w:r w:rsidRPr="00017CFB">
        <w:rPr>
          <w:rFonts w:cs="Times New Roman"/>
          <w:lang w:val="es-ES"/>
        </w:rPr>
        <w:t xml:space="preserve"> prestar el servicio y (2) una nueva clase de tarifas para escuelas públicas y chárter. Esta clase de tarifas propuesta busca reflejar con mayor precisión el costo de servir a escuelas públicas en territorio de SDG&amp;E. Además, SDG&amp;E propone actualizar la forma en que diferentes costos se asignan a las distintas clases de cliente. A continuación se presenta una lista de los cambios propuestos en la asignación de costos:</w:t>
      </w:r>
    </w:p>
    <w:p w:rsidR="00CB5B13" w:rsidRPr="00017CFB" w:rsidRDefault="00017CFB" w:rsidP="00CB5B13">
      <w:pPr>
        <w:pStyle w:val="BodyText"/>
        <w:numPr>
          <w:ilvl w:val="0"/>
          <w:numId w:val="1"/>
        </w:numPr>
        <w:rPr>
          <w:lang w:val="es-ES"/>
        </w:rPr>
      </w:pPr>
      <w:r w:rsidRPr="00017CFB">
        <w:rPr>
          <w:rFonts w:cs="Times New Roman"/>
          <w:lang w:val="es-ES"/>
        </w:rPr>
        <w:t>Distribución eléctrica (el costo de distribuir energía en el ámbito local, incluida su casa)</w:t>
      </w:r>
    </w:p>
    <w:p w:rsidR="00CB5B13" w:rsidRPr="00017CFB" w:rsidRDefault="00017CFB" w:rsidP="00CB5B13">
      <w:pPr>
        <w:pStyle w:val="BodyText"/>
        <w:numPr>
          <w:ilvl w:val="0"/>
          <w:numId w:val="1"/>
        </w:numPr>
        <w:rPr>
          <w:lang w:val="es-ES"/>
        </w:rPr>
      </w:pPr>
      <w:r w:rsidRPr="00017CFB">
        <w:rPr>
          <w:rFonts w:cs="Times New Roman"/>
          <w:lang w:val="es-ES"/>
        </w:rPr>
        <w:t>Generación eléctrica (el costo de la electricidad)</w:t>
      </w:r>
    </w:p>
    <w:p w:rsidR="00CB5B13" w:rsidRPr="00017CFB" w:rsidRDefault="00017CFB" w:rsidP="00CB5B13">
      <w:pPr>
        <w:pStyle w:val="BodyText"/>
        <w:numPr>
          <w:ilvl w:val="0"/>
          <w:numId w:val="1"/>
        </w:numPr>
        <w:rPr>
          <w:lang w:val="es-ES"/>
        </w:rPr>
      </w:pPr>
      <w:r w:rsidRPr="00017CFB">
        <w:rPr>
          <w:rFonts w:cs="Times New Roman"/>
          <w:lang w:val="es-ES"/>
        </w:rPr>
        <w:t>Cargo por transición a la competencia (Competition Transition Charge, CTC) (el costo de centrales eléctricas y contratos eléctricos a largo plazo)</w:t>
      </w:r>
    </w:p>
    <w:p w:rsidR="009C4E80" w:rsidRPr="00017CFB" w:rsidRDefault="00017CFB" w:rsidP="00084303">
      <w:pPr>
        <w:pStyle w:val="BodyText"/>
        <w:numPr>
          <w:ilvl w:val="0"/>
          <w:numId w:val="1"/>
        </w:numPr>
        <w:rPr>
          <w:lang w:val="es-ES"/>
        </w:rPr>
      </w:pPr>
      <w:r w:rsidRPr="00017CFB">
        <w:rPr>
          <w:rFonts w:cs="Times New Roman"/>
          <w:lang w:val="es-ES"/>
        </w:rPr>
        <w:t xml:space="preserve">Cargo por generación local (Local </w:t>
      </w:r>
      <w:proofErr w:type="spellStart"/>
      <w:r w:rsidRPr="00017CFB">
        <w:rPr>
          <w:rFonts w:cs="Times New Roman"/>
          <w:lang w:val="es-ES"/>
        </w:rPr>
        <w:t>Generation</w:t>
      </w:r>
      <w:proofErr w:type="spellEnd"/>
      <w:r w:rsidRPr="00017CFB">
        <w:rPr>
          <w:rFonts w:cs="Times New Roman"/>
          <w:lang w:val="es-ES"/>
        </w:rPr>
        <w:t xml:space="preserve"> </w:t>
      </w:r>
      <w:proofErr w:type="spellStart"/>
      <w:r w:rsidRPr="00017CFB">
        <w:rPr>
          <w:rFonts w:cs="Times New Roman"/>
          <w:lang w:val="es-ES"/>
        </w:rPr>
        <w:t>Charge</w:t>
      </w:r>
      <w:proofErr w:type="spellEnd"/>
      <w:r w:rsidRPr="00017CFB">
        <w:rPr>
          <w:rFonts w:cs="Times New Roman"/>
          <w:lang w:val="es-ES"/>
        </w:rPr>
        <w:t xml:space="preserve">, LCG) (costo </w:t>
      </w:r>
      <w:r w:rsidR="00084303">
        <w:rPr>
          <w:rFonts w:cs="Times New Roman"/>
          <w:lang w:val="es-ES"/>
        </w:rPr>
        <w:t xml:space="preserve">de </w:t>
      </w:r>
      <w:r w:rsidRPr="00DF2508">
        <w:rPr>
          <w:rFonts w:cs="Times New Roman"/>
          <w:lang w:val="es-ES"/>
        </w:rPr>
        <w:t>proveedores de</w:t>
      </w:r>
      <w:r w:rsidRPr="00017CFB">
        <w:rPr>
          <w:rFonts w:cs="Times New Roman"/>
          <w:lang w:val="es-ES"/>
        </w:rPr>
        <w:t xml:space="preserve"> </w:t>
      </w:r>
      <w:r w:rsidRPr="00483CFD">
        <w:rPr>
          <w:rFonts w:cs="Times New Roman"/>
          <w:lang w:val="es-ES"/>
        </w:rPr>
        <w:t>generación</w:t>
      </w:r>
      <w:r w:rsidR="00084303" w:rsidRPr="00483CFD">
        <w:t xml:space="preserve"> </w:t>
      </w:r>
      <w:r w:rsidR="00084303" w:rsidRPr="00483CFD">
        <w:rPr>
          <w:lang w:val="es-ES"/>
        </w:rPr>
        <w:t>eléctrica</w:t>
      </w:r>
      <w:r w:rsidRPr="00017CFB">
        <w:rPr>
          <w:rFonts w:cs="Times New Roman"/>
          <w:lang w:val="es-ES"/>
        </w:rPr>
        <w:t>)</w:t>
      </w:r>
    </w:p>
    <w:p w:rsidR="00CB5B13" w:rsidRPr="00017CFB" w:rsidRDefault="00017CFB" w:rsidP="00F665A4">
      <w:pPr>
        <w:pStyle w:val="BodyText"/>
        <w:numPr>
          <w:ilvl w:val="0"/>
          <w:numId w:val="1"/>
        </w:numPr>
        <w:rPr>
          <w:lang w:val="es-ES"/>
        </w:rPr>
      </w:pPr>
      <w:r w:rsidRPr="00017CFB">
        <w:rPr>
          <w:rFonts w:cs="Times New Roman"/>
          <w:lang w:val="es-ES"/>
        </w:rPr>
        <w:t xml:space="preserve">Programas con fines públicos (costo de programas ordenados por el estado, como los programas para personas de bajos ingresos y </w:t>
      </w:r>
      <w:r w:rsidR="00685B99">
        <w:rPr>
          <w:rFonts w:cs="Times New Roman"/>
          <w:lang w:val="es-ES"/>
        </w:rPr>
        <w:t>para la</w:t>
      </w:r>
      <w:r w:rsidRPr="00017CFB">
        <w:rPr>
          <w:rFonts w:cs="Times New Roman"/>
          <w:lang w:val="es-ES"/>
        </w:rPr>
        <w:t xml:space="preserve"> eficiencia energética)</w:t>
      </w:r>
    </w:p>
    <w:p w:rsidR="00BA0E33" w:rsidRPr="00017CFB" w:rsidRDefault="00BA0E33" w:rsidP="009C4E80">
      <w:pPr>
        <w:pStyle w:val="BodyText"/>
        <w:rPr>
          <w:lang w:val="es-ES"/>
        </w:rPr>
      </w:pPr>
    </w:p>
    <w:p w:rsidR="00E4492C" w:rsidRPr="00017CFB" w:rsidRDefault="00017CFB" w:rsidP="00991A26">
      <w:pPr>
        <w:ind w:left="90"/>
        <w:rPr>
          <w:rFonts w:ascii="Times New Roman"/>
          <w:b/>
          <w:spacing w:val="-2"/>
          <w:u w:color="000000"/>
          <w:lang w:val="es-ES"/>
        </w:rPr>
      </w:pPr>
      <w:r w:rsidRPr="00017CFB">
        <w:rPr>
          <w:rFonts w:ascii="Times New Roman" w:eastAsia="Times New Roman" w:hAnsi="Times New Roman" w:cs="Times New Roman"/>
          <w:b/>
          <w:bCs/>
          <w:spacing w:val="-2"/>
          <w:u w:color="000000"/>
          <w:lang w:val="es-ES"/>
        </w:rPr>
        <w:t>IMPACTO ESTIMADO DE ESTA SOLICITUD EN LAS TARIFAS ELÉCTRICAS</w:t>
      </w:r>
    </w:p>
    <w:p w:rsidR="00E4492C" w:rsidRPr="00017CFB" w:rsidRDefault="00E4492C" w:rsidP="00991A26">
      <w:pPr>
        <w:ind w:left="90"/>
        <w:rPr>
          <w:rFonts w:ascii="Times New Roman" w:eastAsia="Times New Roman" w:hAnsi="Times New Roman" w:cs="Times New Roman"/>
          <w:sz w:val="24"/>
          <w:szCs w:val="24"/>
          <w:lang w:val="es-ES"/>
        </w:rPr>
      </w:pPr>
    </w:p>
    <w:p w:rsidR="00305CDE" w:rsidRPr="00017CFB" w:rsidRDefault="00017CFB" w:rsidP="00991A26">
      <w:pPr>
        <w:autoSpaceDE w:val="0"/>
        <w:autoSpaceDN w:val="0"/>
        <w:adjustRightInd w:val="0"/>
        <w:ind w:left="90"/>
        <w:rPr>
          <w:rFonts w:ascii="Times New Roman" w:hAnsi="Times New Roman" w:cs="Times New Roman"/>
          <w:sz w:val="24"/>
          <w:szCs w:val="24"/>
          <w:lang w:val="es-ES"/>
        </w:rPr>
      </w:pPr>
      <w:r w:rsidRPr="00017CFB">
        <w:rPr>
          <w:rFonts w:ascii="Times New Roman" w:eastAsia="Times New Roman" w:hAnsi="Times New Roman" w:cs="Times New Roman"/>
          <w:sz w:val="24"/>
          <w:szCs w:val="24"/>
          <w:lang w:val="es-ES"/>
        </w:rPr>
        <w:t xml:space="preserve">Si la CPUC aprueba la solicitud de SDG&amp;E, un cliente residencial típico que viva en la zona climática del interior y consuma 500 KWh al mes verá un incremento en la factura mensual de invierno a partir de enero de 2021 de $8.26, o 6.2%. Una factura eléctrica mensual típica aumentará de $140.96 a $149.07 del presente a 2021, y no habrá cambio de 2021 a 2022. </w:t>
      </w:r>
    </w:p>
    <w:p w:rsidR="00305CDE" w:rsidRPr="00017CFB" w:rsidRDefault="00305CDE" w:rsidP="00991A26">
      <w:pPr>
        <w:autoSpaceDE w:val="0"/>
        <w:autoSpaceDN w:val="0"/>
        <w:adjustRightInd w:val="0"/>
        <w:ind w:left="90"/>
        <w:rPr>
          <w:rFonts w:ascii="Times New Roman" w:hAnsi="Times New Roman" w:cs="Times New Roman"/>
          <w:sz w:val="24"/>
          <w:szCs w:val="24"/>
          <w:lang w:val="es-ES"/>
        </w:rPr>
      </w:pPr>
    </w:p>
    <w:p w:rsidR="00AA1864" w:rsidRPr="00017CFB" w:rsidRDefault="00017CFB" w:rsidP="00991A26">
      <w:pPr>
        <w:autoSpaceDE w:val="0"/>
        <w:autoSpaceDN w:val="0"/>
        <w:adjustRightInd w:val="0"/>
        <w:ind w:left="90"/>
        <w:rPr>
          <w:rFonts w:ascii="Times New Roman" w:hAnsi="Times New Roman" w:cs="Times New Roman"/>
          <w:sz w:val="24"/>
          <w:szCs w:val="24"/>
          <w:lang w:val="es-ES"/>
        </w:rPr>
      </w:pPr>
      <w:r w:rsidRPr="00017CFB">
        <w:rPr>
          <w:rFonts w:ascii="Times New Roman" w:eastAsia="Times New Roman" w:hAnsi="Times New Roman" w:cs="Times New Roman"/>
          <w:sz w:val="24"/>
          <w:szCs w:val="24"/>
          <w:lang w:val="es-ES"/>
        </w:rPr>
        <w:t>Los montos en dólares y los porcentajes mostrados no necesariamente reflejan los cambios exactos que usted tal vez vea en su factura. Los cambios en las facturas individuales dependerán de cuánta electricidad consuma cada cliente y la hora en que cada cliente consum</w:t>
      </w:r>
      <w:r w:rsidR="00685B99">
        <w:rPr>
          <w:rFonts w:ascii="Times New Roman" w:eastAsia="Times New Roman" w:hAnsi="Times New Roman" w:cs="Times New Roman"/>
          <w:sz w:val="24"/>
          <w:szCs w:val="24"/>
          <w:lang w:val="es-ES"/>
        </w:rPr>
        <w:t xml:space="preserve">a la energía, en el caso de </w:t>
      </w:r>
      <w:r w:rsidRPr="00017CFB">
        <w:rPr>
          <w:rFonts w:ascii="Times New Roman" w:eastAsia="Times New Roman" w:hAnsi="Times New Roman" w:cs="Times New Roman"/>
          <w:sz w:val="24"/>
          <w:szCs w:val="24"/>
          <w:lang w:val="es-ES"/>
        </w:rPr>
        <w:t>clientes con tarifas según el Horario de Uso. La tabla 1 a continuación muestra una comparación de las tarifas actuales promedio por clase con las tarifas propuestas para 2021. No hay cambio pronosticado a las tarifas de 2021 a 2022.</w:t>
      </w:r>
    </w:p>
    <w:p w:rsidR="00AA1864" w:rsidRPr="00017CFB" w:rsidRDefault="00AA1864" w:rsidP="00AA1864">
      <w:pPr>
        <w:autoSpaceDE w:val="0"/>
        <w:autoSpaceDN w:val="0"/>
        <w:adjustRightInd w:val="0"/>
        <w:jc w:val="both"/>
        <w:rPr>
          <w:lang w:val="es-ES"/>
        </w:rPr>
      </w:pPr>
    </w:p>
    <w:p w:rsidR="00357B63" w:rsidRPr="00017CFB" w:rsidRDefault="00357B63" w:rsidP="00AA1864">
      <w:pPr>
        <w:autoSpaceDE w:val="0"/>
        <w:autoSpaceDN w:val="0"/>
        <w:adjustRightInd w:val="0"/>
        <w:jc w:val="both"/>
        <w:rPr>
          <w:lang w:val="es-ES"/>
        </w:rPr>
      </w:pPr>
    </w:p>
    <w:p w:rsidR="00357B63" w:rsidRPr="00017CFB" w:rsidRDefault="00357B63" w:rsidP="00AA1864">
      <w:pPr>
        <w:autoSpaceDE w:val="0"/>
        <w:autoSpaceDN w:val="0"/>
        <w:adjustRightInd w:val="0"/>
        <w:jc w:val="both"/>
        <w:rPr>
          <w:lang w:val="es-ES"/>
        </w:rPr>
      </w:pPr>
    </w:p>
    <w:p w:rsidR="00357B63" w:rsidRPr="00017CFB" w:rsidRDefault="00357B63" w:rsidP="00AA1864">
      <w:pPr>
        <w:autoSpaceDE w:val="0"/>
        <w:autoSpaceDN w:val="0"/>
        <w:adjustRightInd w:val="0"/>
        <w:jc w:val="both"/>
        <w:rPr>
          <w:lang w:val="es-ES"/>
        </w:rPr>
      </w:pPr>
    </w:p>
    <w:p w:rsidR="00357B63" w:rsidRPr="00017CFB" w:rsidRDefault="00357B63" w:rsidP="00AA1864">
      <w:pPr>
        <w:autoSpaceDE w:val="0"/>
        <w:autoSpaceDN w:val="0"/>
        <w:adjustRightInd w:val="0"/>
        <w:jc w:val="both"/>
        <w:rPr>
          <w:lang w:val="es-ES"/>
        </w:rPr>
      </w:pPr>
    </w:p>
    <w:p w:rsidR="00357B63" w:rsidRPr="00017CFB" w:rsidRDefault="00357B63" w:rsidP="00AA1864">
      <w:pPr>
        <w:autoSpaceDE w:val="0"/>
        <w:autoSpaceDN w:val="0"/>
        <w:adjustRightInd w:val="0"/>
        <w:jc w:val="both"/>
        <w:rPr>
          <w:lang w:val="es-ES"/>
        </w:rPr>
      </w:pPr>
    </w:p>
    <w:p w:rsidR="00357B63" w:rsidRPr="00017CFB" w:rsidRDefault="00357B63" w:rsidP="00AA1864">
      <w:pPr>
        <w:autoSpaceDE w:val="0"/>
        <w:autoSpaceDN w:val="0"/>
        <w:adjustRightInd w:val="0"/>
        <w:jc w:val="both"/>
        <w:rPr>
          <w:lang w:val="es-ES"/>
        </w:rPr>
      </w:pPr>
    </w:p>
    <w:p w:rsidR="00357B63" w:rsidRPr="00017CFB" w:rsidRDefault="00357B63" w:rsidP="00AA1864">
      <w:pPr>
        <w:autoSpaceDE w:val="0"/>
        <w:autoSpaceDN w:val="0"/>
        <w:adjustRightInd w:val="0"/>
        <w:jc w:val="both"/>
        <w:rPr>
          <w:lang w:val="es-ES"/>
        </w:rPr>
      </w:pPr>
    </w:p>
    <w:p w:rsidR="00357B63" w:rsidRPr="00017CFB" w:rsidRDefault="00357B63" w:rsidP="00AA1864">
      <w:pPr>
        <w:autoSpaceDE w:val="0"/>
        <w:autoSpaceDN w:val="0"/>
        <w:adjustRightInd w:val="0"/>
        <w:jc w:val="both"/>
        <w:rPr>
          <w:lang w:val="es-ES"/>
        </w:rPr>
      </w:pPr>
    </w:p>
    <w:p w:rsidR="00357B63" w:rsidRPr="00017CFB" w:rsidRDefault="00357B63" w:rsidP="00AA1864">
      <w:pPr>
        <w:autoSpaceDE w:val="0"/>
        <w:autoSpaceDN w:val="0"/>
        <w:adjustRightInd w:val="0"/>
        <w:jc w:val="both"/>
        <w:rPr>
          <w:lang w:val="es-ES"/>
        </w:rPr>
      </w:pPr>
    </w:p>
    <w:p w:rsidR="00AA1864" w:rsidRPr="00017CFB" w:rsidRDefault="00AA1864" w:rsidP="00AA1864">
      <w:pPr>
        <w:autoSpaceDE w:val="0"/>
        <w:autoSpaceDN w:val="0"/>
        <w:adjustRightInd w:val="0"/>
        <w:rPr>
          <w:b/>
          <w:lang w:val="es-ES"/>
        </w:rPr>
      </w:pPr>
    </w:p>
    <w:p w:rsidR="00AA1864" w:rsidRPr="00017CFB" w:rsidRDefault="00017CFB" w:rsidP="00AA1864">
      <w:pPr>
        <w:autoSpaceDE w:val="0"/>
        <w:autoSpaceDN w:val="0"/>
        <w:adjustRightInd w:val="0"/>
        <w:jc w:val="center"/>
        <w:rPr>
          <w:rFonts w:ascii="Times New Roman" w:hAnsi="Times New Roman" w:cs="Times New Roman"/>
          <w:b/>
          <w:sz w:val="24"/>
          <w:szCs w:val="24"/>
          <w:lang w:val="es-ES"/>
        </w:rPr>
      </w:pPr>
      <w:r w:rsidRPr="00017CFB">
        <w:rPr>
          <w:rFonts w:ascii="Times New Roman" w:eastAsia="Times New Roman" w:hAnsi="Times New Roman" w:cs="Times New Roman"/>
          <w:b/>
          <w:bCs/>
          <w:sz w:val="24"/>
          <w:szCs w:val="24"/>
          <w:lang w:val="es-ES"/>
        </w:rPr>
        <w:t>Tabla 1: Propuesta de SDG&amp;E comparada con las tarifas actuales en vigor</w:t>
      </w:r>
    </w:p>
    <w:p w:rsidR="00AA1864" w:rsidRPr="00017CFB" w:rsidRDefault="00AA1864" w:rsidP="00AA1864">
      <w:pPr>
        <w:autoSpaceDE w:val="0"/>
        <w:autoSpaceDN w:val="0"/>
        <w:adjustRightInd w:val="0"/>
        <w:jc w:val="both"/>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299"/>
        <w:gridCol w:w="1351"/>
        <w:gridCol w:w="992"/>
        <w:gridCol w:w="939"/>
      </w:tblGrid>
      <w:tr w:rsidR="00455019" w:rsidRPr="00017CFB" w:rsidTr="006747F2">
        <w:trPr>
          <w:trHeight w:val="292"/>
          <w:jc w:val="center"/>
        </w:trPr>
        <w:tc>
          <w:tcPr>
            <w:tcW w:w="1398" w:type="dxa"/>
            <w:tcBorders>
              <w:bottom w:val="nil"/>
            </w:tcBorders>
            <w:vAlign w:val="bottom"/>
          </w:tcPr>
          <w:p w:rsidR="00AA1864" w:rsidRPr="00017CFB" w:rsidRDefault="00AA1864" w:rsidP="006747F2">
            <w:pPr>
              <w:autoSpaceDE w:val="0"/>
              <w:autoSpaceDN w:val="0"/>
              <w:adjustRightInd w:val="0"/>
              <w:jc w:val="both"/>
              <w:rPr>
                <w:b/>
                <w:lang w:val="es-ES"/>
              </w:rPr>
            </w:pPr>
          </w:p>
        </w:tc>
        <w:tc>
          <w:tcPr>
            <w:tcW w:w="1299" w:type="dxa"/>
            <w:tcBorders>
              <w:bottom w:val="nil"/>
            </w:tcBorders>
            <w:vAlign w:val="bottom"/>
          </w:tcPr>
          <w:p w:rsidR="00AA1864" w:rsidRPr="00017CFB" w:rsidRDefault="00AA1864" w:rsidP="006747F2">
            <w:pPr>
              <w:autoSpaceDE w:val="0"/>
              <w:autoSpaceDN w:val="0"/>
              <w:adjustRightInd w:val="0"/>
              <w:rPr>
                <w:b/>
                <w:lang w:val="es-ES"/>
              </w:rPr>
            </w:pPr>
          </w:p>
        </w:tc>
        <w:tc>
          <w:tcPr>
            <w:tcW w:w="1351" w:type="dxa"/>
            <w:tcBorders>
              <w:bottom w:val="nil"/>
            </w:tcBorders>
            <w:vAlign w:val="bottom"/>
          </w:tcPr>
          <w:p w:rsidR="00AA1864" w:rsidRPr="00017CFB" w:rsidRDefault="00AA1864" w:rsidP="006747F2">
            <w:pPr>
              <w:autoSpaceDE w:val="0"/>
              <w:autoSpaceDN w:val="0"/>
              <w:adjustRightInd w:val="0"/>
              <w:jc w:val="center"/>
              <w:rPr>
                <w:b/>
                <w:lang w:val="es-ES"/>
              </w:rPr>
            </w:pPr>
          </w:p>
        </w:tc>
        <w:tc>
          <w:tcPr>
            <w:tcW w:w="1931" w:type="dxa"/>
            <w:gridSpan w:val="2"/>
            <w:tcBorders>
              <w:bottom w:val="nil"/>
            </w:tcBorders>
            <w:vAlign w:val="bottom"/>
          </w:tcPr>
          <w:p w:rsidR="00AA1864" w:rsidRPr="00017CFB" w:rsidRDefault="00017CFB" w:rsidP="006747F2">
            <w:pPr>
              <w:autoSpaceDE w:val="0"/>
              <w:autoSpaceDN w:val="0"/>
              <w:adjustRightInd w:val="0"/>
              <w:jc w:val="center"/>
              <w:rPr>
                <w:b/>
                <w:lang w:val="es-ES"/>
              </w:rPr>
            </w:pPr>
            <w:r w:rsidRPr="00017CFB">
              <w:rPr>
                <w:rFonts w:ascii="Calibri" w:eastAsia="Calibri" w:hAnsi="Calibri" w:cs="Times New Roman"/>
                <w:b/>
                <w:bCs/>
                <w:lang w:val="es-ES"/>
              </w:rPr>
              <w:t>Cambio de 2019 a 2021</w:t>
            </w:r>
          </w:p>
        </w:tc>
      </w:tr>
      <w:tr w:rsidR="00455019" w:rsidRPr="00017CFB" w:rsidTr="0046750D">
        <w:trPr>
          <w:trHeight w:val="951"/>
          <w:jc w:val="center"/>
        </w:trPr>
        <w:tc>
          <w:tcPr>
            <w:tcW w:w="1398" w:type="dxa"/>
            <w:tcBorders>
              <w:top w:val="nil"/>
            </w:tcBorders>
            <w:vAlign w:val="bottom"/>
          </w:tcPr>
          <w:p w:rsidR="00AA1864" w:rsidRPr="00017CFB" w:rsidRDefault="00017CFB" w:rsidP="006747F2">
            <w:pPr>
              <w:autoSpaceDE w:val="0"/>
              <w:autoSpaceDN w:val="0"/>
              <w:adjustRightInd w:val="0"/>
              <w:jc w:val="center"/>
              <w:rPr>
                <w:b/>
                <w:lang w:val="es-ES"/>
              </w:rPr>
            </w:pPr>
            <w:r w:rsidRPr="00017CFB">
              <w:rPr>
                <w:rFonts w:ascii="Calibri" w:eastAsia="Calibri" w:hAnsi="Calibri" w:cs="Times New Roman"/>
                <w:b/>
                <w:bCs/>
                <w:lang w:val="es-ES"/>
              </w:rPr>
              <w:t>Clase de cliente</w:t>
            </w:r>
          </w:p>
        </w:tc>
        <w:tc>
          <w:tcPr>
            <w:tcW w:w="1299" w:type="dxa"/>
            <w:tcBorders>
              <w:top w:val="nil"/>
            </w:tcBorders>
            <w:vAlign w:val="bottom"/>
          </w:tcPr>
          <w:p w:rsidR="00AA1864" w:rsidRPr="00017CFB" w:rsidRDefault="00017CFB" w:rsidP="006747F2">
            <w:pPr>
              <w:autoSpaceDE w:val="0"/>
              <w:autoSpaceDN w:val="0"/>
              <w:adjustRightInd w:val="0"/>
              <w:jc w:val="center"/>
              <w:rPr>
                <w:b/>
                <w:lang w:val="es-ES"/>
              </w:rPr>
            </w:pPr>
            <w:r w:rsidRPr="00017CFB">
              <w:rPr>
                <w:rFonts w:ascii="Calibri" w:eastAsia="Calibri" w:hAnsi="Calibri" w:cs="Times New Roman"/>
                <w:b/>
                <w:bCs/>
                <w:lang w:val="es-ES"/>
              </w:rPr>
              <w:t>Tarifas actuales en vigor a partir del 1/1/2019</w:t>
            </w:r>
          </w:p>
          <w:p w:rsidR="00AA1864" w:rsidRPr="00017CFB" w:rsidRDefault="00017CFB" w:rsidP="006747F2">
            <w:pPr>
              <w:autoSpaceDE w:val="0"/>
              <w:autoSpaceDN w:val="0"/>
              <w:adjustRightInd w:val="0"/>
              <w:jc w:val="center"/>
              <w:rPr>
                <w:b/>
                <w:lang w:val="es-ES"/>
              </w:rPr>
            </w:pPr>
            <w:r w:rsidRPr="00017CFB">
              <w:rPr>
                <w:rFonts w:ascii="Calibri" w:eastAsia="Calibri" w:hAnsi="Calibri" w:cs="Times New Roman"/>
                <w:b/>
                <w:bCs/>
                <w:lang w:val="es-ES"/>
              </w:rPr>
              <w:t>(¢/kWh)</w:t>
            </w:r>
          </w:p>
        </w:tc>
        <w:tc>
          <w:tcPr>
            <w:tcW w:w="1351" w:type="dxa"/>
            <w:tcBorders>
              <w:top w:val="nil"/>
            </w:tcBorders>
            <w:vAlign w:val="bottom"/>
          </w:tcPr>
          <w:p w:rsidR="00AA1864" w:rsidRPr="00017CFB" w:rsidRDefault="00017CFB" w:rsidP="006747F2">
            <w:pPr>
              <w:autoSpaceDE w:val="0"/>
              <w:autoSpaceDN w:val="0"/>
              <w:adjustRightInd w:val="0"/>
              <w:jc w:val="center"/>
              <w:rPr>
                <w:b/>
                <w:lang w:val="es-ES"/>
              </w:rPr>
            </w:pPr>
            <w:r w:rsidRPr="00017CFB">
              <w:rPr>
                <w:rFonts w:ascii="Calibri" w:eastAsia="Calibri" w:hAnsi="Calibri" w:cs="Times New Roman"/>
                <w:b/>
                <w:bCs/>
                <w:lang w:val="es-ES"/>
              </w:rPr>
              <w:t>Tarifas propuestas</w:t>
            </w:r>
            <w:r w:rsidR="00685B99">
              <w:rPr>
                <w:rFonts w:ascii="Calibri" w:eastAsia="Calibri" w:hAnsi="Calibri" w:cs="Times New Roman"/>
                <w:b/>
                <w:bCs/>
                <w:lang w:val="es-ES"/>
              </w:rPr>
              <w:t xml:space="preserve"> a partir del</w:t>
            </w:r>
            <w:r w:rsidRPr="00017CFB">
              <w:rPr>
                <w:rFonts w:ascii="Calibri" w:eastAsia="Calibri" w:hAnsi="Calibri" w:cs="Times New Roman"/>
                <w:b/>
                <w:bCs/>
                <w:lang w:val="es-ES"/>
              </w:rPr>
              <w:t xml:space="preserve"> </w:t>
            </w:r>
          </w:p>
          <w:p w:rsidR="00AA1864" w:rsidRPr="00017CFB" w:rsidRDefault="00017CFB" w:rsidP="006747F2">
            <w:pPr>
              <w:autoSpaceDE w:val="0"/>
              <w:autoSpaceDN w:val="0"/>
              <w:adjustRightInd w:val="0"/>
              <w:jc w:val="center"/>
              <w:rPr>
                <w:b/>
                <w:lang w:val="es-ES"/>
              </w:rPr>
            </w:pPr>
            <w:r w:rsidRPr="00017CFB">
              <w:rPr>
                <w:rFonts w:ascii="Calibri" w:eastAsia="Calibri" w:hAnsi="Calibri" w:cs="Times New Roman"/>
                <w:b/>
                <w:bCs/>
                <w:lang w:val="es-ES"/>
              </w:rPr>
              <w:t>1/1/2021</w:t>
            </w:r>
          </w:p>
          <w:p w:rsidR="00AA1864" w:rsidRPr="00017CFB" w:rsidRDefault="00017CFB" w:rsidP="006747F2">
            <w:pPr>
              <w:autoSpaceDE w:val="0"/>
              <w:autoSpaceDN w:val="0"/>
              <w:adjustRightInd w:val="0"/>
              <w:jc w:val="center"/>
              <w:rPr>
                <w:b/>
                <w:lang w:val="es-ES"/>
              </w:rPr>
            </w:pPr>
            <w:r w:rsidRPr="00017CFB">
              <w:rPr>
                <w:rFonts w:ascii="Calibri" w:eastAsia="Calibri" w:hAnsi="Calibri" w:cs="Times New Roman"/>
                <w:b/>
                <w:bCs/>
                <w:lang w:val="es-ES"/>
              </w:rPr>
              <w:t>(¢/kWh)</w:t>
            </w:r>
          </w:p>
        </w:tc>
        <w:tc>
          <w:tcPr>
            <w:tcW w:w="992" w:type="dxa"/>
            <w:tcBorders>
              <w:top w:val="nil"/>
            </w:tcBorders>
            <w:vAlign w:val="bottom"/>
          </w:tcPr>
          <w:p w:rsidR="00AA1864" w:rsidRPr="00017CFB" w:rsidRDefault="00017CFB" w:rsidP="006747F2">
            <w:pPr>
              <w:autoSpaceDE w:val="0"/>
              <w:autoSpaceDN w:val="0"/>
              <w:adjustRightInd w:val="0"/>
              <w:jc w:val="center"/>
              <w:rPr>
                <w:b/>
                <w:lang w:val="es-ES"/>
              </w:rPr>
            </w:pPr>
            <w:r w:rsidRPr="00017CFB">
              <w:rPr>
                <w:rFonts w:ascii="Calibri" w:eastAsia="Calibri" w:hAnsi="Calibri" w:cs="Times New Roman"/>
                <w:b/>
                <w:bCs/>
                <w:lang w:val="es-ES"/>
              </w:rPr>
              <w:t>(¢/kWh)</w:t>
            </w:r>
          </w:p>
        </w:tc>
        <w:tc>
          <w:tcPr>
            <w:tcW w:w="939" w:type="dxa"/>
            <w:tcBorders>
              <w:top w:val="nil"/>
            </w:tcBorders>
            <w:vAlign w:val="bottom"/>
          </w:tcPr>
          <w:p w:rsidR="00AA1864" w:rsidRPr="00017CFB" w:rsidRDefault="00017CFB" w:rsidP="006747F2">
            <w:pPr>
              <w:autoSpaceDE w:val="0"/>
              <w:autoSpaceDN w:val="0"/>
              <w:adjustRightInd w:val="0"/>
              <w:jc w:val="center"/>
              <w:rPr>
                <w:b/>
                <w:lang w:val="es-ES"/>
              </w:rPr>
            </w:pPr>
            <w:r w:rsidRPr="00017CFB">
              <w:rPr>
                <w:b/>
                <w:lang w:val="es-ES"/>
              </w:rPr>
              <w:t>%</w:t>
            </w:r>
          </w:p>
        </w:tc>
      </w:tr>
      <w:tr w:rsidR="00455019" w:rsidRPr="00017CFB" w:rsidTr="0046750D">
        <w:trPr>
          <w:trHeight w:val="251"/>
          <w:jc w:val="center"/>
        </w:trPr>
        <w:tc>
          <w:tcPr>
            <w:tcW w:w="1398"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Residencial</w:t>
            </w:r>
          </w:p>
        </w:tc>
        <w:tc>
          <w:tcPr>
            <w:tcW w:w="129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26.251</w:t>
            </w:r>
          </w:p>
        </w:tc>
        <w:tc>
          <w:tcPr>
            <w:tcW w:w="1351"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27.742</w:t>
            </w:r>
          </w:p>
        </w:tc>
        <w:tc>
          <w:tcPr>
            <w:tcW w:w="992"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1.491</w:t>
            </w:r>
          </w:p>
        </w:tc>
        <w:tc>
          <w:tcPr>
            <w:tcW w:w="93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5.68</w:t>
            </w:r>
          </w:p>
        </w:tc>
      </w:tr>
      <w:tr w:rsidR="00455019" w:rsidRPr="00017CFB" w:rsidTr="0046750D">
        <w:trPr>
          <w:trHeight w:val="267"/>
          <w:jc w:val="center"/>
        </w:trPr>
        <w:tc>
          <w:tcPr>
            <w:tcW w:w="1398"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Comercial pequeño</w:t>
            </w:r>
          </w:p>
        </w:tc>
        <w:tc>
          <w:tcPr>
            <w:tcW w:w="129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24.963</w:t>
            </w:r>
          </w:p>
        </w:tc>
        <w:tc>
          <w:tcPr>
            <w:tcW w:w="1351"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26.035</w:t>
            </w:r>
          </w:p>
        </w:tc>
        <w:tc>
          <w:tcPr>
            <w:tcW w:w="992"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1.072</w:t>
            </w:r>
          </w:p>
        </w:tc>
        <w:tc>
          <w:tcPr>
            <w:tcW w:w="93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4.29</w:t>
            </w:r>
          </w:p>
        </w:tc>
      </w:tr>
      <w:tr w:rsidR="00455019" w:rsidRPr="00017CFB" w:rsidTr="0046750D">
        <w:trPr>
          <w:trHeight w:val="516"/>
          <w:jc w:val="center"/>
        </w:trPr>
        <w:tc>
          <w:tcPr>
            <w:tcW w:w="1398"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Comercial e industrial mediano y grande</w:t>
            </w:r>
          </w:p>
        </w:tc>
        <w:tc>
          <w:tcPr>
            <w:tcW w:w="129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22.205</w:t>
            </w:r>
          </w:p>
        </w:tc>
        <w:tc>
          <w:tcPr>
            <w:tcW w:w="1351"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22.826</w:t>
            </w:r>
          </w:p>
        </w:tc>
        <w:tc>
          <w:tcPr>
            <w:tcW w:w="992"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0.621</w:t>
            </w:r>
          </w:p>
        </w:tc>
        <w:tc>
          <w:tcPr>
            <w:tcW w:w="93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2.80</w:t>
            </w:r>
          </w:p>
        </w:tc>
      </w:tr>
      <w:tr w:rsidR="00455019" w:rsidRPr="00017CFB" w:rsidTr="0046750D">
        <w:trPr>
          <w:trHeight w:val="267"/>
          <w:jc w:val="center"/>
        </w:trPr>
        <w:tc>
          <w:tcPr>
            <w:tcW w:w="1398"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Agricultura</w:t>
            </w:r>
          </w:p>
        </w:tc>
        <w:tc>
          <w:tcPr>
            <w:tcW w:w="129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17.459</w:t>
            </w:r>
          </w:p>
        </w:tc>
        <w:tc>
          <w:tcPr>
            <w:tcW w:w="1351"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18.160</w:t>
            </w:r>
          </w:p>
        </w:tc>
        <w:tc>
          <w:tcPr>
            <w:tcW w:w="992"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0.701</w:t>
            </w:r>
          </w:p>
        </w:tc>
        <w:tc>
          <w:tcPr>
            <w:tcW w:w="93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4.02</w:t>
            </w:r>
          </w:p>
        </w:tc>
      </w:tr>
      <w:tr w:rsidR="00455019" w:rsidRPr="00017CFB" w:rsidTr="0046750D">
        <w:trPr>
          <w:trHeight w:val="251"/>
          <w:jc w:val="center"/>
        </w:trPr>
        <w:tc>
          <w:tcPr>
            <w:tcW w:w="1398"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Escuelas</w:t>
            </w:r>
          </w:p>
        </w:tc>
        <w:tc>
          <w:tcPr>
            <w:tcW w:w="129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N/A</w:t>
            </w:r>
          </w:p>
        </w:tc>
        <w:tc>
          <w:tcPr>
            <w:tcW w:w="1351"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25.690</w:t>
            </w:r>
          </w:p>
        </w:tc>
        <w:tc>
          <w:tcPr>
            <w:tcW w:w="992"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N/A</w:t>
            </w:r>
          </w:p>
        </w:tc>
        <w:tc>
          <w:tcPr>
            <w:tcW w:w="93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N/A</w:t>
            </w:r>
          </w:p>
        </w:tc>
      </w:tr>
      <w:tr w:rsidR="00455019" w:rsidRPr="00017CFB" w:rsidTr="0046750D">
        <w:trPr>
          <w:trHeight w:val="251"/>
          <w:jc w:val="center"/>
        </w:trPr>
        <w:tc>
          <w:tcPr>
            <w:tcW w:w="1398"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Iluminación</w:t>
            </w:r>
          </w:p>
        </w:tc>
        <w:tc>
          <w:tcPr>
            <w:tcW w:w="129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21.850</w:t>
            </w:r>
          </w:p>
        </w:tc>
        <w:tc>
          <w:tcPr>
            <w:tcW w:w="1351"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20.333</w:t>
            </w:r>
          </w:p>
        </w:tc>
        <w:tc>
          <w:tcPr>
            <w:tcW w:w="992"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-1.517</w:t>
            </w:r>
          </w:p>
        </w:tc>
        <w:tc>
          <w:tcPr>
            <w:tcW w:w="93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-6.94</w:t>
            </w:r>
          </w:p>
        </w:tc>
      </w:tr>
      <w:tr w:rsidR="00455019" w:rsidRPr="00017CFB" w:rsidTr="0046750D">
        <w:trPr>
          <w:trHeight w:val="282"/>
          <w:jc w:val="center"/>
        </w:trPr>
        <w:tc>
          <w:tcPr>
            <w:tcW w:w="1398"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Total del sistema</w:t>
            </w:r>
          </w:p>
        </w:tc>
        <w:tc>
          <w:tcPr>
            <w:tcW w:w="129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23.738</w:t>
            </w:r>
          </w:p>
        </w:tc>
        <w:tc>
          <w:tcPr>
            <w:tcW w:w="1351"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24.885</w:t>
            </w:r>
          </w:p>
        </w:tc>
        <w:tc>
          <w:tcPr>
            <w:tcW w:w="992"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1.147</w:t>
            </w:r>
          </w:p>
        </w:tc>
        <w:tc>
          <w:tcPr>
            <w:tcW w:w="939" w:type="dxa"/>
            <w:vAlign w:val="center"/>
          </w:tcPr>
          <w:p w:rsidR="00AA1864" w:rsidRPr="00017CFB" w:rsidRDefault="00017CFB" w:rsidP="006747F2">
            <w:pPr>
              <w:autoSpaceDE w:val="0"/>
              <w:autoSpaceDN w:val="0"/>
              <w:adjustRightInd w:val="0"/>
              <w:jc w:val="center"/>
              <w:rPr>
                <w:lang w:val="es-ES"/>
              </w:rPr>
            </w:pPr>
            <w:r w:rsidRPr="00017CFB">
              <w:rPr>
                <w:rFonts w:ascii="Calibri" w:eastAsia="Calibri" w:hAnsi="Calibri" w:cs="Times New Roman"/>
                <w:lang w:val="es-ES"/>
              </w:rPr>
              <w:t>4.83</w:t>
            </w:r>
          </w:p>
        </w:tc>
      </w:tr>
    </w:tbl>
    <w:p w:rsidR="00E4492C" w:rsidRPr="00017CFB" w:rsidRDefault="00E4492C">
      <w:pPr>
        <w:rPr>
          <w:rFonts w:ascii="Times New Roman" w:eastAsia="Times New Roman" w:hAnsi="Times New Roman" w:cs="Times New Roman"/>
          <w:sz w:val="24"/>
          <w:szCs w:val="24"/>
          <w:lang w:val="es-ES"/>
        </w:rPr>
      </w:pPr>
    </w:p>
    <w:p w:rsidR="00E4492C" w:rsidRPr="00017CFB" w:rsidRDefault="00E4492C">
      <w:pPr>
        <w:rPr>
          <w:rFonts w:ascii="Times New Roman" w:eastAsia="Times New Roman" w:hAnsi="Times New Roman" w:cs="Times New Roman"/>
          <w:sz w:val="24"/>
          <w:szCs w:val="24"/>
          <w:lang w:val="es-ES"/>
        </w:rPr>
      </w:pPr>
    </w:p>
    <w:p w:rsidR="00BD0E73" w:rsidRPr="00017CFB" w:rsidRDefault="00017CFB" w:rsidP="00A8462D">
      <w:pPr>
        <w:pStyle w:val="BodyText"/>
        <w:ind w:left="119" w:right="237"/>
        <w:rPr>
          <w:lang w:val="es-ES"/>
        </w:rPr>
      </w:pPr>
      <w:r w:rsidRPr="00017CFB">
        <w:rPr>
          <w:rFonts w:cs="Times New Roman"/>
          <w:spacing w:val="-1"/>
          <w:lang w:val="es-ES"/>
        </w:rPr>
        <w:t xml:space="preserve">Puede obtener más información acerca de esta solicitud de SDG&amp;E escribiendo a Greg Anderson, 8330 Century Park Court, San Diego, CA 92123. También puede ver una copia de la solicitud en el sitio web de SDG&amp;E: </w:t>
      </w:r>
      <w:r w:rsidRPr="00017CFB">
        <w:rPr>
          <w:rFonts w:cs="Times New Roman"/>
          <w:color w:val="0000FF"/>
          <w:spacing w:val="-1"/>
          <w:u w:val="single"/>
          <w:lang w:val="es-ES"/>
        </w:rPr>
        <w:t>https://www.sdge.com/rates-and-regulations/proceedings/2019-grc-phase2.</w:t>
      </w:r>
    </w:p>
    <w:p w:rsidR="00BD0E73" w:rsidRPr="00017CFB" w:rsidRDefault="00BD0E73">
      <w:pPr>
        <w:rPr>
          <w:rFonts w:ascii="Times New Roman" w:eastAsia="Times New Roman" w:hAnsi="Times New Roman" w:cs="Times New Roman"/>
          <w:sz w:val="18"/>
          <w:szCs w:val="18"/>
          <w:lang w:val="es-ES"/>
        </w:rPr>
      </w:pPr>
    </w:p>
    <w:p w:rsidR="00BD0E73" w:rsidRPr="00017CFB" w:rsidRDefault="00017CFB">
      <w:pPr>
        <w:pStyle w:val="BodyText"/>
        <w:spacing w:before="69"/>
        <w:ind w:right="995"/>
        <w:rPr>
          <w:rFonts w:cs="Times New Roman"/>
          <w:color w:val="0000FF"/>
          <w:lang w:val="es-ES"/>
        </w:rPr>
      </w:pPr>
      <w:r w:rsidRPr="00017CFB">
        <w:rPr>
          <w:rFonts w:cs="Times New Roman"/>
          <w:spacing w:val="-1"/>
          <w:lang w:val="es-ES"/>
        </w:rPr>
        <w:t>Habrá copias de este aviso para su consulta e impresión en el sitio web de SDG&amp;E en:</w:t>
      </w:r>
      <w:r w:rsidRPr="00017CFB">
        <w:rPr>
          <w:rFonts w:cs="Times New Roman"/>
          <w:color w:val="0000FF"/>
          <w:spacing w:val="-1"/>
          <w:lang w:val="es-ES"/>
        </w:rPr>
        <w:t xml:space="preserve"> </w:t>
      </w:r>
      <w:hyperlink r:id="rId11" w:history="1">
        <w:r w:rsidRPr="00017CFB">
          <w:rPr>
            <w:rFonts w:cs="Times New Roman"/>
            <w:color w:val="0000FF"/>
            <w:spacing w:val="-1"/>
            <w:u w:val="single"/>
            <w:lang w:val="es-ES"/>
          </w:rPr>
          <w:t>http://sdge.com/regulatory-notices</w:t>
        </w:r>
      </w:hyperlink>
      <w:r w:rsidRPr="00017CFB">
        <w:rPr>
          <w:rFonts w:cs="Times New Roman"/>
          <w:color w:val="0000FF"/>
          <w:spacing w:val="-1"/>
          <w:u w:val="single"/>
          <w:lang w:val="es-ES"/>
        </w:rPr>
        <w:t>.</w:t>
      </w:r>
    </w:p>
    <w:p w:rsidR="00BD0E73" w:rsidRPr="00017CFB" w:rsidRDefault="00BD0E73">
      <w:pPr>
        <w:spacing w:before="10"/>
        <w:rPr>
          <w:rFonts w:ascii="Times New Roman" w:eastAsia="Times New Roman" w:hAnsi="Times New Roman" w:cs="Times New Roman"/>
          <w:sz w:val="17"/>
          <w:szCs w:val="17"/>
          <w:lang w:val="es-ES"/>
        </w:rPr>
      </w:pPr>
    </w:p>
    <w:p w:rsidR="00BD0E73" w:rsidRPr="00017CFB" w:rsidRDefault="00017CFB">
      <w:pPr>
        <w:spacing w:before="72"/>
        <w:ind w:left="120" w:right="56"/>
        <w:rPr>
          <w:rFonts w:ascii="Times New Roman" w:eastAsia="Times New Roman" w:hAnsi="Times New Roman" w:cs="Times New Roman"/>
          <w:sz w:val="24"/>
          <w:szCs w:val="24"/>
          <w:lang w:val="es-ES"/>
        </w:rPr>
      </w:pPr>
      <w:r w:rsidRPr="00017CFB">
        <w:rPr>
          <w:rFonts w:ascii="Times New Roman" w:eastAsia="Times New Roman" w:hAnsi="Times New Roman" w:cs="Times New Roman"/>
          <w:sz w:val="24"/>
          <w:szCs w:val="24"/>
          <w:lang w:val="es-ES"/>
        </w:rPr>
        <w:t xml:space="preserve">Una copia en papel puede consultarse en la Central Files Office de la CPUC, previa cita. Para más información, póngase en contacto con ellos escribiendo a </w:t>
      </w:r>
      <w:hyperlink r:id="rId12" w:history="1">
        <w:r w:rsidRPr="00017CFB">
          <w:rPr>
            <w:rFonts w:ascii="Times New Roman" w:eastAsia="Times New Roman" w:hAnsi="Times New Roman" w:cs="Times New Roman"/>
            <w:sz w:val="24"/>
            <w:szCs w:val="24"/>
            <w:lang w:val="es-ES"/>
          </w:rPr>
          <w:t>aljcentralfilesid@cpuc.ca.gov</w:t>
        </w:r>
      </w:hyperlink>
      <w:r w:rsidRPr="00017CFB">
        <w:rPr>
          <w:rFonts w:ascii="Times New Roman" w:eastAsia="Times New Roman" w:hAnsi="Times New Roman" w:cs="Times New Roman"/>
          <w:sz w:val="24"/>
          <w:szCs w:val="24"/>
          <w:lang w:val="es-ES"/>
        </w:rPr>
        <w:t xml:space="preserve"> o llamando al (415) 703-2045.</w:t>
      </w:r>
    </w:p>
    <w:p w:rsidR="00BD0E73" w:rsidRPr="00017CFB" w:rsidRDefault="00BD0E73">
      <w:pPr>
        <w:spacing w:before="9"/>
        <w:rPr>
          <w:rFonts w:ascii="Times New Roman" w:eastAsia="Times New Roman" w:hAnsi="Times New Roman" w:cs="Times New Roman"/>
          <w:sz w:val="17"/>
          <w:szCs w:val="17"/>
          <w:lang w:val="es-ES"/>
        </w:rPr>
      </w:pPr>
    </w:p>
    <w:p w:rsidR="00BD0E73" w:rsidRPr="00017CFB" w:rsidRDefault="00017CFB">
      <w:pPr>
        <w:pStyle w:val="BodyText"/>
        <w:spacing w:before="69"/>
        <w:rPr>
          <w:b/>
          <w:spacing w:val="-1"/>
          <w:lang w:val="es-ES"/>
        </w:rPr>
      </w:pPr>
      <w:r w:rsidRPr="00017CFB">
        <w:rPr>
          <w:rFonts w:cs="Times New Roman"/>
          <w:b/>
          <w:bCs/>
          <w:spacing w:val="-1"/>
          <w:lang w:val="es-ES"/>
        </w:rPr>
        <w:t>PROCESO DE LA CPUC</w:t>
      </w:r>
    </w:p>
    <w:p w:rsidR="00662AF8" w:rsidRPr="00017CFB" w:rsidRDefault="00662AF8">
      <w:pPr>
        <w:pStyle w:val="BodyText"/>
        <w:spacing w:before="69"/>
        <w:rPr>
          <w:b/>
          <w:lang w:val="es-ES"/>
        </w:rPr>
      </w:pPr>
    </w:p>
    <w:p w:rsidR="00BD0E73" w:rsidRPr="00017CFB" w:rsidRDefault="00017CFB" w:rsidP="00664159">
      <w:pPr>
        <w:pStyle w:val="BodyText"/>
        <w:ind w:left="90" w:right="154"/>
        <w:rPr>
          <w:lang w:val="es-ES"/>
        </w:rPr>
      </w:pPr>
      <w:r w:rsidRPr="00017CFB">
        <w:rPr>
          <w:rFonts w:cs="Times New Roman"/>
          <w:spacing w:val="-1"/>
          <w:lang w:val="es-ES"/>
        </w:rPr>
        <w:t xml:space="preserve">La presente solicitud se asignó a un Juez quien determinará cómo se recibirán las pruebas y otros documentos relacionados, necesarios para que la CPUC establezca un acta en la que basará su decisión. Las audiencias para la presentación de pruebas pueden llevarse a cabo en donde las empresas de servicios públicos, los grupos de defensa del consumidor y otras entidades a las que se haya dado estatus oficial como "partes” presentarán su testimonio y pueden estar sujetas a contrainterrogatorio de otras partes. Estas audiencias para la presentación de pruebas están </w:t>
      </w:r>
      <w:r w:rsidRPr="00017CFB">
        <w:rPr>
          <w:rFonts w:cs="Times New Roman"/>
          <w:spacing w:val="-1"/>
          <w:lang w:val="es-ES"/>
        </w:rPr>
        <w:lastRenderedPageBreak/>
        <w:t>abiertas al público, pero sólo las partes que aparecen en el acta pueden participar. Las audiencias y los documentos presentados en el procedimiento se vuelven parte del acta formal en la que se basa el Juez al redactar una propuesta de decisión a presentar ante los Comisionados para su consideración.</w:t>
      </w:r>
    </w:p>
    <w:p w:rsidR="00BD0E73" w:rsidRPr="00017CFB" w:rsidRDefault="00BD0E73">
      <w:pPr>
        <w:spacing w:before="10"/>
        <w:rPr>
          <w:rFonts w:ascii="Times New Roman" w:eastAsia="Times New Roman" w:hAnsi="Times New Roman" w:cs="Times New Roman"/>
          <w:sz w:val="20"/>
          <w:szCs w:val="20"/>
          <w:lang w:val="es-ES"/>
        </w:rPr>
      </w:pPr>
    </w:p>
    <w:p w:rsidR="00BD0E73" w:rsidRPr="00017CFB" w:rsidRDefault="00017CFB">
      <w:pPr>
        <w:pStyle w:val="BodyText"/>
        <w:ind w:left="119" w:right="184"/>
        <w:rPr>
          <w:lang w:val="es-ES"/>
        </w:rPr>
      </w:pPr>
      <w:r w:rsidRPr="00017CFB">
        <w:rPr>
          <w:rFonts w:cs="Times New Roman"/>
          <w:spacing w:val="-1"/>
          <w:lang w:val="es-ES"/>
        </w:rPr>
        <w:t>Después de considerar todas las propuestas y pruebas presentadas durante el proceso formal de las audiencias, el Juez asignado emitirá una propuesta de decisión en la que se determinará si se adopta la solicitud de SDG&amp;E, se modifica o se deniega. Cualquiera de los Comisionados de la CPUC puede proponer una decisión alterna. La decisión propuesta y cualquier decisión alterna se discutirán y someterán a voto en una Reunión de Votación de la Comisión, que se programe.</w:t>
      </w:r>
    </w:p>
    <w:p w:rsidR="00BD0E73" w:rsidRPr="00017CFB" w:rsidRDefault="00BD0E73">
      <w:pPr>
        <w:spacing w:before="10"/>
        <w:rPr>
          <w:rFonts w:ascii="Times New Roman" w:eastAsia="Times New Roman" w:hAnsi="Times New Roman" w:cs="Times New Roman"/>
          <w:sz w:val="20"/>
          <w:szCs w:val="20"/>
          <w:lang w:val="es-ES"/>
        </w:rPr>
      </w:pPr>
    </w:p>
    <w:p w:rsidR="00BD0E73" w:rsidRPr="00017CFB" w:rsidRDefault="00017CFB">
      <w:pPr>
        <w:pStyle w:val="BodyText"/>
        <w:ind w:left="119" w:right="104"/>
        <w:rPr>
          <w:rFonts w:cs="Times New Roman"/>
          <w:lang w:val="es-ES"/>
        </w:rPr>
      </w:pPr>
      <w:r w:rsidRPr="00017CFB">
        <w:rPr>
          <w:rFonts w:cs="Times New Roman"/>
          <w:spacing w:val="-1"/>
          <w:lang w:val="es-ES"/>
        </w:rPr>
        <w:t xml:space="preserve">Como una de las partes que aparecen en el acta, la Oficina de Defensores Públicos de California (CalPA) </w:t>
      </w:r>
      <w:r w:rsidR="00685B99">
        <w:rPr>
          <w:rFonts w:cs="Times New Roman"/>
          <w:spacing w:val="-1"/>
          <w:lang w:val="es-ES"/>
        </w:rPr>
        <w:t>examinó</w:t>
      </w:r>
      <w:r w:rsidRPr="00017CFB">
        <w:rPr>
          <w:rFonts w:cs="Times New Roman"/>
          <w:spacing w:val="-1"/>
          <w:lang w:val="es-ES"/>
        </w:rPr>
        <w:t xml:space="preserve"> esta solicitud. CalPA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CalPA cuenta con un personal multidisciplinario con pericia en economía, finanzas, contabilidad e ingeniería. Para más información sobre CalPA, por favor llame al (415) 703-1584, envíe un mensaje por correo electrónico a </w:t>
      </w:r>
      <w:hyperlink r:id="rId13" w:history="1">
        <w:hyperlink r:id="rId14" w:history="1">
          <w:r w:rsidRPr="00017CFB">
            <w:rPr>
              <w:rFonts w:cs="Times New Roman"/>
              <w:color w:val="000000"/>
              <w:lang w:val="es-ES"/>
            </w:rPr>
            <w:t>PublicAdvocatesOffice@cpuc</w:t>
          </w:r>
        </w:hyperlink>
      </w:hyperlink>
      <w:r w:rsidRPr="00017CFB">
        <w:rPr>
          <w:rFonts w:cs="Times New Roman"/>
          <w:lang w:val="es-ES"/>
        </w:rPr>
        <w:t xml:space="preserve"> o visite el sitio web de CalPA en: https://www.publicadvocates.cpuc.ca.gov/.</w:t>
      </w:r>
    </w:p>
    <w:p w:rsidR="00BD0E73" w:rsidRPr="00017CFB" w:rsidRDefault="00BD0E73">
      <w:pPr>
        <w:rPr>
          <w:rFonts w:ascii="Times New Roman" w:eastAsia="Times New Roman" w:hAnsi="Times New Roman" w:cs="Times New Roman"/>
          <w:sz w:val="24"/>
          <w:szCs w:val="24"/>
          <w:lang w:val="es-ES"/>
        </w:rPr>
      </w:pPr>
    </w:p>
    <w:p w:rsidR="00BD0E73" w:rsidRPr="00017CFB" w:rsidRDefault="00017CFB">
      <w:pPr>
        <w:pStyle w:val="BodyText"/>
        <w:rPr>
          <w:b/>
          <w:lang w:val="es-ES"/>
        </w:rPr>
      </w:pPr>
      <w:r w:rsidRPr="00017CFB">
        <w:rPr>
          <w:rFonts w:cs="Times New Roman"/>
          <w:b/>
          <w:bCs/>
          <w:lang w:val="es-ES"/>
        </w:rPr>
        <w:t>MANTÉNGASE INFORMADO</w:t>
      </w:r>
    </w:p>
    <w:p w:rsidR="00662AF8" w:rsidRPr="00017CFB" w:rsidRDefault="00662AF8">
      <w:pPr>
        <w:pStyle w:val="BodyText"/>
        <w:rPr>
          <w:b/>
          <w:lang w:val="es-ES"/>
        </w:rPr>
      </w:pPr>
    </w:p>
    <w:p w:rsidR="00BD0E73" w:rsidRPr="00017CFB" w:rsidRDefault="00017CFB">
      <w:pPr>
        <w:pStyle w:val="BodyText"/>
        <w:ind w:right="56"/>
        <w:rPr>
          <w:rFonts w:cs="Times New Roman"/>
          <w:lang w:val="es-ES"/>
        </w:rPr>
      </w:pPr>
      <w:r w:rsidRPr="00017CFB">
        <w:rPr>
          <w:rFonts w:cs="Times New Roman"/>
          <w:spacing w:val="-2"/>
          <w:lang w:val="es-ES"/>
        </w:rPr>
        <w:t xml:space="preserve">Si desea seguir este procedimiento, o cualquier otro asunto presentado ante la CPUC, puede utilizar el servicio de suscripción gratuito de la CPUC. Inscríbase en: </w:t>
      </w:r>
      <w:hyperlink r:id="rId15" w:history="1">
        <w:r w:rsidRPr="00017CFB">
          <w:rPr>
            <w:rFonts w:cs="Times New Roman"/>
            <w:spacing w:val="-2"/>
            <w:lang w:val="es-ES"/>
          </w:rPr>
          <w:t>http://subscribecpuc.cpuc.ca.gov/.</w:t>
        </w:r>
      </w:hyperlink>
    </w:p>
    <w:p w:rsidR="00BD0E73" w:rsidRPr="00017CFB" w:rsidRDefault="00017CFB">
      <w:pPr>
        <w:pStyle w:val="BodyText"/>
        <w:spacing w:before="52"/>
        <w:ind w:right="56"/>
        <w:rPr>
          <w:rFonts w:cs="Times New Roman"/>
          <w:lang w:val="es-ES"/>
        </w:rPr>
      </w:pPr>
      <w:r w:rsidRPr="00017CFB">
        <w:rPr>
          <w:rFonts w:cs="Times New Roman"/>
          <w:spacing w:val="-2"/>
          <w:lang w:val="es-ES"/>
        </w:rPr>
        <w:t xml:space="preserve">Si quiere obtener información sobre cómo puede participar en el procedimiento, o si tiene comentarios informales o preguntas acerca de los procesos de la CPUC, puede entrar a la página web de la PAO de la CPUC en: </w:t>
      </w:r>
      <w:hyperlink r:id="rId16" w:history="1">
        <w:r w:rsidRPr="00017CFB">
          <w:rPr>
            <w:rFonts w:cs="Times New Roman"/>
            <w:spacing w:val="-2"/>
            <w:lang w:val="es-ES"/>
          </w:rPr>
          <w:t>http://consumers.cpuc.ca.gov/pao/.</w:t>
        </w:r>
      </w:hyperlink>
      <w:r w:rsidRPr="00017CFB">
        <w:rPr>
          <w:rFonts w:cs="Times New Roman"/>
          <w:spacing w:val="-2"/>
          <w:lang w:val="es-ES"/>
        </w:rPr>
        <w:t xml:space="preserve"> También puede ponerse en contacto con el Asesor Público de la siguiente manera:</w:t>
      </w:r>
    </w:p>
    <w:p w:rsidR="00BD0E73" w:rsidRPr="00017CFB" w:rsidRDefault="00BD0E73">
      <w:pPr>
        <w:rPr>
          <w:rFonts w:ascii="Times New Roman" w:eastAsia="Times New Roman" w:hAnsi="Times New Roman" w:cs="Times New Roman"/>
          <w:sz w:val="24"/>
          <w:szCs w:val="24"/>
          <w:lang w:val="es-ES"/>
        </w:rPr>
      </w:pPr>
    </w:p>
    <w:p w:rsidR="00BD0E73" w:rsidRPr="00017CFB" w:rsidRDefault="00017CFB">
      <w:pPr>
        <w:pStyle w:val="BodyText"/>
        <w:rPr>
          <w:rFonts w:cs="Times New Roman"/>
          <w:lang w:val="es-ES"/>
        </w:rPr>
      </w:pPr>
      <w:r w:rsidRPr="00017CFB">
        <w:rPr>
          <w:rFonts w:cs="Times New Roman"/>
          <w:spacing w:val="-1"/>
          <w:lang w:val="es-ES"/>
        </w:rPr>
        <w:t xml:space="preserve">Enviando un mensaje por correo electrónico a: </w:t>
      </w:r>
      <w:hyperlink r:id="rId17" w:history="1">
        <w:r w:rsidRPr="00017CFB">
          <w:rPr>
            <w:rFonts w:cs="Times New Roman"/>
            <w:spacing w:val="-1"/>
            <w:lang w:val="es-ES"/>
          </w:rPr>
          <w:t>public.advisor@cpuc.ca.gov</w:t>
        </w:r>
      </w:hyperlink>
    </w:p>
    <w:p w:rsidR="00960A55" w:rsidRPr="00017CFB" w:rsidRDefault="00017CFB">
      <w:pPr>
        <w:pStyle w:val="BodyText"/>
        <w:ind w:left="119" w:right="1176"/>
        <w:rPr>
          <w:spacing w:val="61"/>
          <w:lang w:val="es-ES"/>
        </w:rPr>
      </w:pPr>
      <w:r w:rsidRPr="00017CFB">
        <w:rPr>
          <w:rFonts w:cs="Times New Roman"/>
          <w:spacing w:val="-1"/>
          <w:lang w:val="es-ES"/>
        </w:rPr>
        <w:t xml:space="preserve">Escribiendo a: Public Advisor’s Office, 505 Van Ness Avenue, San Francisco, CA 94102. </w:t>
      </w:r>
    </w:p>
    <w:p w:rsidR="00BD0E73" w:rsidRPr="00017CFB" w:rsidRDefault="00017CFB">
      <w:pPr>
        <w:pStyle w:val="BodyText"/>
        <w:ind w:left="119" w:right="1176"/>
        <w:rPr>
          <w:lang w:val="es-ES"/>
        </w:rPr>
      </w:pPr>
      <w:r w:rsidRPr="00017CFB">
        <w:rPr>
          <w:rFonts w:cs="Times New Roman"/>
          <w:spacing w:val="-1"/>
          <w:lang w:val="es-ES"/>
        </w:rPr>
        <w:t>Llamando al: Sin costo al 1-866-849-8390; TTY sin costo al 1-866-836-7825</w:t>
      </w:r>
    </w:p>
    <w:p w:rsidR="00BD0E73" w:rsidRPr="00017CFB" w:rsidRDefault="00BD0E73">
      <w:pPr>
        <w:rPr>
          <w:rFonts w:ascii="Times New Roman" w:eastAsia="Times New Roman" w:hAnsi="Times New Roman" w:cs="Times New Roman"/>
          <w:sz w:val="24"/>
          <w:szCs w:val="24"/>
          <w:lang w:val="es-ES"/>
        </w:rPr>
      </w:pPr>
    </w:p>
    <w:p w:rsidR="00BD0E73" w:rsidRPr="00017CFB" w:rsidRDefault="00017CFB" w:rsidP="00F665A4">
      <w:pPr>
        <w:rPr>
          <w:spacing w:val="-1"/>
          <w:lang w:val="es-ES"/>
        </w:rPr>
      </w:pPr>
      <w:r w:rsidRPr="00017CFB">
        <w:rPr>
          <w:rFonts w:ascii="Times New Roman" w:eastAsia="Times New Roman" w:hAnsi="Times New Roman" w:cs="Times New Roman"/>
          <w:spacing w:val="-1"/>
          <w:sz w:val="24"/>
          <w:szCs w:val="24"/>
          <w:lang w:val="es-ES"/>
        </w:rPr>
        <w:t>Por favor haga referencia a la Application No. A.19-03-002 de SDG&amp;E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sectPr w:rsidR="00BD0E73" w:rsidRPr="00017CFB">
      <w:footerReference w:type="default" r:id="rId18"/>
      <w:pgSz w:w="12240" w:h="15840"/>
      <w:pgMar w:top="1380" w:right="1340" w:bottom="880" w:left="132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51C" w:rsidRDefault="0029651C">
      <w:r>
        <w:separator/>
      </w:r>
    </w:p>
  </w:endnote>
  <w:endnote w:type="continuationSeparator" w:id="0">
    <w:p w:rsidR="0029651C" w:rsidRDefault="0029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45" w:rsidRDefault="00017CFB">
    <w:pPr>
      <w:spacing w:line="14" w:lineRule="auto"/>
      <w:rPr>
        <w:sz w:val="20"/>
        <w:szCs w:val="20"/>
      </w:rPr>
    </w:pPr>
    <w:r>
      <w:rPr>
        <w:noProof/>
        <w:lang w:val="es-MX" w:eastAsia="es-MX"/>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9480550</wp:posOffset>
              </wp:positionV>
              <wp:extent cx="850265" cy="127635"/>
              <wp:effectExtent l="0" t="3175" r="63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145" w:rsidRDefault="00412145">
                          <w:pPr>
                            <w:ind w:left="20"/>
                            <w:rPr>
                              <w:rFonts w:ascii="Times New Roman" w:eastAsia="Times New Roman" w:hAnsi="Times New Roman" w:cs="Times New Roman"/>
                              <w:sz w:val="16"/>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6.5pt;width:66.9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" filled="f" stroked="f">
              <v:textbox inset="0,0,0,0">
                <w:txbxContent>
                  <w:p w:rsidR="00412145" w:rsidRDefault="00412145">
                    <w:pPr>
                      <w:ind w:left="20"/>
                      <w:rPr>
                        <w:rFonts w:ascii="Times New Roman" w:eastAsia="Times New Roman" w:hAnsi="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51C" w:rsidRDefault="0029651C">
      <w:r>
        <w:separator/>
      </w:r>
    </w:p>
  </w:footnote>
  <w:footnote w:type="continuationSeparator" w:id="0">
    <w:p w:rsidR="0029651C" w:rsidRDefault="0029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161"/>
    <w:multiLevelType w:val="hybridMultilevel"/>
    <w:tmpl w:val="724C2E5E"/>
    <w:lvl w:ilvl="0" w:tplc="EF0ADC2A">
      <w:start w:val="1"/>
      <w:numFmt w:val="bullet"/>
      <w:lvlText w:val=""/>
      <w:lvlJc w:val="left"/>
      <w:pPr>
        <w:ind w:left="720" w:hanging="360"/>
      </w:pPr>
      <w:rPr>
        <w:rFonts w:ascii="Symbol" w:hAnsi="Symbol" w:hint="default"/>
      </w:rPr>
    </w:lvl>
    <w:lvl w:ilvl="1" w:tplc="D9D43B0A" w:tentative="1">
      <w:start w:val="1"/>
      <w:numFmt w:val="bullet"/>
      <w:lvlText w:val="o"/>
      <w:lvlJc w:val="left"/>
      <w:pPr>
        <w:ind w:left="1440" w:hanging="360"/>
      </w:pPr>
      <w:rPr>
        <w:rFonts w:ascii="Courier New" w:hAnsi="Courier New" w:cs="Courier New" w:hint="default"/>
      </w:rPr>
    </w:lvl>
    <w:lvl w:ilvl="2" w:tplc="5D6A373C" w:tentative="1">
      <w:start w:val="1"/>
      <w:numFmt w:val="bullet"/>
      <w:lvlText w:val=""/>
      <w:lvlJc w:val="left"/>
      <w:pPr>
        <w:ind w:left="2160" w:hanging="360"/>
      </w:pPr>
      <w:rPr>
        <w:rFonts w:ascii="Wingdings" w:hAnsi="Wingdings" w:hint="default"/>
      </w:rPr>
    </w:lvl>
    <w:lvl w:ilvl="3" w:tplc="6F628F46" w:tentative="1">
      <w:start w:val="1"/>
      <w:numFmt w:val="bullet"/>
      <w:lvlText w:val=""/>
      <w:lvlJc w:val="left"/>
      <w:pPr>
        <w:ind w:left="2880" w:hanging="360"/>
      </w:pPr>
      <w:rPr>
        <w:rFonts w:ascii="Symbol" w:hAnsi="Symbol" w:hint="default"/>
      </w:rPr>
    </w:lvl>
    <w:lvl w:ilvl="4" w:tplc="0A441B3A" w:tentative="1">
      <w:start w:val="1"/>
      <w:numFmt w:val="bullet"/>
      <w:lvlText w:val="o"/>
      <w:lvlJc w:val="left"/>
      <w:pPr>
        <w:ind w:left="3600" w:hanging="360"/>
      </w:pPr>
      <w:rPr>
        <w:rFonts w:ascii="Courier New" w:hAnsi="Courier New" w:cs="Courier New" w:hint="default"/>
      </w:rPr>
    </w:lvl>
    <w:lvl w:ilvl="5" w:tplc="FA9CDFC6" w:tentative="1">
      <w:start w:val="1"/>
      <w:numFmt w:val="bullet"/>
      <w:lvlText w:val=""/>
      <w:lvlJc w:val="left"/>
      <w:pPr>
        <w:ind w:left="4320" w:hanging="360"/>
      </w:pPr>
      <w:rPr>
        <w:rFonts w:ascii="Wingdings" w:hAnsi="Wingdings" w:hint="default"/>
      </w:rPr>
    </w:lvl>
    <w:lvl w:ilvl="6" w:tplc="68BE96E8" w:tentative="1">
      <w:start w:val="1"/>
      <w:numFmt w:val="bullet"/>
      <w:lvlText w:val=""/>
      <w:lvlJc w:val="left"/>
      <w:pPr>
        <w:ind w:left="5040" w:hanging="360"/>
      </w:pPr>
      <w:rPr>
        <w:rFonts w:ascii="Symbol" w:hAnsi="Symbol" w:hint="default"/>
      </w:rPr>
    </w:lvl>
    <w:lvl w:ilvl="7" w:tplc="A5E2512C" w:tentative="1">
      <w:start w:val="1"/>
      <w:numFmt w:val="bullet"/>
      <w:lvlText w:val="o"/>
      <w:lvlJc w:val="left"/>
      <w:pPr>
        <w:ind w:left="5760" w:hanging="360"/>
      </w:pPr>
      <w:rPr>
        <w:rFonts w:ascii="Courier New" w:hAnsi="Courier New" w:cs="Courier New" w:hint="default"/>
      </w:rPr>
    </w:lvl>
    <w:lvl w:ilvl="8" w:tplc="8E1AE4B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73"/>
    <w:rsid w:val="00017CFB"/>
    <w:rsid w:val="000424BC"/>
    <w:rsid w:val="00084303"/>
    <w:rsid w:val="000E14E1"/>
    <w:rsid w:val="00123D34"/>
    <w:rsid w:val="0015773F"/>
    <w:rsid w:val="001B3A89"/>
    <w:rsid w:val="001C65A1"/>
    <w:rsid w:val="001C6A4C"/>
    <w:rsid w:val="001E7FEB"/>
    <w:rsid w:val="00267296"/>
    <w:rsid w:val="00282908"/>
    <w:rsid w:val="0029651C"/>
    <w:rsid w:val="002C1691"/>
    <w:rsid w:val="002F1857"/>
    <w:rsid w:val="002F41E7"/>
    <w:rsid w:val="002F6961"/>
    <w:rsid w:val="00305CDE"/>
    <w:rsid w:val="00357B63"/>
    <w:rsid w:val="003626BB"/>
    <w:rsid w:val="003B6282"/>
    <w:rsid w:val="00412145"/>
    <w:rsid w:val="0041487C"/>
    <w:rsid w:val="00435197"/>
    <w:rsid w:val="004510C4"/>
    <w:rsid w:val="00451205"/>
    <w:rsid w:val="00455019"/>
    <w:rsid w:val="0046750D"/>
    <w:rsid w:val="00483CFD"/>
    <w:rsid w:val="004A6A01"/>
    <w:rsid w:val="004B5D99"/>
    <w:rsid w:val="00513B32"/>
    <w:rsid w:val="00541463"/>
    <w:rsid w:val="005B583E"/>
    <w:rsid w:val="005B6BF0"/>
    <w:rsid w:val="005E2EE1"/>
    <w:rsid w:val="00610F11"/>
    <w:rsid w:val="00613B15"/>
    <w:rsid w:val="00623620"/>
    <w:rsid w:val="00662AF8"/>
    <w:rsid w:val="00664159"/>
    <w:rsid w:val="00667813"/>
    <w:rsid w:val="006747F2"/>
    <w:rsid w:val="00685B99"/>
    <w:rsid w:val="006D1B1A"/>
    <w:rsid w:val="006D2CB8"/>
    <w:rsid w:val="006D7565"/>
    <w:rsid w:val="00703873"/>
    <w:rsid w:val="00706D24"/>
    <w:rsid w:val="00722988"/>
    <w:rsid w:val="00736FFA"/>
    <w:rsid w:val="007759EC"/>
    <w:rsid w:val="0079129F"/>
    <w:rsid w:val="007B27C7"/>
    <w:rsid w:val="007B5688"/>
    <w:rsid w:val="007D7E6F"/>
    <w:rsid w:val="00825233"/>
    <w:rsid w:val="00863EDC"/>
    <w:rsid w:val="008A1A57"/>
    <w:rsid w:val="008B6707"/>
    <w:rsid w:val="008B69FC"/>
    <w:rsid w:val="008F267C"/>
    <w:rsid w:val="00960A55"/>
    <w:rsid w:val="00962466"/>
    <w:rsid w:val="00991A26"/>
    <w:rsid w:val="009A30D2"/>
    <w:rsid w:val="009B364A"/>
    <w:rsid w:val="009C4E80"/>
    <w:rsid w:val="009D54AF"/>
    <w:rsid w:val="00A25F39"/>
    <w:rsid w:val="00A525C1"/>
    <w:rsid w:val="00A71C24"/>
    <w:rsid w:val="00A8462D"/>
    <w:rsid w:val="00AA1864"/>
    <w:rsid w:val="00AA1953"/>
    <w:rsid w:val="00B05E8C"/>
    <w:rsid w:val="00B577DF"/>
    <w:rsid w:val="00BA0E33"/>
    <w:rsid w:val="00BA7AC9"/>
    <w:rsid w:val="00BD0E73"/>
    <w:rsid w:val="00BE7A2F"/>
    <w:rsid w:val="00C53155"/>
    <w:rsid w:val="00C55575"/>
    <w:rsid w:val="00C6179C"/>
    <w:rsid w:val="00C70B2C"/>
    <w:rsid w:val="00CB5B13"/>
    <w:rsid w:val="00CC341D"/>
    <w:rsid w:val="00CE2492"/>
    <w:rsid w:val="00D11F89"/>
    <w:rsid w:val="00D13CD3"/>
    <w:rsid w:val="00D60531"/>
    <w:rsid w:val="00D655A2"/>
    <w:rsid w:val="00D9499C"/>
    <w:rsid w:val="00DA0A94"/>
    <w:rsid w:val="00DC20F5"/>
    <w:rsid w:val="00DF2508"/>
    <w:rsid w:val="00E441B6"/>
    <w:rsid w:val="00E4492C"/>
    <w:rsid w:val="00E4616E"/>
    <w:rsid w:val="00E55ACE"/>
    <w:rsid w:val="00E56D19"/>
    <w:rsid w:val="00E73A06"/>
    <w:rsid w:val="00E865A5"/>
    <w:rsid w:val="00EA42E4"/>
    <w:rsid w:val="00EF0A13"/>
    <w:rsid w:val="00F03712"/>
    <w:rsid w:val="00F51F29"/>
    <w:rsid w:val="00F665A4"/>
    <w:rsid w:val="00FB639C"/>
    <w:rsid w:val="00FD0D7D"/>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B8DD1-BB82-3C4D-9C68-C030CF75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96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5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99"/>
    <w:rPr>
      <w:rFonts w:ascii="Segoe UI" w:hAnsi="Segoe UI" w:cs="Segoe UI"/>
      <w:sz w:val="18"/>
      <w:szCs w:val="18"/>
    </w:rPr>
  </w:style>
  <w:style w:type="character" w:styleId="CommentReference">
    <w:name w:val="annotation reference"/>
    <w:basedOn w:val="DefaultParagraphFont"/>
    <w:uiPriority w:val="99"/>
    <w:semiHidden/>
    <w:unhideWhenUsed/>
    <w:rsid w:val="007B27C7"/>
    <w:rPr>
      <w:sz w:val="16"/>
      <w:szCs w:val="16"/>
    </w:rPr>
  </w:style>
  <w:style w:type="paragraph" w:styleId="CommentText">
    <w:name w:val="annotation text"/>
    <w:basedOn w:val="Normal"/>
    <w:link w:val="CommentTextChar"/>
    <w:uiPriority w:val="99"/>
    <w:semiHidden/>
    <w:unhideWhenUsed/>
    <w:rsid w:val="007B27C7"/>
    <w:rPr>
      <w:sz w:val="20"/>
      <w:szCs w:val="20"/>
    </w:rPr>
  </w:style>
  <w:style w:type="character" w:customStyle="1" w:styleId="CommentTextChar">
    <w:name w:val="Comment Text Char"/>
    <w:basedOn w:val="DefaultParagraphFont"/>
    <w:link w:val="CommentText"/>
    <w:uiPriority w:val="99"/>
    <w:semiHidden/>
    <w:rsid w:val="007B27C7"/>
    <w:rPr>
      <w:sz w:val="20"/>
      <w:szCs w:val="20"/>
    </w:rPr>
  </w:style>
  <w:style w:type="paragraph" w:styleId="CommentSubject">
    <w:name w:val="annotation subject"/>
    <w:basedOn w:val="CommentText"/>
    <w:next w:val="CommentText"/>
    <w:link w:val="CommentSubjectChar"/>
    <w:uiPriority w:val="99"/>
    <w:semiHidden/>
    <w:unhideWhenUsed/>
    <w:rsid w:val="007B27C7"/>
    <w:rPr>
      <w:b/>
      <w:bCs/>
    </w:rPr>
  </w:style>
  <w:style w:type="character" w:customStyle="1" w:styleId="CommentSubjectChar">
    <w:name w:val="Comment Subject Char"/>
    <w:basedOn w:val="CommentTextChar"/>
    <w:link w:val="CommentSubject"/>
    <w:uiPriority w:val="99"/>
    <w:semiHidden/>
    <w:rsid w:val="007B27C7"/>
    <w:rPr>
      <w:b/>
      <w:bCs/>
      <w:sz w:val="20"/>
      <w:szCs w:val="20"/>
    </w:rPr>
  </w:style>
  <w:style w:type="paragraph" w:styleId="Header">
    <w:name w:val="header"/>
    <w:basedOn w:val="Normal"/>
    <w:link w:val="HeaderChar"/>
    <w:uiPriority w:val="99"/>
    <w:unhideWhenUsed/>
    <w:rsid w:val="00991A26"/>
    <w:pPr>
      <w:tabs>
        <w:tab w:val="center" w:pos="4680"/>
        <w:tab w:val="right" w:pos="9360"/>
      </w:tabs>
    </w:pPr>
  </w:style>
  <w:style w:type="character" w:customStyle="1" w:styleId="HeaderChar">
    <w:name w:val="Header Char"/>
    <w:basedOn w:val="DefaultParagraphFont"/>
    <w:link w:val="Header"/>
    <w:uiPriority w:val="99"/>
    <w:rsid w:val="00991A26"/>
  </w:style>
  <w:style w:type="paragraph" w:styleId="Footer">
    <w:name w:val="footer"/>
    <w:basedOn w:val="Normal"/>
    <w:link w:val="FooterChar"/>
    <w:uiPriority w:val="99"/>
    <w:unhideWhenUsed/>
    <w:rsid w:val="00991A26"/>
    <w:pPr>
      <w:tabs>
        <w:tab w:val="center" w:pos="4680"/>
        <w:tab w:val="right" w:pos="9360"/>
      </w:tabs>
    </w:pPr>
  </w:style>
  <w:style w:type="character" w:customStyle="1" w:styleId="FooterChar">
    <w:name w:val="Footer Char"/>
    <w:basedOn w:val="DefaultParagraphFont"/>
    <w:link w:val="Footer"/>
    <w:uiPriority w:val="99"/>
    <w:rsid w:val="00991A26"/>
  </w:style>
  <w:style w:type="table" w:styleId="TableGrid">
    <w:name w:val="Table Grid"/>
    <w:basedOn w:val="TableNormal"/>
    <w:uiPriority w:val="59"/>
    <w:rsid w:val="009C4E80"/>
    <w:pPr>
      <w:widowControl/>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7F2"/>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cpuc.c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jcentralfilesid@cpuc.ca.gov" TargetMode="External"/><Relationship Id="rId17" Type="http://schemas.openxmlformats.org/officeDocument/2006/relationships/hyperlink" Target="mailto:public.advisor@cpuc.ca.gov" TargetMode="External"/><Relationship Id="rId2" Type="http://schemas.openxmlformats.org/officeDocument/2006/relationships/customXml" Target="../customXml/item2.xml"/><Relationship Id="rId16" Type="http://schemas.openxmlformats.org/officeDocument/2006/relationships/hyperlink" Target="http://consumers.cpuc.ca.gov/p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ge.com/regulatory-notices" TargetMode="External"/><Relationship Id="rId5" Type="http://schemas.openxmlformats.org/officeDocument/2006/relationships/numbering" Target="numbering.xml"/><Relationship Id="rId15" Type="http://schemas.openxmlformats.org/officeDocument/2006/relationships/hyperlink" Target="http://subscribecpuc.cpuc.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ra@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3D1DE4604F543BF93D8DD9D66945D" ma:contentTypeVersion="15" ma:contentTypeDescription="Create a new document." ma:contentTypeScope="" ma:versionID="46e37979db47a539f203fade3a049948">
  <xsd:schema xmlns:xsd="http://www.w3.org/2001/XMLSchema" xmlns:xs="http://www.w3.org/2001/XMLSchema" xmlns:p="http://schemas.microsoft.com/office/2006/metadata/properties" xmlns:ns2="364ce27c-a366-41e6-8be2-af4dc8cfb041" xmlns:ns3="579579a3-d0d9-4378-8163-a0fde1512da3" targetNamespace="http://schemas.microsoft.com/office/2006/metadata/properties" ma:root="true" ma:fieldsID="70f0cc3951182aa2316c0e9dfff05e85" ns2:_="" ns3:_="">
    <xsd:import namespace="364ce27c-a366-41e6-8be2-af4dc8cfb041"/>
    <xsd:import namespace="579579a3-d0d9-4378-8163-a0fde1512da3"/>
    <xsd:element name="properties">
      <xsd:complexType>
        <xsd:sequence>
          <xsd:element name="documentManagement">
            <xsd:complexType>
              <xsd:all>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ce27c-a366-41e6-8be2-af4dc8cfb041"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579a3-d0d9-4378-8163-a0fde1512da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364ce27c-a366-41e6-8be2-af4dc8cfb0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B2D2F-3FDB-4621-BF93-AC453F6BC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ce27c-a366-41e6-8be2-af4dc8cfb041"/>
    <ds:schemaRef ds:uri="579579a3-d0d9-4378-8163-a0fde1512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42BA6-21CA-4950-91AE-DD690CA4B4DC}">
  <ds:schemaRefs>
    <ds:schemaRef ds:uri="http://schemas.microsoft.com/office/2006/metadata/properties"/>
    <ds:schemaRef ds:uri="http://schemas.microsoft.com/office/infopath/2007/PartnerControls"/>
    <ds:schemaRef ds:uri="364ce27c-a366-41e6-8be2-af4dc8cfb041"/>
  </ds:schemaRefs>
</ds:datastoreItem>
</file>

<file path=customXml/itemProps3.xml><?xml version="1.0" encoding="utf-8"?>
<ds:datastoreItem xmlns:ds="http://schemas.openxmlformats.org/officeDocument/2006/customXml" ds:itemID="{393420BC-0D43-4762-B7AA-373827F056E2}">
  <ds:schemaRefs>
    <ds:schemaRef ds:uri="http://schemas.microsoft.com/sharepoint/v3/contenttype/forms"/>
  </ds:schemaRefs>
</ds:datastoreItem>
</file>

<file path=customXml/itemProps4.xml><?xml version="1.0" encoding="utf-8"?>
<ds:datastoreItem xmlns:ds="http://schemas.openxmlformats.org/officeDocument/2006/customXml" ds:itemID="{D248299D-B654-5447-B709-93F325B1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8164</Characters>
  <Application>Microsoft Office Word</Application>
  <DocSecurity>0</DocSecurity>
  <Lines>235</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SDG&amp;E-Bill Insert - Joint App (00086258).DOC</vt:lpstr>
      <vt:lpstr>SDG&amp;E-Bill Insert - Joint App (00086258).DOC</vt:lpstr>
    </vt:vector>
  </TitlesOfParts>
  <Manager/>
  <Company/>
  <LinksUpToDate>false</LinksUpToDate>
  <CharactersWithSpaces>9616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SDG&amp;E-Bill Insert - Joint App (00086258).DOC</dc:title>
  <dc:subject>00086258.DOC;1</dc:subject>
  <dc:creator>Nicole Richardson</dc:creator>
  <cp:keywords/>
  <dc:description/>
  <cp:lastModifiedBy>Microsoft Office User</cp:lastModifiedBy>
  <cp:revision>3</cp:revision>
  <cp:lastPrinted>2019-08-02T21:29:00Z</cp:lastPrinted>
  <dcterms:created xsi:type="dcterms:W3CDTF">2019-08-07T16:31:00Z</dcterms:created>
  <dcterms:modified xsi:type="dcterms:W3CDTF">2019-08-07T16:32:00Z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0x0101006213D1DE4604F543BF93D8DD9D66945D</vt:lpwstr>
  </property>
  <property fmtid="{D5CDD505-2E9C-101B-9397-08002B2CF9AE}" pid="3" name="Created">
    <vt:filetime>2016-08-24T10:00:00Z</vt:filetime>
  </property>
  <property fmtid="{D5CDD505-2E9C-101B-9397-08002B2CF9AE}" pid="4" name="LastSaved">
    <vt:filetime>2019-06-30T10:00:00Z</vt:filetime>
  </property>
</Properties>
</file>