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F466D" w14:textId="77777777" w:rsidR="00860912" w:rsidRPr="00DE0334" w:rsidRDefault="004C0B43" w:rsidP="00860912">
      <w:pPr>
        <w:pStyle w:val="Header"/>
        <w:jc w:val="center"/>
        <w:rPr>
          <w:b/>
        </w:rPr>
      </w:pPr>
      <w:bookmarkStart w:id="0" w:name="_GoBack"/>
      <w:bookmarkEnd w:id="0"/>
      <w:r>
        <w:rPr>
          <w:b/>
          <w:bCs/>
          <w:lang w:val="es-ES_tradnl"/>
        </w:rPr>
        <w:t>Para más detalles, llame al 1-800-311-7343</w:t>
      </w:r>
    </w:p>
    <w:p w14:paraId="33FD8563" w14:textId="77777777" w:rsidR="00860912" w:rsidRPr="00350BBF" w:rsidRDefault="00860912" w:rsidP="00860912">
      <w:pPr>
        <w:pStyle w:val="Table"/>
        <w:rPr>
          <w:lang w:val="es-MX"/>
        </w:rPr>
      </w:pPr>
    </w:p>
    <w:p w14:paraId="68AB10B9" w14:textId="49B19CBE" w:rsidR="00860912" w:rsidRPr="00614046" w:rsidRDefault="004C0B43" w:rsidP="00860912">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rPr>
      </w:pPr>
      <w:r>
        <w:rPr>
          <w:rFonts w:ascii="Times New Roman" w:hAnsi="Times New Roman" w:cs="Times New Roman"/>
          <w:caps w:val="0"/>
          <w:sz w:val="24"/>
          <w:szCs w:val="24"/>
          <w:lang w:val="es-ES_tradnl"/>
        </w:rPr>
        <w:t xml:space="preserve">NOTIFICACIÓN DE LA PETICIÓN </w:t>
      </w:r>
      <w:r w:rsidR="00763B3C">
        <w:rPr>
          <w:rFonts w:ascii="Times New Roman" w:hAnsi="Times New Roman" w:cs="Times New Roman"/>
          <w:caps w:val="0"/>
          <w:sz w:val="24"/>
          <w:szCs w:val="24"/>
          <w:lang w:val="es-ES_tradnl"/>
        </w:rPr>
        <w:br/>
      </w:r>
      <w:r>
        <w:rPr>
          <w:rFonts w:ascii="Times New Roman" w:hAnsi="Times New Roman" w:cs="Times New Roman"/>
          <w:caps w:val="0"/>
          <w:sz w:val="24"/>
          <w:szCs w:val="24"/>
          <w:lang w:val="es-ES_tradnl"/>
        </w:rPr>
        <w:t xml:space="preserve">DE SAN DIEGO GAS &amp; ELECTRIC COMPANY </w:t>
      </w:r>
      <w:r w:rsidR="00763B3C">
        <w:rPr>
          <w:rFonts w:ascii="Times New Roman" w:hAnsi="Times New Roman" w:cs="Times New Roman"/>
          <w:caps w:val="0"/>
          <w:sz w:val="24"/>
          <w:szCs w:val="24"/>
          <w:lang w:val="es-ES_tradnl"/>
        </w:rPr>
        <w:br/>
      </w:r>
      <w:r w:rsidR="00761224">
        <w:rPr>
          <w:rFonts w:ascii="Times New Roman" w:hAnsi="Times New Roman" w:cs="Times New Roman"/>
          <w:caps w:val="0"/>
          <w:sz w:val="24"/>
          <w:szCs w:val="24"/>
          <w:lang w:val="es-ES_tradnl"/>
        </w:rPr>
        <w:t>DE</w:t>
      </w:r>
      <w:r>
        <w:rPr>
          <w:rFonts w:ascii="Times New Roman" w:hAnsi="Times New Roman" w:cs="Times New Roman"/>
          <w:caps w:val="0"/>
          <w:sz w:val="24"/>
          <w:szCs w:val="24"/>
          <w:lang w:val="es-ES_tradnl"/>
        </w:rPr>
        <w:t xml:space="preserve"> CAMBIAR TARIFAS PARA LA PRESENTACIÓN DE LA </w:t>
      </w:r>
      <w:r w:rsidR="00761224">
        <w:rPr>
          <w:rFonts w:ascii="Times New Roman" w:hAnsi="Times New Roman" w:cs="Times New Roman"/>
          <w:caps w:val="0"/>
          <w:sz w:val="24"/>
          <w:szCs w:val="24"/>
          <w:lang w:val="es-ES_tradnl"/>
        </w:rPr>
        <w:br/>
      </w:r>
      <w:r>
        <w:rPr>
          <w:rFonts w:ascii="Times New Roman" w:hAnsi="Times New Roman" w:cs="Times New Roman"/>
          <w:caps w:val="0"/>
          <w:sz w:val="24"/>
          <w:szCs w:val="24"/>
          <w:lang w:val="es-ES_tradnl"/>
        </w:rPr>
        <w:t xml:space="preserve">SOLICITUD NÚM. </w:t>
      </w:r>
      <w:r>
        <w:rPr>
          <w:rFonts w:ascii="Times New Roman" w:hAnsi="Times New Roman" w:cs="Times New Roman"/>
          <w:sz w:val="24"/>
          <w:szCs w:val="24"/>
          <w:lang w:val="es-ES_tradnl"/>
        </w:rPr>
        <w:t>A.19-03-002</w:t>
      </w:r>
      <w:r>
        <w:rPr>
          <w:rFonts w:ascii="Times New Roman" w:hAnsi="Times New Roman" w:cs="Times New Roman"/>
          <w:caps w:val="0"/>
          <w:sz w:val="24"/>
          <w:szCs w:val="24"/>
          <w:lang w:val="es-ES_tradnl"/>
        </w:rPr>
        <w:t xml:space="preserve"> </w:t>
      </w:r>
      <w:r w:rsidR="00761224">
        <w:rPr>
          <w:rFonts w:ascii="Times New Roman" w:hAnsi="Times New Roman" w:cs="Times New Roman"/>
          <w:caps w:val="0"/>
          <w:sz w:val="24"/>
          <w:szCs w:val="24"/>
          <w:lang w:val="es-ES_tradnl"/>
        </w:rPr>
        <w:br/>
      </w:r>
      <w:r>
        <w:rPr>
          <w:rFonts w:ascii="Times New Roman" w:hAnsi="Times New Roman" w:cs="Times New Roman"/>
          <w:caps w:val="0"/>
          <w:sz w:val="24"/>
          <w:szCs w:val="24"/>
          <w:lang w:val="es-ES_tradnl"/>
        </w:rPr>
        <w:t xml:space="preserve">DE LA REVISIÓN GENERAL DE TARIFAS FASE 2 </w:t>
      </w:r>
    </w:p>
    <w:p w14:paraId="05AD769B" w14:textId="77777777" w:rsidR="00860912" w:rsidRPr="00A25F39" w:rsidRDefault="00860912" w:rsidP="00860912">
      <w:pPr>
        <w:pStyle w:val="Table"/>
        <w:jc w:val="both"/>
        <w:rPr>
          <w:rFonts w:ascii="Times New Roman" w:hAnsi="Times New Roman" w:cs="Times New Roman"/>
        </w:rPr>
      </w:pPr>
    </w:p>
    <w:p w14:paraId="6AABD346" w14:textId="702EC3C9" w:rsidR="00860912" w:rsidRDefault="004C0B43" w:rsidP="00860912">
      <w:pPr>
        <w:autoSpaceDE w:val="0"/>
        <w:autoSpaceDN w:val="0"/>
        <w:adjustRightInd w:val="0"/>
      </w:pPr>
      <w:r>
        <w:rPr>
          <w:lang w:val="es-ES_tradnl"/>
        </w:rPr>
        <w:t>El 4 de marzo de 2019, San Diego Gas &amp; Electric Company (SDG&amp;E</w:t>
      </w:r>
      <w:r>
        <w:rPr>
          <w:vertAlign w:val="superscript"/>
          <w:lang w:val="es-ES_tradnl"/>
        </w:rPr>
        <w:t>®</w:t>
      </w:r>
      <w:r>
        <w:rPr>
          <w:lang w:val="es-ES_tradnl"/>
        </w:rPr>
        <w:t xml:space="preserve">) presentó su Solicitud para la Revisión General de Tarifas (GRC) Fase 2 (Solicitud) ante la Comisión de Servicios Públicos de California (CPUC), con la intención de obtener la aprobación </w:t>
      </w:r>
      <w:r w:rsidR="00A373BB">
        <w:rPr>
          <w:lang w:val="es-ES_tradnl"/>
        </w:rPr>
        <w:t>a efectos de</w:t>
      </w:r>
      <w:r>
        <w:rPr>
          <w:lang w:val="es-ES_tradnl"/>
        </w:rPr>
        <w:t xml:space="preserve"> cambiar ciertas tarifas eléctricas para nuestros clientes. Esta Solicitud no propone ningún cambio al ingreso total porque los cambios en los ingresos se abordaron en la GRC Fase 1 (A.17-10-007) de SDG&amp;E, presentada el 6 de octubre de 2017. Además, en esta Solicitud no se piden cambios a las tarifas de gas.  </w:t>
      </w:r>
    </w:p>
    <w:p w14:paraId="5CD522C2" w14:textId="2DB6523B" w:rsidR="00860912" w:rsidRDefault="00860912" w:rsidP="00860912">
      <w:pPr>
        <w:autoSpaceDE w:val="0"/>
        <w:autoSpaceDN w:val="0"/>
        <w:adjustRightInd w:val="0"/>
      </w:pPr>
    </w:p>
    <w:p w14:paraId="2207ADB2" w14:textId="05F0161A" w:rsidR="00860912" w:rsidRDefault="004C0B43" w:rsidP="00860912">
      <w:pPr>
        <w:autoSpaceDE w:val="0"/>
        <w:autoSpaceDN w:val="0"/>
        <w:adjustRightInd w:val="0"/>
      </w:pPr>
      <w:r>
        <w:rPr>
          <w:lang w:val="es-ES_tradnl"/>
        </w:rPr>
        <w:t xml:space="preserve">SDG&amp;E propone (1) adoptar gradualmente tarifas que reflejen mejor el costo por prestar el servicio y (2) una nueva clase de tarifas para escuelas públicas y chárter. La clase de tarifas propuesta busca reflejar con mayor precisión el costo de servir a escuelas públicas y chárter en territorio de SDG&amp;E.  </w:t>
      </w:r>
    </w:p>
    <w:p w14:paraId="1B9F5CBC" w14:textId="77777777" w:rsidR="00860912" w:rsidRDefault="00860912" w:rsidP="00860912">
      <w:pPr>
        <w:autoSpaceDE w:val="0"/>
        <w:autoSpaceDN w:val="0"/>
        <w:adjustRightInd w:val="0"/>
      </w:pPr>
    </w:p>
    <w:p w14:paraId="4BB54E52" w14:textId="668C9E1D" w:rsidR="00860912" w:rsidRPr="0016512E" w:rsidRDefault="004C0B43" w:rsidP="00860912">
      <w:pPr>
        <w:autoSpaceDE w:val="0"/>
        <w:autoSpaceDN w:val="0"/>
        <w:adjustRightInd w:val="0"/>
        <w:rPr>
          <w:b/>
          <w:bCs/>
        </w:rPr>
      </w:pPr>
      <w:r>
        <w:rPr>
          <w:lang w:val="es-ES_tradnl"/>
        </w:rPr>
        <w:t>SDG&amp;E ha solicitado que los cambios propuestos en esta Solicitud entren en vigor en 2021. En caso de aprobarse tal como se presentaron, los clientes de SDG&amp;E verían los cambios aquí descritos.</w:t>
      </w:r>
    </w:p>
    <w:p w14:paraId="058A7835" w14:textId="77777777" w:rsidR="00860912" w:rsidRPr="0016512E" w:rsidRDefault="00860912" w:rsidP="00860912">
      <w:pPr>
        <w:autoSpaceDE w:val="0"/>
        <w:autoSpaceDN w:val="0"/>
        <w:adjustRightInd w:val="0"/>
        <w:rPr>
          <w:b/>
          <w:bCs/>
        </w:rPr>
      </w:pPr>
      <w:bookmarkStart w:id="1" w:name="_DV_M51"/>
      <w:bookmarkEnd w:id="1"/>
    </w:p>
    <w:p w14:paraId="2C32499E" w14:textId="71CC8AA0" w:rsidR="00860912" w:rsidRPr="0016512E" w:rsidRDefault="004C0B43" w:rsidP="00860912">
      <w:pPr>
        <w:autoSpaceDE w:val="0"/>
        <w:autoSpaceDN w:val="0"/>
        <w:adjustRightInd w:val="0"/>
        <w:jc w:val="center"/>
        <w:rPr>
          <w:b/>
          <w:bCs/>
        </w:rPr>
      </w:pPr>
      <w:r>
        <w:rPr>
          <w:b/>
          <w:bCs/>
          <w:lang w:val="es-ES_tradnl"/>
        </w:rPr>
        <w:t>IMPACTO ESTIMADO DE ESTA SOLICITUD EN LAS TARIFAS ELÉCTRICAS</w:t>
      </w:r>
    </w:p>
    <w:p w14:paraId="203F0D5D" w14:textId="77777777" w:rsidR="00860912" w:rsidRPr="0016512E" w:rsidRDefault="00860912" w:rsidP="00860912">
      <w:pPr>
        <w:autoSpaceDE w:val="0"/>
        <w:autoSpaceDN w:val="0"/>
        <w:adjustRightInd w:val="0"/>
      </w:pPr>
    </w:p>
    <w:p w14:paraId="7C016620" w14:textId="0032A563" w:rsidR="00860912" w:rsidRDefault="004C0B43" w:rsidP="0016512E">
      <w:pPr>
        <w:autoSpaceDE w:val="0"/>
        <w:autoSpaceDN w:val="0"/>
        <w:adjustRightInd w:val="0"/>
        <w:jc w:val="both"/>
      </w:pPr>
      <w:r>
        <w:rPr>
          <w:lang w:val="es-ES_tradnl"/>
        </w:rPr>
        <w:t>Si la CPUC aprueba la solicitud de SDG&amp;E, un cliente residencial típico que viva en la zona climática del interior y consuma 500 KWh al mes verá un incremento en la factura mensual de invierno a partir de enero de 2021 de $8.26, o 6.2%. Una factura eléctrica mensual típica aumentará de $140.96 a $149.07 de</w:t>
      </w:r>
      <w:r w:rsidR="00592992">
        <w:rPr>
          <w:lang w:val="es-ES_tradnl"/>
        </w:rPr>
        <w:t>sde ahora</w:t>
      </w:r>
      <w:r>
        <w:rPr>
          <w:lang w:val="es-ES_tradnl"/>
        </w:rPr>
        <w:t xml:space="preserve"> </w:t>
      </w:r>
      <w:r w:rsidR="00592992">
        <w:rPr>
          <w:lang w:val="es-ES_tradnl"/>
        </w:rPr>
        <w:t xml:space="preserve">hasta </w:t>
      </w:r>
      <w:r>
        <w:rPr>
          <w:lang w:val="es-ES_tradnl"/>
        </w:rPr>
        <w:t>2021, y no habrá cambio</w:t>
      </w:r>
      <w:r w:rsidR="00592992">
        <w:rPr>
          <w:lang w:val="es-ES_tradnl"/>
        </w:rPr>
        <w:t>s</w:t>
      </w:r>
      <w:r>
        <w:rPr>
          <w:lang w:val="es-ES_tradnl"/>
        </w:rPr>
        <w:t xml:space="preserve"> de 2021 a 2022. Los montos en dólares y los porcentajes mostrados no necesariamente reflejan los cambios exactos que usted tal vez vea en su factura. Los cambios en las facturas individuales dependerán de cuánta electricidad consuma cada cliente. La tabla 1 muestra una comparación de las tarifas </w:t>
      </w:r>
      <w:r w:rsidR="006E0BB2">
        <w:rPr>
          <w:lang w:val="es-ES_tradnl"/>
        </w:rPr>
        <w:t xml:space="preserve">promedio </w:t>
      </w:r>
      <w:r>
        <w:rPr>
          <w:lang w:val="es-ES_tradnl"/>
        </w:rPr>
        <w:t>actuales por clase con las tarifas propuestas para 2021. No hay cambio pronosticado a las tarifas de 2021 a 2022.</w:t>
      </w:r>
    </w:p>
    <w:p w14:paraId="577E32A9" w14:textId="77777777" w:rsidR="000370A5" w:rsidRDefault="000370A5" w:rsidP="0016512E">
      <w:pPr>
        <w:autoSpaceDE w:val="0"/>
        <w:autoSpaceDN w:val="0"/>
        <w:adjustRightInd w:val="0"/>
        <w:jc w:val="both"/>
      </w:pPr>
    </w:p>
    <w:p w14:paraId="112DE0F3" w14:textId="4F08DFAF" w:rsidR="00C56109" w:rsidRDefault="00C56109" w:rsidP="00EA6F53">
      <w:pPr>
        <w:autoSpaceDE w:val="0"/>
        <w:autoSpaceDN w:val="0"/>
        <w:adjustRightInd w:val="0"/>
        <w:rPr>
          <w:b/>
        </w:rPr>
      </w:pPr>
    </w:p>
    <w:p w14:paraId="3E502031" w14:textId="77777777" w:rsidR="006E0BB2" w:rsidRDefault="006E0BB2">
      <w:pPr>
        <w:spacing w:after="200" w:line="276" w:lineRule="auto"/>
        <w:rPr>
          <w:b/>
          <w:bCs/>
          <w:lang w:val="es-ES_tradnl"/>
        </w:rPr>
      </w:pPr>
      <w:r>
        <w:rPr>
          <w:b/>
          <w:bCs/>
          <w:lang w:val="es-ES_tradnl"/>
        </w:rPr>
        <w:br w:type="page"/>
      </w:r>
    </w:p>
    <w:p w14:paraId="281B7669" w14:textId="16AB2250" w:rsidR="00C56109" w:rsidRPr="00C44FBD" w:rsidRDefault="004C0B43" w:rsidP="00C56109">
      <w:pPr>
        <w:autoSpaceDE w:val="0"/>
        <w:autoSpaceDN w:val="0"/>
        <w:adjustRightInd w:val="0"/>
        <w:jc w:val="center"/>
        <w:rPr>
          <w:b/>
        </w:rPr>
      </w:pPr>
      <w:r>
        <w:rPr>
          <w:b/>
          <w:bCs/>
          <w:lang w:val="es-ES_tradnl"/>
        </w:rPr>
        <w:lastRenderedPageBreak/>
        <w:t>Tabla 1: Propuesta de SDG&amp;E comparada con las tarifas actuales en vigor</w:t>
      </w:r>
    </w:p>
    <w:p w14:paraId="409A7376" w14:textId="77777777" w:rsidR="00C56109" w:rsidRPr="00A25F39" w:rsidRDefault="00C56109" w:rsidP="00C56109">
      <w:pPr>
        <w:autoSpaceDE w:val="0"/>
        <w:autoSpaceDN w:val="0"/>
        <w:adjustRightInd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1299"/>
        <w:gridCol w:w="1351"/>
        <w:gridCol w:w="1158"/>
        <w:gridCol w:w="773"/>
      </w:tblGrid>
      <w:tr w:rsidR="003D3B85" w14:paraId="3C9E11FB" w14:textId="77777777" w:rsidTr="007E56E7">
        <w:trPr>
          <w:trHeight w:val="292"/>
          <w:jc w:val="center"/>
        </w:trPr>
        <w:tc>
          <w:tcPr>
            <w:tcW w:w="1398" w:type="dxa"/>
            <w:tcBorders>
              <w:bottom w:val="nil"/>
            </w:tcBorders>
            <w:vAlign w:val="bottom"/>
          </w:tcPr>
          <w:p w14:paraId="004C3D21" w14:textId="77777777" w:rsidR="007E56E7" w:rsidRPr="00435197" w:rsidRDefault="007E56E7" w:rsidP="007D2DA7">
            <w:pPr>
              <w:autoSpaceDE w:val="0"/>
              <w:autoSpaceDN w:val="0"/>
              <w:adjustRightInd w:val="0"/>
              <w:jc w:val="both"/>
              <w:rPr>
                <w:b/>
                <w:sz w:val="22"/>
                <w:szCs w:val="22"/>
              </w:rPr>
            </w:pPr>
          </w:p>
        </w:tc>
        <w:tc>
          <w:tcPr>
            <w:tcW w:w="1299" w:type="dxa"/>
            <w:tcBorders>
              <w:bottom w:val="nil"/>
            </w:tcBorders>
            <w:vAlign w:val="bottom"/>
          </w:tcPr>
          <w:p w14:paraId="07D1C481" w14:textId="77777777" w:rsidR="007E56E7" w:rsidRPr="00435197" w:rsidRDefault="007E56E7" w:rsidP="00EB27E2">
            <w:pPr>
              <w:autoSpaceDE w:val="0"/>
              <w:autoSpaceDN w:val="0"/>
              <w:adjustRightInd w:val="0"/>
              <w:rPr>
                <w:b/>
                <w:sz w:val="22"/>
                <w:szCs w:val="22"/>
              </w:rPr>
            </w:pPr>
          </w:p>
        </w:tc>
        <w:tc>
          <w:tcPr>
            <w:tcW w:w="1351" w:type="dxa"/>
            <w:tcBorders>
              <w:bottom w:val="nil"/>
            </w:tcBorders>
            <w:vAlign w:val="bottom"/>
          </w:tcPr>
          <w:p w14:paraId="156C2E1B" w14:textId="77777777" w:rsidR="007E56E7" w:rsidRPr="00435197" w:rsidRDefault="007E56E7" w:rsidP="007D2DA7">
            <w:pPr>
              <w:autoSpaceDE w:val="0"/>
              <w:autoSpaceDN w:val="0"/>
              <w:adjustRightInd w:val="0"/>
              <w:jc w:val="center"/>
              <w:rPr>
                <w:b/>
                <w:sz w:val="22"/>
                <w:szCs w:val="22"/>
              </w:rPr>
            </w:pPr>
          </w:p>
        </w:tc>
        <w:tc>
          <w:tcPr>
            <w:tcW w:w="1931" w:type="dxa"/>
            <w:gridSpan w:val="2"/>
            <w:tcBorders>
              <w:bottom w:val="nil"/>
            </w:tcBorders>
            <w:vAlign w:val="bottom"/>
          </w:tcPr>
          <w:p w14:paraId="72318E39" w14:textId="37B78662" w:rsidR="007E56E7" w:rsidRPr="00435197" w:rsidRDefault="004C0B43" w:rsidP="007D2DA7">
            <w:pPr>
              <w:autoSpaceDE w:val="0"/>
              <w:autoSpaceDN w:val="0"/>
              <w:adjustRightInd w:val="0"/>
              <w:jc w:val="center"/>
              <w:rPr>
                <w:b/>
                <w:sz w:val="22"/>
                <w:szCs w:val="22"/>
              </w:rPr>
            </w:pPr>
            <w:r>
              <w:rPr>
                <w:b/>
                <w:bCs/>
                <w:sz w:val="22"/>
                <w:szCs w:val="22"/>
                <w:lang w:val="es-ES_tradnl"/>
              </w:rPr>
              <w:t xml:space="preserve">Cambio de </w:t>
            </w:r>
            <w:r w:rsidR="006E0BB2">
              <w:rPr>
                <w:b/>
                <w:bCs/>
                <w:sz w:val="22"/>
                <w:szCs w:val="22"/>
                <w:lang w:val="es-ES_tradnl"/>
              </w:rPr>
              <w:br/>
            </w:r>
            <w:r>
              <w:rPr>
                <w:b/>
                <w:bCs/>
                <w:sz w:val="22"/>
                <w:szCs w:val="22"/>
                <w:lang w:val="es-ES_tradnl"/>
              </w:rPr>
              <w:t>2019 a 2021</w:t>
            </w:r>
          </w:p>
        </w:tc>
      </w:tr>
      <w:tr w:rsidR="003D3B85" w14:paraId="06FF25C0" w14:textId="77777777" w:rsidTr="00A846E8">
        <w:trPr>
          <w:trHeight w:val="799"/>
          <w:jc w:val="center"/>
        </w:trPr>
        <w:tc>
          <w:tcPr>
            <w:tcW w:w="1398" w:type="dxa"/>
            <w:tcBorders>
              <w:top w:val="nil"/>
            </w:tcBorders>
            <w:vAlign w:val="bottom"/>
          </w:tcPr>
          <w:p w14:paraId="1724AC0B" w14:textId="77777777" w:rsidR="007E56E7" w:rsidRPr="00435197" w:rsidRDefault="004C0B43" w:rsidP="007D2DA7">
            <w:pPr>
              <w:autoSpaceDE w:val="0"/>
              <w:autoSpaceDN w:val="0"/>
              <w:adjustRightInd w:val="0"/>
              <w:jc w:val="center"/>
              <w:rPr>
                <w:b/>
              </w:rPr>
            </w:pPr>
            <w:r>
              <w:rPr>
                <w:b/>
                <w:bCs/>
                <w:sz w:val="22"/>
                <w:szCs w:val="22"/>
                <w:lang w:val="es-ES_tradnl"/>
              </w:rPr>
              <w:t>Clase de cliente</w:t>
            </w:r>
          </w:p>
        </w:tc>
        <w:tc>
          <w:tcPr>
            <w:tcW w:w="1299" w:type="dxa"/>
            <w:tcBorders>
              <w:top w:val="nil"/>
            </w:tcBorders>
            <w:vAlign w:val="bottom"/>
          </w:tcPr>
          <w:p w14:paraId="34B2FD70" w14:textId="51B18B3A" w:rsidR="007E56E7" w:rsidRDefault="004C0B43" w:rsidP="00EB27E2">
            <w:pPr>
              <w:autoSpaceDE w:val="0"/>
              <w:autoSpaceDN w:val="0"/>
              <w:adjustRightInd w:val="0"/>
              <w:jc w:val="center"/>
              <w:rPr>
                <w:b/>
                <w:sz w:val="22"/>
                <w:szCs w:val="22"/>
              </w:rPr>
            </w:pPr>
            <w:r>
              <w:rPr>
                <w:b/>
                <w:bCs/>
                <w:sz w:val="22"/>
                <w:szCs w:val="22"/>
                <w:lang w:val="es-ES_tradnl"/>
              </w:rPr>
              <w:t>Tarifas actuales en vigor a partir del 1/1/2019</w:t>
            </w:r>
          </w:p>
          <w:p w14:paraId="74E8DE03" w14:textId="67D47B37" w:rsidR="007E56E7" w:rsidRPr="00435197" w:rsidRDefault="004C0B43" w:rsidP="00EB27E2">
            <w:pPr>
              <w:autoSpaceDE w:val="0"/>
              <w:autoSpaceDN w:val="0"/>
              <w:adjustRightInd w:val="0"/>
              <w:jc w:val="center"/>
              <w:rPr>
                <w:b/>
              </w:rPr>
            </w:pPr>
            <w:r>
              <w:rPr>
                <w:b/>
                <w:bCs/>
                <w:sz w:val="22"/>
                <w:szCs w:val="22"/>
                <w:lang w:val="es-ES_tradnl"/>
              </w:rPr>
              <w:t>(¢/kWh)</w:t>
            </w:r>
          </w:p>
        </w:tc>
        <w:tc>
          <w:tcPr>
            <w:tcW w:w="1351" w:type="dxa"/>
            <w:tcBorders>
              <w:top w:val="nil"/>
            </w:tcBorders>
            <w:vAlign w:val="bottom"/>
          </w:tcPr>
          <w:p w14:paraId="249A05E3" w14:textId="2E531C5D" w:rsidR="007E56E7" w:rsidRDefault="004C0B43" w:rsidP="007D2DA7">
            <w:pPr>
              <w:autoSpaceDE w:val="0"/>
              <w:autoSpaceDN w:val="0"/>
              <w:adjustRightInd w:val="0"/>
              <w:jc w:val="center"/>
              <w:rPr>
                <w:b/>
                <w:sz w:val="22"/>
                <w:szCs w:val="22"/>
              </w:rPr>
            </w:pPr>
            <w:r>
              <w:rPr>
                <w:b/>
                <w:bCs/>
                <w:sz w:val="22"/>
                <w:szCs w:val="22"/>
                <w:lang w:val="es-ES_tradnl"/>
              </w:rPr>
              <w:t>Tarifas propuestas</w:t>
            </w:r>
            <w:r w:rsidR="006E0BB2">
              <w:rPr>
                <w:b/>
                <w:bCs/>
                <w:sz w:val="22"/>
                <w:szCs w:val="22"/>
                <w:lang w:val="es-ES_tradnl"/>
              </w:rPr>
              <w:t xml:space="preserve"> a partir del</w:t>
            </w:r>
            <w:r>
              <w:rPr>
                <w:b/>
                <w:bCs/>
                <w:sz w:val="22"/>
                <w:szCs w:val="22"/>
                <w:lang w:val="es-ES_tradnl"/>
              </w:rPr>
              <w:t xml:space="preserve"> </w:t>
            </w:r>
          </w:p>
          <w:p w14:paraId="72C83EEE" w14:textId="77777777" w:rsidR="007E56E7" w:rsidRDefault="004C0B43" w:rsidP="007D2DA7">
            <w:pPr>
              <w:autoSpaceDE w:val="0"/>
              <w:autoSpaceDN w:val="0"/>
              <w:adjustRightInd w:val="0"/>
              <w:jc w:val="center"/>
              <w:rPr>
                <w:b/>
                <w:sz w:val="22"/>
                <w:szCs w:val="22"/>
              </w:rPr>
            </w:pPr>
            <w:r>
              <w:rPr>
                <w:b/>
                <w:bCs/>
                <w:sz w:val="22"/>
                <w:szCs w:val="22"/>
                <w:lang w:val="es-ES_tradnl"/>
              </w:rPr>
              <w:t>1/1/2021</w:t>
            </w:r>
          </w:p>
          <w:p w14:paraId="43E0A56A" w14:textId="44E802CD" w:rsidR="007E56E7" w:rsidRPr="00435197" w:rsidRDefault="004C0B43" w:rsidP="007D2DA7">
            <w:pPr>
              <w:autoSpaceDE w:val="0"/>
              <w:autoSpaceDN w:val="0"/>
              <w:adjustRightInd w:val="0"/>
              <w:jc w:val="center"/>
              <w:rPr>
                <w:b/>
              </w:rPr>
            </w:pPr>
            <w:r>
              <w:rPr>
                <w:b/>
                <w:bCs/>
                <w:sz w:val="22"/>
                <w:szCs w:val="22"/>
                <w:lang w:val="es-ES_tradnl"/>
              </w:rPr>
              <w:t>(¢/kWh)</w:t>
            </w:r>
          </w:p>
        </w:tc>
        <w:tc>
          <w:tcPr>
            <w:tcW w:w="1158" w:type="dxa"/>
            <w:tcBorders>
              <w:top w:val="nil"/>
            </w:tcBorders>
            <w:vAlign w:val="bottom"/>
          </w:tcPr>
          <w:p w14:paraId="1C36A615" w14:textId="36457A6D" w:rsidR="007E56E7" w:rsidRPr="00435197" w:rsidRDefault="004C0B43" w:rsidP="007D2DA7">
            <w:pPr>
              <w:autoSpaceDE w:val="0"/>
              <w:autoSpaceDN w:val="0"/>
              <w:adjustRightInd w:val="0"/>
              <w:jc w:val="center"/>
              <w:rPr>
                <w:b/>
              </w:rPr>
            </w:pPr>
            <w:r>
              <w:rPr>
                <w:b/>
                <w:bCs/>
                <w:sz w:val="22"/>
                <w:szCs w:val="22"/>
                <w:lang w:val="es-ES_tradnl"/>
              </w:rPr>
              <w:t>(¢/kWh)</w:t>
            </w:r>
          </w:p>
        </w:tc>
        <w:tc>
          <w:tcPr>
            <w:tcW w:w="773" w:type="dxa"/>
            <w:tcBorders>
              <w:top w:val="nil"/>
            </w:tcBorders>
            <w:vAlign w:val="bottom"/>
          </w:tcPr>
          <w:p w14:paraId="778E2D8C" w14:textId="77777777" w:rsidR="007E56E7" w:rsidRPr="00435197" w:rsidRDefault="004C0B43" w:rsidP="007D2DA7">
            <w:pPr>
              <w:autoSpaceDE w:val="0"/>
              <w:autoSpaceDN w:val="0"/>
              <w:adjustRightInd w:val="0"/>
              <w:jc w:val="center"/>
              <w:rPr>
                <w:b/>
              </w:rPr>
            </w:pPr>
            <w:r>
              <w:rPr>
                <w:b/>
                <w:sz w:val="22"/>
                <w:szCs w:val="22"/>
              </w:rPr>
              <w:t>%</w:t>
            </w:r>
          </w:p>
        </w:tc>
      </w:tr>
      <w:tr w:rsidR="003D3B85" w14:paraId="3B10932D" w14:textId="77777777" w:rsidTr="00A846E8">
        <w:trPr>
          <w:trHeight w:val="251"/>
          <w:jc w:val="center"/>
        </w:trPr>
        <w:tc>
          <w:tcPr>
            <w:tcW w:w="1398" w:type="dxa"/>
            <w:vAlign w:val="center"/>
          </w:tcPr>
          <w:p w14:paraId="088BA881" w14:textId="77777777" w:rsidR="007E56E7" w:rsidRPr="00D11F89" w:rsidRDefault="004C0B43" w:rsidP="00B36DEC">
            <w:pPr>
              <w:autoSpaceDE w:val="0"/>
              <w:autoSpaceDN w:val="0"/>
              <w:adjustRightInd w:val="0"/>
              <w:jc w:val="center"/>
            </w:pPr>
            <w:r>
              <w:rPr>
                <w:sz w:val="22"/>
                <w:szCs w:val="22"/>
                <w:lang w:val="es-ES_tradnl"/>
              </w:rPr>
              <w:t>Residencial</w:t>
            </w:r>
          </w:p>
        </w:tc>
        <w:tc>
          <w:tcPr>
            <w:tcW w:w="1299" w:type="dxa"/>
            <w:vAlign w:val="center"/>
          </w:tcPr>
          <w:p w14:paraId="70CC1535" w14:textId="4CB6E0A1" w:rsidR="007E56E7" w:rsidRPr="00D11F89" w:rsidRDefault="004C0B43" w:rsidP="00B36DEC">
            <w:pPr>
              <w:autoSpaceDE w:val="0"/>
              <w:autoSpaceDN w:val="0"/>
              <w:adjustRightInd w:val="0"/>
              <w:jc w:val="center"/>
            </w:pPr>
            <w:r>
              <w:rPr>
                <w:lang w:val="es-ES_tradnl"/>
              </w:rPr>
              <w:t>26.251</w:t>
            </w:r>
          </w:p>
        </w:tc>
        <w:tc>
          <w:tcPr>
            <w:tcW w:w="1351" w:type="dxa"/>
            <w:vAlign w:val="center"/>
          </w:tcPr>
          <w:p w14:paraId="605682DF" w14:textId="0996D84B" w:rsidR="007E56E7" w:rsidRPr="00D11F89" w:rsidRDefault="004C0B43" w:rsidP="00B36DEC">
            <w:pPr>
              <w:autoSpaceDE w:val="0"/>
              <w:autoSpaceDN w:val="0"/>
              <w:adjustRightInd w:val="0"/>
              <w:jc w:val="center"/>
            </w:pPr>
            <w:r>
              <w:rPr>
                <w:lang w:val="es-ES_tradnl"/>
              </w:rPr>
              <w:t>27.742</w:t>
            </w:r>
          </w:p>
        </w:tc>
        <w:tc>
          <w:tcPr>
            <w:tcW w:w="1158" w:type="dxa"/>
            <w:vAlign w:val="center"/>
          </w:tcPr>
          <w:p w14:paraId="71E77F26" w14:textId="5851D71F" w:rsidR="007E56E7" w:rsidRPr="00D11F89" w:rsidRDefault="004C0B43" w:rsidP="00B36DEC">
            <w:pPr>
              <w:autoSpaceDE w:val="0"/>
              <w:autoSpaceDN w:val="0"/>
              <w:adjustRightInd w:val="0"/>
              <w:jc w:val="center"/>
            </w:pPr>
            <w:r>
              <w:rPr>
                <w:lang w:val="es-ES_tradnl"/>
              </w:rPr>
              <w:t>1.491</w:t>
            </w:r>
          </w:p>
        </w:tc>
        <w:tc>
          <w:tcPr>
            <w:tcW w:w="773" w:type="dxa"/>
            <w:vAlign w:val="center"/>
          </w:tcPr>
          <w:p w14:paraId="5905C259" w14:textId="074127AA" w:rsidR="007E56E7" w:rsidRPr="00D11F89" w:rsidRDefault="004C0B43" w:rsidP="00B36DEC">
            <w:pPr>
              <w:autoSpaceDE w:val="0"/>
              <w:autoSpaceDN w:val="0"/>
              <w:adjustRightInd w:val="0"/>
              <w:jc w:val="center"/>
            </w:pPr>
            <w:r>
              <w:rPr>
                <w:lang w:val="es-ES_tradnl"/>
              </w:rPr>
              <w:t>5.68</w:t>
            </w:r>
          </w:p>
        </w:tc>
      </w:tr>
      <w:tr w:rsidR="003D3B85" w14:paraId="71BE186B" w14:textId="77777777" w:rsidTr="00A846E8">
        <w:trPr>
          <w:trHeight w:val="267"/>
          <w:jc w:val="center"/>
        </w:trPr>
        <w:tc>
          <w:tcPr>
            <w:tcW w:w="1398" w:type="dxa"/>
            <w:vAlign w:val="center"/>
          </w:tcPr>
          <w:p w14:paraId="05EB009D" w14:textId="77777777" w:rsidR="007E56E7" w:rsidRPr="00D11F89" w:rsidRDefault="004C0B43" w:rsidP="00B36DEC">
            <w:pPr>
              <w:autoSpaceDE w:val="0"/>
              <w:autoSpaceDN w:val="0"/>
              <w:adjustRightInd w:val="0"/>
              <w:jc w:val="center"/>
            </w:pPr>
            <w:r>
              <w:rPr>
                <w:sz w:val="22"/>
                <w:szCs w:val="22"/>
                <w:lang w:val="es-ES_tradnl"/>
              </w:rPr>
              <w:t>Comercial pequeño</w:t>
            </w:r>
          </w:p>
        </w:tc>
        <w:tc>
          <w:tcPr>
            <w:tcW w:w="1299" w:type="dxa"/>
            <w:vAlign w:val="center"/>
          </w:tcPr>
          <w:p w14:paraId="238343A7" w14:textId="7B008D9A" w:rsidR="007E56E7" w:rsidRPr="00D11F89" w:rsidRDefault="004C0B43" w:rsidP="00B36DEC">
            <w:pPr>
              <w:autoSpaceDE w:val="0"/>
              <w:autoSpaceDN w:val="0"/>
              <w:adjustRightInd w:val="0"/>
              <w:jc w:val="center"/>
            </w:pPr>
            <w:r>
              <w:rPr>
                <w:lang w:val="es-ES_tradnl"/>
              </w:rPr>
              <w:t>24.963</w:t>
            </w:r>
          </w:p>
        </w:tc>
        <w:tc>
          <w:tcPr>
            <w:tcW w:w="1351" w:type="dxa"/>
            <w:vAlign w:val="center"/>
          </w:tcPr>
          <w:p w14:paraId="7DC7357B" w14:textId="02A891FC" w:rsidR="007E56E7" w:rsidRPr="00D11F89" w:rsidRDefault="004C0B43" w:rsidP="00B36DEC">
            <w:pPr>
              <w:autoSpaceDE w:val="0"/>
              <w:autoSpaceDN w:val="0"/>
              <w:adjustRightInd w:val="0"/>
              <w:jc w:val="center"/>
            </w:pPr>
            <w:r>
              <w:rPr>
                <w:lang w:val="es-ES_tradnl"/>
              </w:rPr>
              <w:t>26.034</w:t>
            </w:r>
          </w:p>
        </w:tc>
        <w:tc>
          <w:tcPr>
            <w:tcW w:w="1158" w:type="dxa"/>
            <w:vAlign w:val="center"/>
          </w:tcPr>
          <w:p w14:paraId="5E5BAB64" w14:textId="71B768C8" w:rsidR="007E56E7" w:rsidRPr="00D11F89" w:rsidRDefault="004C0B43" w:rsidP="00B36DEC">
            <w:pPr>
              <w:autoSpaceDE w:val="0"/>
              <w:autoSpaceDN w:val="0"/>
              <w:adjustRightInd w:val="0"/>
              <w:jc w:val="center"/>
            </w:pPr>
            <w:r>
              <w:rPr>
                <w:lang w:val="es-ES_tradnl"/>
              </w:rPr>
              <w:t>1.071</w:t>
            </w:r>
          </w:p>
        </w:tc>
        <w:tc>
          <w:tcPr>
            <w:tcW w:w="773" w:type="dxa"/>
            <w:vAlign w:val="center"/>
          </w:tcPr>
          <w:p w14:paraId="7DCAF0F8" w14:textId="0B6E014B" w:rsidR="007E56E7" w:rsidRPr="00D11F89" w:rsidRDefault="004C0B43" w:rsidP="00B36DEC">
            <w:pPr>
              <w:autoSpaceDE w:val="0"/>
              <w:autoSpaceDN w:val="0"/>
              <w:adjustRightInd w:val="0"/>
              <w:jc w:val="center"/>
            </w:pPr>
            <w:r>
              <w:rPr>
                <w:lang w:val="es-ES_tradnl"/>
              </w:rPr>
              <w:t>4.29</w:t>
            </w:r>
          </w:p>
        </w:tc>
      </w:tr>
      <w:tr w:rsidR="003D3B85" w14:paraId="4CA45A26" w14:textId="77777777" w:rsidTr="00A846E8">
        <w:trPr>
          <w:trHeight w:val="516"/>
          <w:jc w:val="center"/>
        </w:trPr>
        <w:tc>
          <w:tcPr>
            <w:tcW w:w="1398" w:type="dxa"/>
            <w:vAlign w:val="center"/>
          </w:tcPr>
          <w:p w14:paraId="24BBBB02" w14:textId="2C1DCEE8" w:rsidR="007E56E7" w:rsidRPr="00D11F89" w:rsidRDefault="004C0B43" w:rsidP="00B36DEC">
            <w:pPr>
              <w:autoSpaceDE w:val="0"/>
              <w:autoSpaceDN w:val="0"/>
              <w:adjustRightInd w:val="0"/>
              <w:jc w:val="center"/>
            </w:pPr>
            <w:r>
              <w:rPr>
                <w:sz w:val="22"/>
                <w:szCs w:val="22"/>
                <w:lang w:val="es-ES_tradnl"/>
              </w:rPr>
              <w:t>Comercial e industrial mediano y grande</w:t>
            </w:r>
          </w:p>
        </w:tc>
        <w:tc>
          <w:tcPr>
            <w:tcW w:w="1299" w:type="dxa"/>
            <w:vAlign w:val="center"/>
          </w:tcPr>
          <w:p w14:paraId="5101F233" w14:textId="585A9E9B" w:rsidR="007E56E7" w:rsidRPr="00D11F89" w:rsidRDefault="004C0B43" w:rsidP="00B36DEC">
            <w:pPr>
              <w:autoSpaceDE w:val="0"/>
              <w:autoSpaceDN w:val="0"/>
              <w:adjustRightInd w:val="0"/>
              <w:jc w:val="center"/>
            </w:pPr>
            <w:r>
              <w:rPr>
                <w:lang w:val="es-ES_tradnl"/>
              </w:rPr>
              <w:t>22.205</w:t>
            </w:r>
          </w:p>
        </w:tc>
        <w:tc>
          <w:tcPr>
            <w:tcW w:w="1351" w:type="dxa"/>
            <w:vAlign w:val="center"/>
          </w:tcPr>
          <w:p w14:paraId="52B56A63" w14:textId="06E31FA4" w:rsidR="007E56E7" w:rsidRPr="00D11F89" w:rsidRDefault="004C0B43" w:rsidP="00B36DEC">
            <w:pPr>
              <w:autoSpaceDE w:val="0"/>
              <w:autoSpaceDN w:val="0"/>
              <w:adjustRightInd w:val="0"/>
              <w:jc w:val="center"/>
            </w:pPr>
            <w:r>
              <w:rPr>
                <w:lang w:val="es-ES_tradnl"/>
              </w:rPr>
              <w:t>22.815</w:t>
            </w:r>
          </w:p>
        </w:tc>
        <w:tc>
          <w:tcPr>
            <w:tcW w:w="1158" w:type="dxa"/>
            <w:vAlign w:val="center"/>
          </w:tcPr>
          <w:p w14:paraId="14BF4C55" w14:textId="225EE250" w:rsidR="007E56E7" w:rsidRPr="00D11F89" w:rsidRDefault="004C0B43" w:rsidP="00B36DEC">
            <w:pPr>
              <w:autoSpaceDE w:val="0"/>
              <w:autoSpaceDN w:val="0"/>
              <w:adjustRightInd w:val="0"/>
              <w:jc w:val="center"/>
            </w:pPr>
            <w:r>
              <w:rPr>
                <w:lang w:val="es-ES_tradnl"/>
              </w:rPr>
              <w:t>.610</w:t>
            </w:r>
          </w:p>
        </w:tc>
        <w:tc>
          <w:tcPr>
            <w:tcW w:w="773" w:type="dxa"/>
            <w:vAlign w:val="center"/>
          </w:tcPr>
          <w:p w14:paraId="09E00FBB" w14:textId="5E31B8EF" w:rsidR="007E56E7" w:rsidRPr="00D11F89" w:rsidRDefault="004C0B43" w:rsidP="00B36DEC">
            <w:pPr>
              <w:autoSpaceDE w:val="0"/>
              <w:autoSpaceDN w:val="0"/>
              <w:adjustRightInd w:val="0"/>
              <w:jc w:val="center"/>
            </w:pPr>
            <w:r>
              <w:rPr>
                <w:lang w:val="es-ES_tradnl"/>
              </w:rPr>
              <w:t>2.75</w:t>
            </w:r>
          </w:p>
        </w:tc>
      </w:tr>
      <w:tr w:rsidR="003D3B85" w14:paraId="615EB1BA" w14:textId="77777777" w:rsidTr="00A846E8">
        <w:trPr>
          <w:trHeight w:val="267"/>
          <w:jc w:val="center"/>
        </w:trPr>
        <w:tc>
          <w:tcPr>
            <w:tcW w:w="1398" w:type="dxa"/>
            <w:vAlign w:val="center"/>
          </w:tcPr>
          <w:p w14:paraId="58233C5E" w14:textId="77777777" w:rsidR="007E56E7" w:rsidRPr="00D11F89" w:rsidRDefault="004C0B43" w:rsidP="00B36DEC">
            <w:pPr>
              <w:autoSpaceDE w:val="0"/>
              <w:autoSpaceDN w:val="0"/>
              <w:adjustRightInd w:val="0"/>
              <w:jc w:val="center"/>
            </w:pPr>
            <w:r>
              <w:rPr>
                <w:sz w:val="22"/>
                <w:szCs w:val="22"/>
                <w:lang w:val="es-ES_tradnl"/>
              </w:rPr>
              <w:t>Agricultura</w:t>
            </w:r>
          </w:p>
        </w:tc>
        <w:tc>
          <w:tcPr>
            <w:tcW w:w="1299" w:type="dxa"/>
            <w:vAlign w:val="center"/>
          </w:tcPr>
          <w:p w14:paraId="5ACFD6CF" w14:textId="20468A95" w:rsidR="007E56E7" w:rsidRPr="00D11F89" w:rsidRDefault="004C0B43" w:rsidP="00B36DEC">
            <w:pPr>
              <w:autoSpaceDE w:val="0"/>
              <w:autoSpaceDN w:val="0"/>
              <w:adjustRightInd w:val="0"/>
              <w:jc w:val="center"/>
            </w:pPr>
            <w:r>
              <w:rPr>
                <w:lang w:val="es-ES_tradnl"/>
              </w:rPr>
              <w:t>17.459</w:t>
            </w:r>
          </w:p>
        </w:tc>
        <w:tc>
          <w:tcPr>
            <w:tcW w:w="1351" w:type="dxa"/>
            <w:vAlign w:val="center"/>
          </w:tcPr>
          <w:p w14:paraId="7270BC48" w14:textId="42EBAEA0" w:rsidR="007E56E7" w:rsidRPr="00D11F89" w:rsidRDefault="004C0B43" w:rsidP="00B36DEC">
            <w:pPr>
              <w:autoSpaceDE w:val="0"/>
              <w:autoSpaceDN w:val="0"/>
              <w:adjustRightInd w:val="0"/>
              <w:jc w:val="center"/>
            </w:pPr>
            <w:r>
              <w:rPr>
                <w:lang w:val="es-ES_tradnl"/>
              </w:rPr>
              <w:t>18.159</w:t>
            </w:r>
          </w:p>
        </w:tc>
        <w:tc>
          <w:tcPr>
            <w:tcW w:w="1158" w:type="dxa"/>
            <w:vAlign w:val="center"/>
          </w:tcPr>
          <w:p w14:paraId="69F40460" w14:textId="4840A19B" w:rsidR="007E56E7" w:rsidRPr="00D11F89" w:rsidRDefault="004C0B43" w:rsidP="00B36DEC">
            <w:pPr>
              <w:autoSpaceDE w:val="0"/>
              <w:autoSpaceDN w:val="0"/>
              <w:adjustRightInd w:val="0"/>
              <w:jc w:val="center"/>
            </w:pPr>
            <w:r>
              <w:rPr>
                <w:lang w:val="es-ES_tradnl"/>
              </w:rPr>
              <w:t>.700</w:t>
            </w:r>
          </w:p>
        </w:tc>
        <w:tc>
          <w:tcPr>
            <w:tcW w:w="773" w:type="dxa"/>
            <w:vAlign w:val="center"/>
          </w:tcPr>
          <w:p w14:paraId="5158B835" w14:textId="687AA03D" w:rsidR="007E56E7" w:rsidRPr="00D11F89" w:rsidRDefault="004C0B43" w:rsidP="00B36DEC">
            <w:pPr>
              <w:autoSpaceDE w:val="0"/>
              <w:autoSpaceDN w:val="0"/>
              <w:adjustRightInd w:val="0"/>
              <w:jc w:val="center"/>
            </w:pPr>
            <w:r>
              <w:rPr>
                <w:lang w:val="es-ES_tradnl"/>
              </w:rPr>
              <w:t>4.01</w:t>
            </w:r>
          </w:p>
        </w:tc>
      </w:tr>
      <w:tr w:rsidR="003D3B85" w14:paraId="304B1491" w14:textId="77777777" w:rsidTr="00A846E8">
        <w:trPr>
          <w:trHeight w:val="251"/>
          <w:jc w:val="center"/>
        </w:trPr>
        <w:tc>
          <w:tcPr>
            <w:tcW w:w="1398" w:type="dxa"/>
            <w:vAlign w:val="center"/>
          </w:tcPr>
          <w:p w14:paraId="32328894" w14:textId="224F97FE" w:rsidR="007E56E7" w:rsidRPr="00D11F89" w:rsidRDefault="004C0B43" w:rsidP="00B36DEC">
            <w:pPr>
              <w:autoSpaceDE w:val="0"/>
              <w:autoSpaceDN w:val="0"/>
              <w:adjustRightInd w:val="0"/>
              <w:jc w:val="center"/>
              <w:rPr>
                <w:sz w:val="22"/>
                <w:szCs w:val="22"/>
              </w:rPr>
            </w:pPr>
            <w:r>
              <w:rPr>
                <w:sz w:val="22"/>
                <w:szCs w:val="22"/>
                <w:lang w:val="es-ES_tradnl"/>
              </w:rPr>
              <w:t>Escuelas</w:t>
            </w:r>
          </w:p>
        </w:tc>
        <w:tc>
          <w:tcPr>
            <w:tcW w:w="1299" w:type="dxa"/>
            <w:vAlign w:val="center"/>
          </w:tcPr>
          <w:p w14:paraId="57AE7227" w14:textId="2501680B" w:rsidR="007E56E7" w:rsidRPr="00D11F89" w:rsidRDefault="004C0B43" w:rsidP="00A33BB1">
            <w:pPr>
              <w:autoSpaceDE w:val="0"/>
              <w:autoSpaceDN w:val="0"/>
              <w:adjustRightInd w:val="0"/>
              <w:jc w:val="center"/>
            </w:pPr>
            <w:r>
              <w:rPr>
                <w:lang w:val="es-ES_tradnl"/>
              </w:rPr>
              <w:t>N/A</w:t>
            </w:r>
          </w:p>
        </w:tc>
        <w:tc>
          <w:tcPr>
            <w:tcW w:w="1351" w:type="dxa"/>
            <w:vAlign w:val="center"/>
          </w:tcPr>
          <w:p w14:paraId="5A5E1A95" w14:textId="575029A6" w:rsidR="007E56E7" w:rsidRPr="00D11F89" w:rsidRDefault="004C0B43" w:rsidP="00B36DEC">
            <w:pPr>
              <w:autoSpaceDE w:val="0"/>
              <w:autoSpaceDN w:val="0"/>
              <w:adjustRightInd w:val="0"/>
              <w:jc w:val="center"/>
            </w:pPr>
            <w:r>
              <w:rPr>
                <w:lang w:val="es-ES_tradnl"/>
              </w:rPr>
              <w:t>25.912</w:t>
            </w:r>
          </w:p>
        </w:tc>
        <w:tc>
          <w:tcPr>
            <w:tcW w:w="1158" w:type="dxa"/>
            <w:vAlign w:val="center"/>
          </w:tcPr>
          <w:p w14:paraId="672EACDB" w14:textId="1900EE94" w:rsidR="007E56E7" w:rsidRPr="00D11F89" w:rsidRDefault="004C0B43" w:rsidP="00B36DEC">
            <w:pPr>
              <w:autoSpaceDE w:val="0"/>
              <w:autoSpaceDN w:val="0"/>
              <w:adjustRightInd w:val="0"/>
              <w:jc w:val="center"/>
            </w:pPr>
            <w:r>
              <w:rPr>
                <w:lang w:val="es-ES_tradnl"/>
              </w:rPr>
              <w:t>N/A</w:t>
            </w:r>
          </w:p>
        </w:tc>
        <w:tc>
          <w:tcPr>
            <w:tcW w:w="773" w:type="dxa"/>
            <w:vAlign w:val="center"/>
          </w:tcPr>
          <w:p w14:paraId="04AA2887" w14:textId="5CBE3C9C" w:rsidR="007E56E7" w:rsidRPr="00D11F89" w:rsidRDefault="004C0B43" w:rsidP="00B36DEC">
            <w:pPr>
              <w:autoSpaceDE w:val="0"/>
              <w:autoSpaceDN w:val="0"/>
              <w:adjustRightInd w:val="0"/>
              <w:jc w:val="center"/>
            </w:pPr>
            <w:r>
              <w:rPr>
                <w:lang w:val="es-ES_tradnl"/>
              </w:rPr>
              <w:t>N/A</w:t>
            </w:r>
          </w:p>
        </w:tc>
      </w:tr>
      <w:tr w:rsidR="003D3B85" w14:paraId="58A430D1" w14:textId="77777777" w:rsidTr="00A846E8">
        <w:trPr>
          <w:trHeight w:val="251"/>
          <w:jc w:val="center"/>
        </w:trPr>
        <w:tc>
          <w:tcPr>
            <w:tcW w:w="1398" w:type="dxa"/>
            <w:vAlign w:val="center"/>
          </w:tcPr>
          <w:p w14:paraId="08D5134D" w14:textId="77777777" w:rsidR="007E56E7" w:rsidRPr="00D11F89" w:rsidRDefault="004C0B43" w:rsidP="00B36DEC">
            <w:pPr>
              <w:autoSpaceDE w:val="0"/>
              <w:autoSpaceDN w:val="0"/>
              <w:adjustRightInd w:val="0"/>
              <w:jc w:val="center"/>
            </w:pPr>
            <w:r>
              <w:rPr>
                <w:sz w:val="22"/>
                <w:szCs w:val="22"/>
                <w:lang w:val="es-ES_tradnl"/>
              </w:rPr>
              <w:t>Iluminación</w:t>
            </w:r>
          </w:p>
        </w:tc>
        <w:tc>
          <w:tcPr>
            <w:tcW w:w="1299" w:type="dxa"/>
            <w:vAlign w:val="center"/>
          </w:tcPr>
          <w:p w14:paraId="71522592" w14:textId="1E1135F5" w:rsidR="007E56E7" w:rsidRPr="00D11F89" w:rsidRDefault="004C0B43" w:rsidP="00B36DEC">
            <w:pPr>
              <w:autoSpaceDE w:val="0"/>
              <w:autoSpaceDN w:val="0"/>
              <w:adjustRightInd w:val="0"/>
              <w:jc w:val="center"/>
            </w:pPr>
            <w:r>
              <w:rPr>
                <w:lang w:val="es-ES_tradnl"/>
              </w:rPr>
              <w:t>21.850</w:t>
            </w:r>
          </w:p>
        </w:tc>
        <w:tc>
          <w:tcPr>
            <w:tcW w:w="1351" w:type="dxa"/>
            <w:vAlign w:val="center"/>
          </w:tcPr>
          <w:p w14:paraId="77783F82" w14:textId="346B61C6" w:rsidR="007E56E7" w:rsidRPr="00D11F89" w:rsidRDefault="004C0B43" w:rsidP="00B36DEC">
            <w:pPr>
              <w:autoSpaceDE w:val="0"/>
              <w:autoSpaceDN w:val="0"/>
              <w:adjustRightInd w:val="0"/>
              <w:jc w:val="center"/>
            </w:pPr>
            <w:r>
              <w:rPr>
                <w:lang w:val="es-ES_tradnl"/>
              </w:rPr>
              <w:t>20.332</w:t>
            </w:r>
          </w:p>
        </w:tc>
        <w:tc>
          <w:tcPr>
            <w:tcW w:w="1158" w:type="dxa"/>
            <w:vAlign w:val="center"/>
          </w:tcPr>
          <w:p w14:paraId="5B29469A" w14:textId="36DA7B26" w:rsidR="007E56E7" w:rsidRPr="00D11F89" w:rsidRDefault="004C0B43" w:rsidP="00B36DEC">
            <w:pPr>
              <w:autoSpaceDE w:val="0"/>
              <w:autoSpaceDN w:val="0"/>
              <w:adjustRightInd w:val="0"/>
              <w:jc w:val="center"/>
            </w:pPr>
            <w:r>
              <w:rPr>
                <w:lang w:val="es-ES_tradnl"/>
              </w:rPr>
              <w:t>-1.518</w:t>
            </w:r>
          </w:p>
        </w:tc>
        <w:tc>
          <w:tcPr>
            <w:tcW w:w="773" w:type="dxa"/>
            <w:vAlign w:val="center"/>
          </w:tcPr>
          <w:p w14:paraId="59865CD5" w14:textId="1F91FFE9" w:rsidR="007E56E7" w:rsidRPr="00D11F89" w:rsidRDefault="004C0B43" w:rsidP="00B36DEC">
            <w:pPr>
              <w:autoSpaceDE w:val="0"/>
              <w:autoSpaceDN w:val="0"/>
              <w:adjustRightInd w:val="0"/>
              <w:jc w:val="center"/>
            </w:pPr>
            <w:r>
              <w:rPr>
                <w:lang w:val="es-ES_tradnl"/>
              </w:rPr>
              <w:t>-6.95</w:t>
            </w:r>
          </w:p>
        </w:tc>
      </w:tr>
      <w:tr w:rsidR="003D3B85" w14:paraId="21EF252E" w14:textId="77777777" w:rsidTr="00A846E8">
        <w:trPr>
          <w:trHeight w:val="282"/>
          <w:jc w:val="center"/>
        </w:trPr>
        <w:tc>
          <w:tcPr>
            <w:tcW w:w="1398" w:type="dxa"/>
            <w:vAlign w:val="center"/>
          </w:tcPr>
          <w:p w14:paraId="2DF1A701" w14:textId="77777777" w:rsidR="007E56E7" w:rsidRPr="00D11F89" w:rsidRDefault="004C0B43" w:rsidP="00B36DEC">
            <w:pPr>
              <w:autoSpaceDE w:val="0"/>
              <w:autoSpaceDN w:val="0"/>
              <w:adjustRightInd w:val="0"/>
              <w:jc w:val="center"/>
            </w:pPr>
            <w:r>
              <w:rPr>
                <w:sz w:val="22"/>
                <w:szCs w:val="22"/>
                <w:lang w:val="es-ES_tradnl"/>
              </w:rPr>
              <w:t>Total del sistema</w:t>
            </w:r>
          </w:p>
        </w:tc>
        <w:tc>
          <w:tcPr>
            <w:tcW w:w="1299" w:type="dxa"/>
            <w:vAlign w:val="center"/>
          </w:tcPr>
          <w:p w14:paraId="2AA0AC7A" w14:textId="6D9DE5D4" w:rsidR="007E56E7" w:rsidRPr="00D11F89" w:rsidRDefault="004C0B43" w:rsidP="00B36DEC">
            <w:pPr>
              <w:autoSpaceDE w:val="0"/>
              <w:autoSpaceDN w:val="0"/>
              <w:adjustRightInd w:val="0"/>
              <w:jc w:val="center"/>
            </w:pPr>
            <w:r>
              <w:rPr>
                <w:lang w:val="es-ES_tradnl"/>
              </w:rPr>
              <w:t>23.738</w:t>
            </w:r>
          </w:p>
        </w:tc>
        <w:tc>
          <w:tcPr>
            <w:tcW w:w="1351" w:type="dxa"/>
            <w:vAlign w:val="center"/>
          </w:tcPr>
          <w:p w14:paraId="7105995C" w14:textId="055C80F9" w:rsidR="007E56E7" w:rsidRPr="00D11F89" w:rsidRDefault="004C0B43" w:rsidP="00B36DEC">
            <w:pPr>
              <w:autoSpaceDE w:val="0"/>
              <w:autoSpaceDN w:val="0"/>
              <w:adjustRightInd w:val="0"/>
              <w:jc w:val="center"/>
            </w:pPr>
            <w:r>
              <w:rPr>
                <w:lang w:val="es-ES_tradnl"/>
              </w:rPr>
              <w:t>24.885</w:t>
            </w:r>
          </w:p>
        </w:tc>
        <w:tc>
          <w:tcPr>
            <w:tcW w:w="1158" w:type="dxa"/>
            <w:vAlign w:val="center"/>
          </w:tcPr>
          <w:p w14:paraId="7ED964D7" w14:textId="61E26DAB" w:rsidR="007E56E7" w:rsidRPr="00D11F89" w:rsidRDefault="004C0B43" w:rsidP="00B36DEC">
            <w:pPr>
              <w:autoSpaceDE w:val="0"/>
              <w:autoSpaceDN w:val="0"/>
              <w:adjustRightInd w:val="0"/>
              <w:jc w:val="center"/>
            </w:pPr>
            <w:r>
              <w:rPr>
                <w:lang w:val="es-ES_tradnl"/>
              </w:rPr>
              <w:t>1.147</w:t>
            </w:r>
          </w:p>
        </w:tc>
        <w:tc>
          <w:tcPr>
            <w:tcW w:w="773" w:type="dxa"/>
            <w:vAlign w:val="center"/>
          </w:tcPr>
          <w:p w14:paraId="74FE8736" w14:textId="4139815A" w:rsidR="007E56E7" w:rsidRPr="00D11F89" w:rsidRDefault="004C0B43" w:rsidP="00B36DEC">
            <w:pPr>
              <w:autoSpaceDE w:val="0"/>
              <w:autoSpaceDN w:val="0"/>
              <w:adjustRightInd w:val="0"/>
              <w:jc w:val="center"/>
            </w:pPr>
            <w:r>
              <w:rPr>
                <w:lang w:val="es-ES_tradnl"/>
              </w:rPr>
              <w:t>4.83</w:t>
            </w:r>
          </w:p>
        </w:tc>
      </w:tr>
    </w:tbl>
    <w:p w14:paraId="2FB39B0C" w14:textId="0BAE22E0" w:rsidR="00860912" w:rsidRDefault="00860912" w:rsidP="00FA29F1">
      <w:pPr>
        <w:autoSpaceDE w:val="0"/>
        <w:autoSpaceDN w:val="0"/>
        <w:adjustRightInd w:val="0"/>
        <w:rPr>
          <w:b/>
          <w:bCs/>
        </w:rPr>
      </w:pPr>
    </w:p>
    <w:p w14:paraId="184FEB63" w14:textId="77777777" w:rsidR="00860912" w:rsidRPr="00A25F39" w:rsidRDefault="004C0B43" w:rsidP="00860912">
      <w:pPr>
        <w:autoSpaceDE w:val="0"/>
        <w:autoSpaceDN w:val="0"/>
        <w:adjustRightInd w:val="0"/>
        <w:jc w:val="center"/>
        <w:rPr>
          <w:b/>
          <w:bCs/>
        </w:rPr>
      </w:pPr>
      <w:r>
        <w:rPr>
          <w:b/>
          <w:bCs/>
          <w:lang w:val="es-ES_tradnl"/>
        </w:rPr>
        <w:t>PARA MÁS INFORMACIÓN</w:t>
      </w:r>
    </w:p>
    <w:p w14:paraId="4D05E824" w14:textId="77777777" w:rsidR="00860912" w:rsidRPr="00A25F39" w:rsidRDefault="00860912" w:rsidP="00860912">
      <w:pPr>
        <w:autoSpaceDE w:val="0"/>
        <w:autoSpaceDN w:val="0"/>
        <w:adjustRightInd w:val="0"/>
        <w:rPr>
          <w:b/>
          <w:bCs/>
        </w:rPr>
      </w:pPr>
    </w:p>
    <w:p w14:paraId="76A7893D" w14:textId="60759ABA" w:rsidR="00860912" w:rsidRPr="00E8371D" w:rsidRDefault="004C0B43" w:rsidP="00860912">
      <w:r>
        <w:rPr>
          <w:lang w:val="es-ES_tradnl"/>
        </w:rPr>
        <w:t xml:space="preserve">Puede solicitar información adicional u obtener una copia de la Solicitud y los anexos relacionados escribiendo a: Greg Anderson, Regulatory Case Manager for SDG&amp;E, 8330 Century Park Court, San Diego, CA 92123. SDG&amp;E proporcionará una copia de la solicitud, </w:t>
      </w:r>
      <w:r w:rsidR="004266A1">
        <w:rPr>
          <w:lang w:val="es-ES_tradnl"/>
        </w:rPr>
        <w:t xml:space="preserve">incluidos </w:t>
      </w:r>
      <w:r>
        <w:rPr>
          <w:lang w:val="es-ES_tradnl"/>
        </w:rPr>
        <w:t>testimonios, previa solicitud. Una copia de la solicitud y cualesquiera enmiendas también podrán inspeccionarse en las oficinas comerciales de SDG&amp;E que aparecen a continuación:</w:t>
      </w:r>
    </w:p>
    <w:p w14:paraId="1448D309" w14:textId="77777777" w:rsidR="00860912" w:rsidRPr="00E8371D" w:rsidRDefault="00860912" w:rsidP="00860912">
      <w:pPr>
        <w:jc w:val="both"/>
      </w:pPr>
    </w:p>
    <w:tbl>
      <w:tblPr>
        <w:tblW w:w="0" w:type="auto"/>
        <w:tblLayout w:type="fixed"/>
        <w:tblLook w:val="0000" w:firstRow="0" w:lastRow="0" w:firstColumn="0" w:lastColumn="0" w:noHBand="0" w:noVBand="0"/>
      </w:tblPr>
      <w:tblGrid>
        <w:gridCol w:w="2952"/>
        <w:gridCol w:w="2952"/>
        <w:gridCol w:w="2952"/>
      </w:tblGrid>
      <w:tr w:rsidR="003D3B85" w14:paraId="4FB07CA2" w14:textId="77777777" w:rsidTr="007D2DA7">
        <w:tc>
          <w:tcPr>
            <w:tcW w:w="2952" w:type="dxa"/>
            <w:tcBorders>
              <w:top w:val="nil"/>
              <w:left w:val="nil"/>
              <w:bottom w:val="nil"/>
              <w:right w:val="nil"/>
            </w:tcBorders>
          </w:tcPr>
          <w:p w14:paraId="48D4CD12" w14:textId="42BFE5EB" w:rsidR="00860912" w:rsidRPr="00E8371D" w:rsidRDefault="004C0B43" w:rsidP="007D2DA7">
            <w:pPr>
              <w:jc w:val="both"/>
            </w:pPr>
            <w:r>
              <w:rPr>
                <w:lang w:val="es-ES_tradnl"/>
              </w:rPr>
              <w:t>436 H St.</w:t>
            </w:r>
          </w:p>
          <w:p w14:paraId="26CC0C59" w14:textId="77777777" w:rsidR="00860912" w:rsidRPr="00E8371D" w:rsidRDefault="004C0B43" w:rsidP="007D2DA7">
            <w:pPr>
              <w:jc w:val="both"/>
            </w:pPr>
            <w:r>
              <w:rPr>
                <w:lang w:val="es-ES_tradnl"/>
              </w:rPr>
              <w:t>Chula Vista, CA 91910</w:t>
            </w:r>
          </w:p>
          <w:p w14:paraId="7D027FE1" w14:textId="77777777" w:rsidR="00860912" w:rsidRPr="00E8371D" w:rsidRDefault="00860912" w:rsidP="007D2DA7">
            <w:pPr>
              <w:jc w:val="both"/>
            </w:pPr>
          </w:p>
          <w:p w14:paraId="63F0DADD" w14:textId="43FA0487" w:rsidR="00860912" w:rsidRPr="00E8371D" w:rsidRDefault="004C0B43" w:rsidP="007D2DA7">
            <w:pPr>
              <w:jc w:val="both"/>
            </w:pPr>
            <w:r>
              <w:rPr>
                <w:lang w:val="es-ES_tradnl"/>
              </w:rPr>
              <w:t>2405 E. Plaza Blvd.</w:t>
            </w:r>
          </w:p>
          <w:p w14:paraId="2A094181" w14:textId="77777777" w:rsidR="00860912" w:rsidRPr="00E8371D" w:rsidRDefault="004C0B43" w:rsidP="007D2DA7">
            <w:pPr>
              <w:jc w:val="both"/>
            </w:pPr>
            <w:r>
              <w:rPr>
                <w:lang w:val="es-ES_tradnl"/>
              </w:rPr>
              <w:t>National City, CA 91950</w:t>
            </w:r>
          </w:p>
          <w:p w14:paraId="4022B6F3" w14:textId="77777777" w:rsidR="00860912" w:rsidRPr="00E8371D" w:rsidRDefault="00860912" w:rsidP="007D2DA7">
            <w:pPr>
              <w:jc w:val="both"/>
            </w:pPr>
          </w:p>
          <w:p w14:paraId="0ED14DE4" w14:textId="698C916C" w:rsidR="00860912" w:rsidRPr="00E8371D" w:rsidRDefault="004C0B43" w:rsidP="007D2DA7">
            <w:pPr>
              <w:jc w:val="both"/>
            </w:pPr>
            <w:r>
              <w:rPr>
                <w:lang w:val="es-ES_tradnl"/>
              </w:rPr>
              <w:t>440 Beech St.</w:t>
            </w:r>
          </w:p>
          <w:p w14:paraId="0EA5CD7E" w14:textId="77777777" w:rsidR="00860912" w:rsidRPr="00E8371D" w:rsidRDefault="004C0B43" w:rsidP="007D2DA7">
            <w:pPr>
              <w:jc w:val="both"/>
            </w:pPr>
            <w:r>
              <w:rPr>
                <w:lang w:val="es-ES_tradnl"/>
              </w:rPr>
              <w:t>San Diego, CA 92101</w:t>
            </w:r>
          </w:p>
          <w:p w14:paraId="09C90DF4" w14:textId="77777777" w:rsidR="00860912" w:rsidRPr="00E8371D" w:rsidRDefault="00860912" w:rsidP="007D2DA7">
            <w:pPr>
              <w:jc w:val="both"/>
            </w:pPr>
          </w:p>
        </w:tc>
        <w:tc>
          <w:tcPr>
            <w:tcW w:w="2952" w:type="dxa"/>
            <w:tcBorders>
              <w:top w:val="nil"/>
              <w:left w:val="nil"/>
              <w:bottom w:val="nil"/>
              <w:right w:val="nil"/>
            </w:tcBorders>
          </w:tcPr>
          <w:p w14:paraId="0128FF71" w14:textId="72227190" w:rsidR="00860912" w:rsidRPr="00E8371D" w:rsidRDefault="004C0B43" w:rsidP="007D2DA7">
            <w:pPr>
              <w:jc w:val="both"/>
              <w:rPr>
                <w:lang w:val="es-MX"/>
              </w:rPr>
            </w:pPr>
            <w:r>
              <w:rPr>
                <w:lang w:val="es-ES_tradnl"/>
              </w:rPr>
              <w:t>104 N. Johnson Ave.</w:t>
            </w:r>
          </w:p>
          <w:p w14:paraId="1CDC5590" w14:textId="77777777" w:rsidR="00860912" w:rsidRPr="00E8371D" w:rsidRDefault="004C0B43" w:rsidP="007D2DA7">
            <w:pPr>
              <w:jc w:val="both"/>
              <w:rPr>
                <w:lang w:val="es-MX"/>
              </w:rPr>
            </w:pPr>
            <w:r>
              <w:rPr>
                <w:lang w:val="es-ES_tradnl"/>
              </w:rPr>
              <w:t>El Cajon, CA 92020</w:t>
            </w:r>
          </w:p>
          <w:p w14:paraId="4BCB420A" w14:textId="77777777" w:rsidR="00860912" w:rsidRPr="00E8371D" w:rsidRDefault="00860912" w:rsidP="007D2DA7">
            <w:pPr>
              <w:jc w:val="both"/>
              <w:rPr>
                <w:lang w:val="es-MX"/>
              </w:rPr>
            </w:pPr>
          </w:p>
          <w:p w14:paraId="4FB15EF9" w14:textId="6AB82175" w:rsidR="00860912" w:rsidRPr="00E8371D" w:rsidRDefault="004C0B43" w:rsidP="007D2DA7">
            <w:pPr>
              <w:jc w:val="both"/>
            </w:pPr>
            <w:r>
              <w:rPr>
                <w:lang w:val="es-ES_tradnl"/>
              </w:rPr>
              <w:t>336 Euclid Ave.</w:t>
            </w:r>
          </w:p>
          <w:p w14:paraId="629556D0" w14:textId="77777777" w:rsidR="00860912" w:rsidRPr="00E8371D" w:rsidRDefault="004C0B43" w:rsidP="007D2DA7">
            <w:pPr>
              <w:jc w:val="both"/>
            </w:pPr>
            <w:r>
              <w:rPr>
                <w:lang w:val="es-ES_tradnl"/>
              </w:rPr>
              <w:t>San Diego, CA 92114</w:t>
            </w:r>
          </w:p>
          <w:p w14:paraId="16305A08" w14:textId="77777777" w:rsidR="00860912" w:rsidRPr="00E8371D" w:rsidRDefault="00860912" w:rsidP="007D2DA7">
            <w:pPr>
              <w:jc w:val="both"/>
            </w:pPr>
          </w:p>
          <w:p w14:paraId="57FAB108" w14:textId="77777777" w:rsidR="00860912" w:rsidRPr="00E8371D" w:rsidRDefault="00860912" w:rsidP="007D2DA7">
            <w:pPr>
              <w:jc w:val="both"/>
            </w:pPr>
          </w:p>
        </w:tc>
        <w:tc>
          <w:tcPr>
            <w:tcW w:w="2952" w:type="dxa"/>
            <w:tcBorders>
              <w:top w:val="nil"/>
              <w:left w:val="nil"/>
              <w:bottom w:val="nil"/>
              <w:right w:val="nil"/>
            </w:tcBorders>
          </w:tcPr>
          <w:p w14:paraId="47666EBA" w14:textId="3FCB7976" w:rsidR="00860912" w:rsidRPr="00E8371D" w:rsidRDefault="004C0B43" w:rsidP="007D2DA7">
            <w:pPr>
              <w:jc w:val="both"/>
              <w:rPr>
                <w:lang w:val="it-IT"/>
              </w:rPr>
            </w:pPr>
            <w:r>
              <w:rPr>
                <w:lang w:val="es-ES_tradnl"/>
              </w:rPr>
              <w:t>644 W. Mission Ave.</w:t>
            </w:r>
          </w:p>
          <w:p w14:paraId="3FB2A1D9" w14:textId="77777777" w:rsidR="00860912" w:rsidRPr="00E8371D" w:rsidRDefault="004C0B43" w:rsidP="007D2DA7">
            <w:pPr>
              <w:jc w:val="both"/>
              <w:rPr>
                <w:lang w:val="it-IT"/>
              </w:rPr>
            </w:pPr>
            <w:r>
              <w:rPr>
                <w:lang w:val="es-ES_tradnl"/>
              </w:rPr>
              <w:t>Escondido, CA 92025</w:t>
            </w:r>
          </w:p>
          <w:p w14:paraId="42F7D839" w14:textId="77777777" w:rsidR="00860912" w:rsidRPr="00E8371D" w:rsidRDefault="00860912" w:rsidP="007D2DA7">
            <w:pPr>
              <w:jc w:val="both"/>
              <w:rPr>
                <w:lang w:val="it-IT"/>
              </w:rPr>
            </w:pPr>
          </w:p>
          <w:p w14:paraId="584AFBF3" w14:textId="27D0B93B" w:rsidR="00860912" w:rsidRPr="00E8371D" w:rsidRDefault="00860912" w:rsidP="007D2DA7">
            <w:pPr>
              <w:jc w:val="both"/>
            </w:pPr>
          </w:p>
        </w:tc>
      </w:tr>
    </w:tbl>
    <w:p w14:paraId="40AA2725" w14:textId="70B02740" w:rsidR="00860912" w:rsidRPr="00E8371D" w:rsidRDefault="004C0B43" w:rsidP="00860912">
      <w:pPr>
        <w:rPr>
          <w:color w:val="0000FF"/>
        </w:rPr>
      </w:pPr>
      <w:r>
        <w:rPr>
          <w:lang w:val="es-ES_tradnl"/>
        </w:rPr>
        <w:t>Hay copias de esta Solicitud en el sitio web de SDG&amp;E en http://www.sdge.com/proceedings .</w:t>
      </w:r>
    </w:p>
    <w:p w14:paraId="5AAC9D8B" w14:textId="77777777" w:rsidR="00860912" w:rsidRPr="00E8371D" w:rsidRDefault="00860912" w:rsidP="00860912">
      <w:pPr>
        <w:rPr>
          <w:color w:val="0000FF"/>
          <w:u w:val="single"/>
        </w:rPr>
      </w:pPr>
    </w:p>
    <w:p w14:paraId="2B24B4F0" w14:textId="5995A82D" w:rsidR="00860912" w:rsidRDefault="004C0B43" w:rsidP="00860912">
      <w:r>
        <w:rPr>
          <w:lang w:val="es-ES_tradnl"/>
        </w:rPr>
        <w:t>Habrá copias de este encarte para su consulta e impresión en el sitio web de SDG&amp;E en: http://www.sdge.com/regulatory-notices.</w:t>
      </w:r>
    </w:p>
    <w:p w14:paraId="1BA6C880" w14:textId="23951057" w:rsidR="00EE2871" w:rsidRDefault="00EE2871" w:rsidP="00860912"/>
    <w:p w14:paraId="35BB08FD" w14:textId="77777777" w:rsidR="00EE2871" w:rsidRDefault="004C0B43" w:rsidP="00EE2871">
      <w:pPr>
        <w:pStyle w:val="BodyText"/>
        <w:spacing w:after="0"/>
        <w:rPr>
          <w:b/>
          <w:bCs/>
        </w:rPr>
      </w:pPr>
      <w:r>
        <w:rPr>
          <w:lang w:val="es-ES_tradnl"/>
        </w:rPr>
        <w:t xml:space="preserve">Una copia en papel puede consultarse en la Central Files Office de la CPUC, previa cita. Si desea </w:t>
      </w:r>
      <w:r>
        <w:rPr>
          <w:lang w:val="es-ES_tradnl"/>
        </w:rPr>
        <w:lastRenderedPageBreak/>
        <w:t>obtener más información, póngase en contacto escribiendo a aljcentralfilesid@cpuc.ca.gov o llamando al (415)-703-2045.</w:t>
      </w:r>
    </w:p>
    <w:p w14:paraId="28A0A3DC" w14:textId="77777777" w:rsidR="00EE2871" w:rsidRPr="00E8371D" w:rsidRDefault="00EE2871" w:rsidP="00860912"/>
    <w:p w14:paraId="2CA5AAD6" w14:textId="6189508B" w:rsidR="005604B0" w:rsidRDefault="005604B0" w:rsidP="00860912">
      <w:pPr>
        <w:pStyle w:val="BodyText"/>
        <w:spacing w:after="0"/>
        <w:rPr>
          <w:b/>
          <w:bCs/>
        </w:rPr>
      </w:pPr>
    </w:p>
    <w:p w14:paraId="7F5FC0E4" w14:textId="27A98024" w:rsidR="00860912" w:rsidRDefault="004C0B43" w:rsidP="00860912">
      <w:pPr>
        <w:pStyle w:val="BodyText"/>
        <w:spacing w:after="0"/>
        <w:rPr>
          <w:b/>
          <w:bCs/>
          <w:lang w:val="en-US"/>
        </w:rPr>
      </w:pPr>
      <w:r>
        <w:rPr>
          <w:b/>
          <w:bCs/>
          <w:lang w:val="es-ES_tradnl"/>
        </w:rPr>
        <w:t>PROCESO DE LA CPUC</w:t>
      </w:r>
    </w:p>
    <w:p w14:paraId="1777F9CB" w14:textId="77777777" w:rsidR="006D75A6" w:rsidRPr="00831ACB" w:rsidRDefault="006D75A6" w:rsidP="00860912">
      <w:pPr>
        <w:pStyle w:val="BodyText"/>
        <w:spacing w:after="0"/>
        <w:rPr>
          <w:b/>
          <w:bCs/>
          <w:lang w:val="en-US"/>
        </w:rPr>
      </w:pPr>
    </w:p>
    <w:p w14:paraId="70B6AA19" w14:textId="35C6CCAE" w:rsidR="006D75A6" w:rsidRDefault="004C0B43" w:rsidP="006D75A6">
      <w:r>
        <w:rPr>
          <w:lang w:val="es-ES_tradnl"/>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partes. Estas audiencias para la presentación de pruebas están abiertas al público, pero sólo las partes que aparecen en el acta pueden participar. </w:t>
      </w:r>
    </w:p>
    <w:p w14:paraId="2AA87A9E" w14:textId="77777777" w:rsidR="006D75A6" w:rsidRDefault="006D75A6" w:rsidP="006D75A6"/>
    <w:p w14:paraId="1C74CADB" w14:textId="2796DA80" w:rsidR="006D75A6" w:rsidRDefault="004C0B43" w:rsidP="006D75A6">
      <w:r>
        <w:rPr>
          <w:lang w:val="es-ES_tradnl"/>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4796E3AA" w14:textId="77777777" w:rsidR="006D75A6" w:rsidRDefault="006D75A6" w:rsidP="006D75A6"/>
    <w:p w14:paraId="02A8BBC4" w14:textId="688E1D87" w:rsidR="006D75A6" w:rsidRDefault="004C0B43" w:rsidP="006D75A6">
      <w:pPr>
        <w:rPr>
          <w:lang w:val="es-ES_tradnl"/>
        </w:rPr>
      </w:pPr>
      <w:r>
        <w:rPr>
          <w:lang w:val="es-ES_tradnl"/>
        </w:rPr>
        <w:t>Como una de las partes que aparecen en el acta, la Oficina de Defensores Públicos</w:t>
      </w:r>
      <w:r w:rsidR="00A03486">
        <w:rPr>
          <w:lang w:val="es-ES_tradnl"/>
        </w:rPr>
        <w:t xml:space="preserve"> de California</w:t>
      </w:r>
      <w:r>
        <w:rPr>
          <w:lang w:val="es-ES_tradnl"/>
        </w:rPr>
        <w:t xml:space="preserve"> (ahora conocida como </w:t>
      </w:r>
      <w:proofErr w:type="spellStart"/>
      <w:r>
        <w:rPr>
          <w:lang w:val="es-ES_tradnl"/>
        </w:rPr>
        <w:t>CalPA</w:t>
      </w:r>
      <w:proofErr w:type="spellEnd"/>
      <w:r w:rsidR="00E905AA">
        <w:rPr>
          <w:lang w:val="es-ES_tradnl"/>
        </w:rPr>
        <w:t xml:space="preserve"> [</w:t>
      </w:r>
      <w:r w:rsidR="00E905AA" w:rsidRPr="00E905AA">
        <w:rPr>
          <w:lang w:val="es-ES_tradnl"/>
        </w:rPr>
        <w:t xml:space="preserve">California </w:t>
      </w:r>
      <w:proofErr w:type="spellStart"/>
      <w:r w:rsidR="00E905AA" w:rsidRPr="00E905AA">
        <w:rPr>
          <w:lang w:val="es-ES_tradnl"/>
        </w:rPr>
        <w:t>Public</w:t>
      </w:r>
      <w:proofErr w:type="spellEnd"/>
      <w:r w:rsidR="00E905AA" w:rsidRPr="00E905AA">
        <w:rPr>
          <w:lang w:val="es-ES_tradnl"/>
        </w:rPr>
        <w:t xml:space="preserve"> </w:t>
      </w:r>
      <w:proofErr w:type="spellStart"/>
      <w:r w:rsidR="00E905AA" w:rsidRPr="00E905AA">
        <w:rPr>
          <w:lang w:val="es-ES_tradnl"/>
        </w:rPr>
        <w:t>Advocates</w:t>
      </w:r>
      <w:proofErr w:type="spellEnd"/>
      <w:r w:rsidR="00E905AA" w:rsidRPr="00E905AA">
        <w:rPr>
          <w:lang w:val="es-ES_tradnl"/>
        </w:rPr>
        <w:t xml:space="preserve"> Office</w:t>
      </w:r>
      <w:r w:rsidR="00E905AA">
        <w:rPr>
          <w:lang w:val="es-ES_tradnl"/>
        </w:rPr>
        <w:t>],</w:t>
      </w:r>
      <w:r w:rsidR="00E905AA" w:rsidRPr="00E905AA">
        <w:rPr>
          <w:lang w:val="es-ES_tradnl"/>
        </w:rPr>
        <w:t xml:space="preserve"> </w:t>
      </w:r>
      <w:r>
        <w:rPr>
          <w:lang w:val="es-ES_tradnl"/>
        </w:rPr>
        <w:t xml:space="preserve">antes ORA) examinará esta solicitud. CalPA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CalPA cuenta con un personal multidisciplinario con pericia en economía, finanzas, contabilidad e ingeniería. Para más información sobre CalPA, por favor llame al (415) 703-1584, envíe un mensaje por correo electrónico a PublicAdvocatesOffice@cpuc.ca.gov o visite el sitio web de </w:t>
      </w:r>
      <w:proofErr w:type="spellStart"/>
      <w:r>
        <w:rPr>
          <w:lang w:val="es-ES_tradnl"/>
        </w:rPr>
        <w:t>CalPA</w:t>
      </w:r>
      <w:proofErr w:type="spellEnd"/>
      <w:r>
        <w:rPr>
          <w:lang w:val="es-ES_tradnl"/>
        </w:rPr>
        <w:t xml:space="preserve"> en: </w:t>
      </w:r>
      <w:hyperlink r:id="rId9" w:history="1">
        <w:r>
          <w:rPr>
            <w:lang w:val="es-ES_tradnl"/>
          </w:rPr>
          <w:t>http://www.publicadvocates.cpuc.ca.gov</w:t>
        </w:r>
      </w:hyperlink>
      <w:r>
        <w:rPr>
          <w:lang w:val="es-ES_tradnl"/>
        </w:rPr>
        <w:t>.</w:t>
      </w:r>
    </w:p>
    <w:p w14:paraId="1E37FADD" w14:textId="77777777" w:rsidR="006D75A6" w:rsidRDefault="006D75A6" w:rsidP="006D75A6"/>
    <w:p w14:paraId="649FADA7" w14:textId="77777777" w:rsidR="006D75A6" w:rsidRPr="00D11F89" w:rsidRDefault="004C0B43" w:rsidP="006D75A6">
      <w:pPr>
        <w:rPr>
          <w:b/>
        </w:rPr>
      </w:pPr>
      <w:r>
        <w:rPr>
          <w:b/>
          <w:bCs/>
          <w:lang w:val="es-ES_tradnl"/>
        </w:rPr>
        <w:t>MANTÉNGASE INFORMADO</w:t>
      </w:r>
    </w:p>
    <w:p w14:paraId="5CD5C771" w14:textId="77777777" w:rsidR="006D75A6" w:rsidRDefault="006D75A6" w:rsidP="006D75A6"/>
    <w:p w14:paraId="105129D9" w14:textId="77777777" w:rsidR="006D75A6" w:rsidRDefault="004C0B43" w:rsidP="006D75A6">
      <w:r>
        <w:rPr>
          <w:lang w:val="es-ES_tradnl"/>
        </w:rPr>
        <w:t>Si desea seguir este procedimiento, o cualquier otro asunto presentado ante la CPUC, puede utilizar el servicio de suscripción gratuito de la CPUC. Inscríbase en: http://subscribecpuc.cpuc.ca.gov/.</w:t>
      </w:r>
    </w:p>
    <w:p w14:paraId="14BF1D9C" w14:textId="2A3600AF" w:rsidR="006D75A6" w:rsidRDefault="004C0B43" w:rsidP="006D75A6">
      <w:r>
        <w:rPr>
          <w:lang w:val="es-ES_tradnl"/>
        </w:rPr>
        <w:t xml:space="preserve">Si quiere obtener información sobre cómo puede participar en el procedimiento, o si tiene comentarios informales acerca de la Solicitud, o dudas en torno a los procesos de la CPUC, puede entrar a la página web de la Oficina del Asesor Público (PAO) de la CPUC en www.cpuc.ca.gov/puc y hacer clic en "Public Advisor" (Asesor Público) en el Menú de información de la CPUC. También puede ponerse en contacto con la PAO de la siguiente manera:  </w:t>
      </w:r>
    </w:p>
    <w:p w14:paraId="02DFB0DC" w14:textId="77777777" w:rsidR="006D75A6" w:rsidRDefault="006D75A6" w:rsidP="006D75A6"/>
    <w:p w14:paraId="5BA0AB31" w14:textId="77777777" w:rsidR="008675A4" w:rsidRDefault="008675A4">
      <w:pPr>
        <w:spacing w:after="200" w:line="276" w:lineRule="auto"/>
        <w:rPr>
          <w:lang w:val="es-ES_tradnl"/>
        </w:rPr>
      </w:pPr>
      <w:r>
        <w:rPr>
          <w:lang w:val="es-ES_tradnl"/>
        </w:rPr>
        <w:br w:type="page"/>
      </w:r>
    </w:p>
    <w:p w14:paraId="5A908A76" w14:textId="43DBA047" w:rsidR="006D75A6" w:rsidRDefault="004C0B43" w:rsidP="006D75A6">
      <w:r>
        <w:rPr>
          <w:lang w:val="es-ES_tradnl"/>
        </w:rPr>
        <w:lastRenderedPageBreak/>
        <w:t xml:space="preserve">Enviando un mensaje por correo electrónico a: public.advisor@cpuc.ca.gov   </w:t>
      </w:r>
    </w:p>
    <w:p w14:paraId="761CC6F4" w14:textId="77777777" w:rsidR="006D75A6" w:rsidRDefault="006D75A6" w:rsidP="006D75A6"/>
    <w:p w14:paraId="490979AC" w14:textId="5D66A744" w:rsidR="006D75A6" w:rsidRDefault="004C0B43" w:rsidP="006D75A6">
      <w:r>
        <w:rPr>
          <w:lang w:val="es-ES_tradnl"/>
        </w:rPr>
        <w:t>Escribiendo a:</w:t>
      </w:r>
      <w:r>
        <w:rPr>
          <w:lang w:val="es-ES_tradnl"/>
        </w:rPr>
        <w:tab/>
        <w:t xml:space="preserve">CPUC </w:t>
      </w:r>
      <w:proofErr w:type="spellStart"/>
      <w:r>
        <w:rPr>
          <w:lang w:val="es-ES_tradnl"/>
        </w:rPr>
        <w:t>Public</w:t>
      </w:r>
      <w:proofErr w:type="spellEnd"/>
      <w:r>
        <w:rPr>
          <w:lang w:val="es-ES_tradnl"/>
        </w:rPr>
        <w:t xml:space="preserve"> </w:t>
      </w:r>
      <w:proofErr w:type="spellStart"/>
      <w:r>
        <w:rPr>
          <w:lang w:val="es-ES_tradnl"/>
        </w:rPr>
        <w:t>Advisor’s</w:t>
      </w:r>
      <w:proofErr w:type="spellEnd"/>
      <w:r>
        <w:rPr>
          <w:lang w:val="es-ES_tradnl"/>
        </w:rPr>
        <w:t xml:space="preserve"> Office</w:t>
      </w:r>
    </w:p>
    <w:p w14:paraId="0B8D9F38" w14:textId="19E578DF" w:rsidR="006D75A6" w:rsidRDefault="008675A4" w:rsidP="0066147D">
      <w:pPr>
        <w:ind w:firstLine="720"/>
      </w:pPr>
      <w:r>
        <w:rPr>
          <w:lang w:val="es-ES_tradnl"/>
        </w:rPr>
        <w:tab/>
      </w:r>
      <w:r w:rsidR="004C0B43">
        <w:rPr>
          <w:lang w:val="es-ES_tradnl"/>
        </w:rPr>
        <w:t xml:space="preserve">505 Van Ness </w:t>
      </w:r>
      <w:proofErr w:type="spellStart"/>
      <w:r w:rsidR="004C0B43">
        <w:rPr>
          <w:lang w:val="es-ES_tradnl"/>
        </w:rPr>
        <w:t>Avenue</w:t>
      </w:r>
      <w:proofErr w:type="spellEnd"/>
    </w:p>
    <w:p w14:paraId="5321D1C1" w14:textId="135ACADF" w:rsidR="006D75A6" w:rsidRDefault="004C0B43" w:rsidP="006D75A6">
      <w:r>
        <w:rPr>
          <w:lang w:val="es-ES_tradnl"/>
        </w:rPr>
        <w:tab/>
      </w:r>
      <w:r w:rsidR="008675A4">
        <w:rPr>
          <w:lang w:val="es-ES_tradnl"/>
        </w:rPr>
        <w:tab/>
      </w:r>
      <w:r>
        <w:rPr>
          <w:lang w:val="es-ES_tradnl"/>
        </w:rPr>
        <w:t>San Francisco, CA 94102</w:t>
      </w:r>
    </w:p>
    <w:p w14:paraId="1D2587E8" w14:textId="77777777" w:rsidR="008675A4" w:rsidRDefault="008675A4" w:rsidP="006D75A6">
      <w:pPr>
        <w:rPr>
          <w:lang w:val="es-ES_tradnl"/>
        </w:rPr>
      </w:pPr>
    </w:p>
    <w:p w14:paraId="5378AB9C" w14:textId="77777777" w:rsidR="006D75A6" w:rsidRDefault="004C0B43" w:rsidP="006D75A6">
      <w:r>
        <w:rPr>
          <w:lang w:val="es-ES_tradnl"/>
        </w:rPr>
        <w:t xml:space="preserve">Llamando al: </w:t>
      </w:r>
      <w:r>
        <w:rPr>
          <w:lang w:val="es-ES_tradnl"/>
        </w:rPr>
        <w:tab/>
        <w:t xml:space="preserve">1-866-849-8390 (sin costo) o al 1-415-703-2074 </w:t>
      </w:r>
    </w:p>
    <w:p w14:paraId="575C58FC" w14:textId="216BE91A" w:rsidR="00860912" w:rsidRDefault="004C0B43" w:rsidP="00860912">
      <w:r>
        <w:rPr>
          <w:lang w:val="es-ES_tradnl"/>
        </w:rPr>
        <w:tab/>
      </w:r>
      <w:r w:rsidR="008675A4">
        <w:rPr>
          <w:lang w:val="es-ES_tradnl"/>
        </w:rPr>
        <w:tab/>
      </w:r>
      <w:r>
        <w:rPr>
          <w:lang w:val="es-ES_tradnl"/>
        </w:rPr>
        <w:t>TTY 1-866-836-7825 (sin costo) o 1-415-703-5282</w:t>
      </w:r>
    </w:p>
    <w:p w14:paraId="0CCEA92C" w14:textId="77777777" w:rsidR="001E5727" w:rsidRDefault="001E5727" w:rsidP="00860912"/>
    <w:p w14:paraId="6F3CA67E" w14:textId="74C4FEA8" w:rsidR="00860912" w:rsidRPr="001472EE" w:rsidRDefault="004C0B43" w:rsidP="00860912">
      <w:r>
        <w:rPr>
          <w:lang w:val="es-ES_tradnl"/>
        </w:rPr>
        <w:t>Por favor haga referencia a la Application No. A. 19-03-002 de SDG&amp;E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04CC21BE" w14:textId="77777777" w:rsidR="00001277" w:rsidRDefault="00001277"/>
    <w:sectPr w:rsidR="0000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161"/>
    <w:multiLevelType w:val="hybridMultilevel"/>
    <w:tmpl w:val="724C2E5E"/>
    <w:lvl w:ilvl="0" w:tplc="E9B08F78">
      <w:start w:val="1"/>
      <w:numFmt w:val="bullet"/>
      <w:lvlText w:val=""/>
      <w:lvlJc w:val="left"/>
      <w:pPr>
        <w:ind w:left="720" w:hanging="360"/>
      </w:pPr>
      <w:rPr>
        <w:rFonts w:ascii="Symbol" w:hAnsi="Symbol" w:hint="default"/>
      </w:rPr>
    </w:lvl>
    <w:lvl w:ilvl="1" w:tplc="74E03682" w:tentative="1">
      <w:start w:val="1"/>
      <w:numFmt w:val="bullet"/>
      <w:lvlText w:val="o"/>
      <w:lvlJc w:val="left"/>
      <w:pPr>
        <w:ind w:left="1440" w:hanging="360"/>
      </w:pPr>
      <w:rPr>
        <w:rFonts w:ascii="Courier New" w:hAnsi="Courier New" w:cs="Courier New" w:hint="default"/>
      </w:rPr>
    </w:lvl>
    <w:lvl w:ilvl="2" w:tplc="785E4C3E" w:tentative="1">
      <w:start w:val="1"/>
      <w:numFmt w:val="bullet"/>
      <w:lvlText w:val=""/>
      <w:lvlJc w:val="left"/>
      <w:pPr>
        <w:ind w:left="2160" w:hanging="360"/>
      </w:pPr>
      <w:rPr>
        <w:rFonts w:ascii="Wingdings" w:hAnsi="Wingdings" w:hint="default"/>
      </w:rPr>
    </w:lvl>
    <w:lvl w:ilvl="3" w:tplc="5F5E3020" w:tentative="1">
      <w:start w:val="1"/>
      <w:numFmt w:val="bullet"/>
      <w:lvlText w:val=""/>
      <w:lvlJc w:val="left"/>
      <w:pPr>
        <w:ind w:left="2880" w:hanging="360"/>
      </w:pPr>
      <w:rPr>
        <w:rFonts w:ascii="Symbol" w:hAnsi="Symbol" w:hint="default"/>
      </w:rPr>
    </w:lvl>
    <w:lvl w:ilvl="4" w:tplc="85548D3A" w:tentative="1">
      <w:start w:val="1"/>
      <w:numFmt w:val="bullet"/>
      <w:lvlText w:val="o"/>
      <w:lvlJc w:val="left"/>
      <w:pPr>
        <w:ind w:left="3600" w:hanging="360"/>
      </w:pPr>
      <w:rPr>
        <w:rFonts w:ascii="Courier New" w:hAnsi="Courier New" w:cs="Courier New" w:hint="default"/>
      </w:rPr>
    </w:lvl>
    <w:lvl w:ilvl="5" w:tplc="86306BC0" w:tentative="1">
      <w:start w:val="1"/>
      <w:numFmt w:val="bullet"/>
      <w:lvlText w:val=""/>
      <w:lvlJc w:val="left"/>
      <w:pPr>
        <w:ind w:left="4320" w:hanging="360"/>
      </w:pPr>
      <w:rPr>
        <w:rFonts w:ascii="Wingdings" w:hAnsi="Wingdings" w:hint="default"/>
      </w:rPr>
    </w:lvl>
    <w:lvl w:ilvl="6" w:tplc="3148EEA4" w:tentative="1">
      <w:start w:val="1"/>
      <w:numFmt w:val="bullet"/>
      <w:lvlText w:val=""/>
      <w:lvlJc w:val="left"/>
      <w:pPr>
        <w:ind w:left="5040" w:hanging="360"/>
      </w:pPr>
      <w:rPr>
        <w:rFonts w:ascii="Symbol" w:hAnsi="Symbol" w:hint="default"/>
      </w:rPr>
    </w:lvl>
    <w:lvl w:ilvl="7" w:tplc="AD0C1CA2" w:tentative="1">
      <w:start w:val="1"/>
      <w:numFmt w:val="bullet"/>
      <w:lvlText w:val="o"/>
      <w:lvlJc w:val="left"/>
      <w:pPr>
        <w:ind w:left="5760" w:hanging="360"/>
      </w:pPr>
      <w:rPr>
        <w:rFonts w:ascii="Courier New" w:hAnsi="Courier New" w:cs="Courier New" w:hint="default"/>
      </w:rPr>
    </w:lvl>
    <w:lvl w:ilvl="8" w:tplc="F0F455E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12"/>
    <w:rsid w:val="00001277"/>
    <w:rsid w:val="00002863"/>
    <w:rsid w:val="00012F80"/>
    <w:rsid w:val="000207CE"/>
    <w:rsid w:val="000370A5"/>
    <w:rsid w:val="00071ABE"/>
    <w:rsid w:val="000C1CEA"/>
    <w:rsid w:val="000E742E"/>
    <w:rsid w:val="00136D44"/>
    <w:rsid w:val="001472EE"/>
    <w:rsid w:val="0016512E"/>
    <w:rsid w:val="00173AAA"/>
    <w:rsid w:val="001A16FF"/>
    <w:rsid w:val="001E5727"/>
    <w:rsid w:val="002306C9"/>
    <w:rsid w:val="002333BD"/>
    <w:rsid w:val="00242191"/>
    <w:rsid w:val="002508B2"/>
    <w:rsid w:val="00256E29"/>
    <w:rsid w:val="002679A4"/>
    <w:rsid w:val="00272F63"/>
    <w:rsid w:val="00282F55"/>
    <w:rsid w:val="002A058A"/>
    <w:rsid w:val="002C74B0"/>
    <w:rsid w:val="002D7F4B"/>
    <w:rsid w:val="003300D9"/>
    <w:rsid w:val="00350BBF"/>
    <w:rsid w:val="003520BA"/>
    <w:rsid w:val="00353CD3"/>
    <w:rsid w:val="00371526"/>
    <w:rsid w:val="00374AE8"/>
    <w:rsid w:val="003952C2"/>
    <w:rsid w:val="003D0303"/>
    <w:rsid w:val="003D3B85"/>
    <w:rsid w:val="004139BF"/>
    <w:rsid w:val="00423A53"/>
    <w:rsid w:val="004266A1"/>
    <w:rsid w:val="00435197"/>
    <w:rsid w:val="00445809"/>
    <w:rsid w:val="0046241E"/>
    <w:rsid w:val="0049051B"/>
    <w:rsid w:val="0049114C"/>
    <w:rsid w:val="004B0FDD"/>
    <w:rsid w:val="004C0B43"/>
    <w:rsid w:val="004E1B69"/>
    <w:rsid w:val="004F6B83"/>
    <w:rsid w:val="00501526"/>
    <w:rsid w:val="00502AEA"/>
    <w:rsid w:val="00526089"/>
    <w:rsid w:val="00527C56"/>
    <w:rsid w:val="00543F3C"/>
    <w:rsid w:val="005604B0"/>
    <w:rsid w:val="00571F51"/>
    <w:rsid w:val="00576F8E"/>
    <w:rsid w:val="0058797D"/>
    <w:rsid w:val="0059042A"/>
    <w:rsid w:val="00592992"/>
    <w:rsid w:val="005D2317"/>
    <w:rsid w:val="005E27FB"/>
    <w:rsid w:val="005E2DCD"/>
    <w:rsid w:val="00600114"/>
    <w:rsid w:val="006129D3"/>
    <w:rsid w:val="00614046"/>
    <w:rsid w:val="00643847"/>
    <w:rsid w:val="00657A3F"/>
    <w:rsid w:val="0066147D"/>
    <w:rsid w:val="0066571E"/>
    <w:rsid w:val="0068014A"/>
    <w:rsid w:val="006B0F2F"/>
    <w:rsid w:val="006D75A6"/>
    <w:rsid w:val="006E0BB2"/>
    <w:rsid w:val="00700B5E"/>
    <w:rsid w:val="00712F02"/>
    <w:rsid w:val="007305AC"/>
    <w:rsid w:val="00761224"/>
    <w:rsid w:val="00763B3C"/>
    <w:rsid w:val="00770B53"/>
    <w:rsid w:val="007740FA"/>
    <w:rsid w:val="00782FD2"/>
    <w:rsid w:val="00794E24"/>
    <w:rsid w:val="007A6631"/>
    <w:rsid w:val="007A7B97"/>
    <w:rsid w:val="007D2DA7"/>
    <w:rsid w:val="007E56E7"/>
    <w:rsid w:val="007F6683"/>
    <w:rsid w:val="0080293B"/>
    <w:rsid w:val="00831ACB"/>
    <w:rsid w:val="00860912"/>
    <w:rsid w:val="008675A4"/>
    <w:rsid w:val="00872995"/>
    <w:rsid w:val="00873296"/>
    <w:rsid w:val="008853B5"/>
    <w:rsid w:val="008C2B21"/>
    <w:rsid w:val="0093370A"/>
    <w:rsid w:val="00980936"/>
    <w:rsid w:val="00983E22"/>
    <w:rsid w:val="00986531"/>
    <w:rsid w:val="009C3293"/>
    <w:rsid w:val="009C65B4"/>
    <w:rsid w:val="009D7E8E"/>
    <w:rsid w:val="009E238B"/>
    <w:rsid w:val="00A03486"/>
    <w:rsid w:val="00A14F0C"/>
    <w:rsid w:val="00A25F39"/>
    <w:rsid w:val="00A30735"/>
    <w:rsid w:val="00A33BB1"/>
    <w:rsid w:val="00A373BB"/>
    <w:rsid w:val="00A846E8"/>
    <w:rsid w:val="00A95F71"/>
    <w:rsid w:val="00AB4C5B"/>
    <w:rsid w:val="00AC2BF6"/>
    <w:rsid w:val="00AD4ACC"/>
    <w:rsid w:val="00AD7437"/>
    <w:rsid w:val="00B13F9C"/>
    <w:rsid w:val="00B36DEC"/>
    <w:rsid w:val="00B47B24"/>
    <w:rsid w:val="00B61B89"/>
    <w:rsid w:val="00B87ED8"/>
    <w:rsid w:val="00BA5403"/>
    <w:rsid w:val="00BE1408"/>
    <w:rsid w:val="00BF77BF"/>
    <w:rsid w:val="00C341D1"/>
    <w:rsid w:val="00C34599"/>
    <w:rsid w:val="00C363FB"/>
    <w:rsid w:val="00C44FBD"/>
    <w:rsid w:val="00C56109"/>
    <w:rsid w:val="00CB3A09"/>
    <w:rsid w:val="00CB6FCD"/>
    <w:rsid w:val="00CE6B98"/>
    <w:rsid w:val="00D11F89"/>
    <w:rsid w:val="00D16ECC"/>
    <w:rsid w:val="00D245B8"/>
    <w:rsid w:val="00D30C48"/>
    <w:rsid w:val="00D46CBE"/>
    <w:rsid w:val="00D52A80"/>
    <w:rsid w:val="00D80CD6"/>
    <w:rsid w:val="00D9744F"/>
    <w:rsid w:val="00DE0334"/>
    <w:rsid w:val="00E06AF1"/>
    <w:rsid w:val="00E32936"/>
    <w:rsid w:val="00E65438"/>
    <w:rsid w:val="00E66D2D"/>
    <w:rsid w:val="00E81B34"/>
    <w:rsid w:val="00E8371D"/>
    <w:rsid w:val="00E905AA"/>
    <w:rsid w:val="00EA6F53"/>
    <w:rsid w:val="00EB27E2"/>
    <w:rsid w:val="00ED195F"/>
    <w:rsid w:val="00EE2871"/>
    <w:rsid w:val="00EF1AA6"/>
    <w:rsid w:val="00F1655C"/>
    <w:rsid w:val="00F538B6"/>
    <w:rsid w:val="00F55135"/>
    <w:rsid w:val="00FA29F1"/>
    <w:rsid w:val="00FE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07383-77AF-6F4B-8DF4-60C8AC99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60912"/>
    <w:pPr>
      <w:widowControl w:val="0"/>
      <w:spacing w:after="240"/>
    </w:pPr>
    <w:rPr>
      <w:lang w:val="x-none" w:eastAsia="x-none"/>
    </w:rPr>
  </w:style>
  <w:style w:type="character" w:customStyle="1" w:styleId="BodyTextChar">
    <w:name w:val="Body Text Char"/>
    <w:basedOn w:val="DefaultParagraphFont"/>
    <w:link w:val="BodyText"/>
    <w:uiPriority w:val="99"/>
    <w:rsid w:val="00860912"/>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86091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60912"/>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860912"/>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860912"/>
    <w:pPr>
      <w:keepNext/>
      <w:keepLines/>
    </w:pPr>
    <w:rPr>
      <w:rFonts w:ascii="Arial" w:hAnsi="Arial" w:cs="Arial"/>
      <w:sz w:val="20"/>
      <w:szCs w:val="20"/>
    </w:rPr>
  </w:style>
  <w:style w:type="character" w:styleId="Hyperlink">
    <w:name w:val="Hyperlink"/>
    <w:uiPriority w:val="99"/>
    <w:rsid w:val="00860912"/>
    <w:rPr>
      <w:rFonts w:cs="Times New Roman"/>
      <w:color w:val="0000FF"/>
      <w:u w:val="single"/>
    </w:rPr>
  </w:style>
  <w:style w:type="character" w:styleId="CommentReference">
    <w:name w:val="annotation reference"/>
    <w:basedOn w:val="DefaultParagraphFont"/>
    <w:uiPriority w:val="99"/>
    <w:semiHidden/>
    <w:unhideWhenUsed/>
    <w:rsid w:val="009C3293"/>
    <w:rPr>
      <w:sz w:val="16"/>
      <w:szCs w:val="16"/>
    </w:rPr>
  </w:style>
  <w:style w:type="paragraph" w:styleId="CommentText">
    <w:name w:val="annotation text"/>
    <w:basedOn w:val="Normal"/>
    <w:link w:val="CommentTextChar"/>
    <w:uiPriority w:val="99"/>
    <w:semiHidden/>
    <w:unhideWhenUsed/>
    <w:rsid w:val="009C3293"/>
    <w:rPr>
      <w:sz w:val="20"/>
      <w:szCs w:val="20"/>
    </w:rPr>
  </w:style>
  <w:style w:type="character" w:customStyle="1" w:styleId="CommentTextChar">
    <w:name w:val="Comment Text Char"/>
    <w:basedOn w:val="DefaultParagraphFont"/>
    <w:link w:val="CommentText"/>
    <w:uiPriority w:val="99"/>
    <w:semiHidden/>
    <w:rsid w:val="009C3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293"/>
    <w:rPr>
      <w:b/>
      <w:bCs/>
    </w:rPr>
  </w:style>
  <w:style w:type="character" w:customStyle="1" w:styleId="CommentSubjectChar">
    <w:name w:val="Comment Subject Char"/>
    <w:basedOn w:val="CommentTextChar"/>
    <w:link w:val="CommentSubject"/>
    <w:uiPriority w:val="99"/>
    <w:semiHidden/>
    <w:rsid w:val="009C3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293"/>
    <w:rPr>
      <w:rFonts w:ascii="Tahoma" w:hAnsi="Tahoma" w:cs="Tahoma"/>
      <w:sz w:val="16"/>
      <w:szCs w:val="16"/>
    </w:rPr>
  </w:style>
  <w:style w:type="character" w:customStyle="1" w:styleId="BalloonTextChar">
    <w:name w:val="Balloon Text Char"/>
    <w:basedOn w:val="DefaultParagraphFont"/>
    <w:link w:val="BalloonText"/>
    <w:uiPriority w:val="99"/>
    <w:semiHidden/>
    <w:rsid w:val="009C3293"/>
    <w:rPr>
      <w:rFonts w:ascii="Tahoma" w:eastAsia="Times New Roman" w:hAnsi="Tahoma" w:cs="Tahoma"/>
      <w:sz w:val="16"/>
      <w:szCs w:val="16"/>
    </w:rPr>
  </w:style>
  <w:style w:type="paragraph" w:styleId="Revision">
    <w:name w:val="Revision"/>
    <w:hidden/>
    <w:uiPriority w:val="99"/>
    <w:semiHidden/>
    <w:rsid w:val="00C56109"/>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6512E"/>
    <w:rPr>
      <w:color w:val="808080"/>
      <w:shd w:val="clear" w:color="auto" w:fill="E6E6E6"/>
    </w:rPr>
  </w:style>
  <w:style w:type="paragraph" w:styleId="ListParagraph">
    <w:name w:val="List Paragraph"/>
    <w:basedOn w:val="Normal"/>
    <w:uiPriority w:val="34"/>
    <w:qFormat/>
    <w:rsid w:val="00A95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publicadvocat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364ce27c-a366-41e6-8be2-af4dc8cfb0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13D1DE4604F543BF93D8DD9D66945D" ma:contentTypeVersion="11" ma:contentTypeDescription="Create a new document." ma:contentTypeScope="" ma:versionID="2284215107b427b40151cc9d86571de8">
  <xsd:schema xmlns:xsd="http://www.w3.org/2001/XMLSchema" xmlns:xs="http://www.w3.org/2001/XMLSchema" xmlns:p="http://schemas.microsoft.com/office/2006/metadata/properties" xmlns:ns2="364ce27c-a366-41e6-8be2-af4dc8cfb041" xmlns:ns3="579579a3-d0d9-4378-8163-a0fde1512da3" targetNamespace="http://schemas.microsoft.com/office/2006/metadata/properties" ma:root="true" ma:fieldsID="8a991525e798bdfc38fb44940fca8983" ns2:_="" ns3:_="">
    <xsd:import namespace="364ce27c-a366-41e6-8be2-af4dc8cfb041"/>
    <xsd:import namespace="579579a3-d0d9-4378-8163-a0fde1512da3"/>
    <xsd:element name="properties">
      <xsd:complexType>
        <xsd:sequence>
          <xsd:element name="documentManagement">
            <xsd:complexType>
              <xsd:all>
                <xsd:element ref="ns2:MigrationSourceUR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e27c-a366-41e6-8be2-af4dc8cfb041"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579a3-d0d9-4378-8163-a0fde1512da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7CBA-E6AE-4807-9A81-3B3EF7DA6296}">
  <ds:schemaRefs>
    <ds:schemaRef ds:uri="http://schemas.microsoft.com/sharepoint/v3/contenttype/forms"/>
  </ds:schemaRefs>
</ds:datastoreItem>
</file>

<file path=customXml/itemProps2.xml><?xml version="1.0" encoding="utf-8"?>
<ds:datastoreItem xmlns:ds="http://schemas.openxmlformats.org/officeDocument/2006/customXml" ds:itemID="{F6377F42-02EF-491E-B062-EA8062C3C5E1}">
  <ds:schemaRefs>
    <ds:schemaRef ds:uri="http://schemas.microsoft.com/office/2006/metadata/properties"/>
    <ds:schemaRef ds:uri="http://schemas.microsoft.com/office/infopath/2007/PartnerControls"/>
    <ds:schemaRef ds:uri="364ce27c-a366-41e6-8be2-af4dc8cfb041"/>
  </ds:schemaRefs>
</ds:datastoreItem>
</file>

<file path=customXml/itemProps3.xml><?xml version="1.0" encoding="utf-8"?>
<ds:datastoreItem xmlns:ds="http://schemas.openxmlformats.org/officeDocument/2006/customXml" ds:itemID="{B70188A5-215F-42AC-B838-78C109924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e27c-a366-41e6-8be2-af4dc8cfb041"/>
    <ds:schemaRef ds:uri="579579a3-d0d9-4378-8163-a0fde1512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233E6-E19F-F343-AA16-C6F84FC8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5851</Characters>
  <Application>Microsoft Office Word</Application>
  <DocSecurity>0</DocSecurity>
  <Lines>195</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Sempra Energy</Company>
  <LinksUpToDate>false</LinksUpToDate>
  <CharactersWithSpaces>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Klaiber, Steven</dc:creator>
  <cp:keywords/>
  <dc:description/>
  <cp:lastModifiedBy>Microsoft Office User</cp:lastModifiedBy>
  <cp:revision>2</cp:revision>
  <dcterms:created xsi:type="dcterms:W3CDTF">2019-03-13T05:00:00Z</dcterms:created>
  <dcterms:modified xsi:type="dcterms:W3CDTF">2019-03-13T05:00:00Z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0x0101006213D1DE4604F543BF93D8DD9D66945D</vt:lpwstr>
  </property>
</Properties>
</file>