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51C51" w14:textId="77777777" w:rsidR="00E65932" w:rsidRPr="00DE0334" w:rsidRDefault="008F6C28" w:rsidP="00E65932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  <w:bCs/>
          <w:bdr w:val="nil"/>
          <w:lang w:val="es-ES"/>
        </w:rPr>
        <w:t>Para más detalles, llame al 1-800-311-7343</w:t>
      </w:r>
    </w:p>
    <w:p w14:paraId="144C345B" w14:textId="77777777" w:rsidR="00E65932" w:rsidRPr="000C7FE8" w:rsidRDefault="00367BD4" w:rsidP="00E65932">
      <w:pPr>
        <w:pStyle w:val="Table"/>
        <w:rPr>
          <w:lang w:val="es-ES"/>
        </w:rPr>
      </w:pPr>
    </w:p>
    <w:p w14:paraId="4A81543C" w14:textId="77777777" w:rsidR="00E65932" w:rsidRDefault="008F6C28" w:rsidP="00E65932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  <w:bdr w:val="nil"/>
          <w:lang w:val="es-ES"/>
        </w:rPr>
        <w:t xml:space="preserve">NOTIFICACIÓN DE PETICIÓN DE SAN DIEGO GAS &amp; ELECTRIC COMPANY A FIN DE INCREMENTAR LAS TARIFAS PARA EL PROGRAMA DE REEMPLAZO DEL SISTEMA DE INFORMACIÓN AL CLIENTE </w:t>
      </w:r>
    </w:p>
    <w:p w14:paraId="5E895F15" w14:textId="77777777" w:rsidR="00E65932" w:rsidRPr="00614046" w:rsidRDefault="008F6C28" w:rsidP="00E65932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  <w:bdr w:val="nil"/>
          <w:lang w:val="es-ES"/>
        </w:rPr>
        <w:t xml:space="preserve">SOLICITUD NÚM. </w:t>
      </w:r>
      <w:r>
        <w:rPr>
          <w:rFonts w:ascii="Times New Roman" w:hAnsi="Times New Roman" w:cs="Times New Roman"/>
          <w:sz w:val="24"/>
          <w:szCs w:val="24"/>
          <w:bdr w:val="nil"/>
          <w:lang w:val="es-ES"/>
        </w:rPr>
        <w:t xml:space="preserve">A.17-04-027 </w:t>
      </w:r>
    </w:p>
    <w:p w14:paraId="571187F0" w14:textId="77777777" w:rsidR="00E65932" w:rsidRPr="00A25F39" w:rsidRDefault="00367BD4" w:rsidP="00E65932">
      <w:pPr>
        <w:pStyle w:val="Table"/>
        <w:jc w:val="both"/>
        <w:rPr>
          <w:rFonts w:ascii="Times New Roman" w:hAnsi="Times New Roman" w:cs="Times New Roman"/>
        </w:rPr>
      </w:pPr>
    </w:p>
    <w:p w14:paraId="5698DDD3" w14:textId="77777777" w:rsidR="00E65932" w:rsidRDefault="008F6C28" w:rsidP="00E65932">
      <w:pPr>
        <w:autoSpaceDE w:val="0"/>
        <w:autoSpaceDN w:val="0"/>
        <w:adjustRightInd w:val="0"/>
      </w:pPr>
      <w:r>
        <w:rPr>
          <w:bdr w:val="nil"/>
          <w:lang w:val="es-ES"/>
        </w:rPr>
        <w:t>El 28 de abril de 2017, San Diego Gas &amp; Electric Company (SDG&amp;E</w:t>
      </w:r>
      <w:r w:rsidRPr="006368AE">
        <w:rPr>
          <w:bdr w:val="nil"/>
          <w:vertAlign w:val="superscript"/>
          <w:lang w:val="es-ES"/>
        </w:rPr>
        <w:t>®</w:t>
      </w:r>
      <w:r>
        <w:rPr>
          <w:bdr w:val="nil"/>
          <w:lang w:val="es-ES"/>
        </w:rPr>
        <w:t xml:space="preserve">) presentó una petición ante la Comisión de Servicios Públicos de California (CPUC) con el objeto de obtener la aprobación para aumentar las tarifas a fin de financiar el </w:t>
      </w:r>
      <w:r w:rsidR="006368AE">
        <w:rPr>
          <w:bdr w:val="nil"/>
          <w:lang w:val="es-ES"/>
        </w:rPr>
        <w:t xml:space="preserve">programa de reemplazo del sistema de información al cliente </w:t>
      </w:r>
      <w:proofErr w:type="spellStart"/>
      <w:r w:rsidR="006368AE" w:rsidRPr="006368AE">
        <w:rPr>
          <w:bdr w:val="nil"/>
          <w:lang w:val="es-ES"/>
        </w:rPr>
        <w:t>Customer</w:t>
      </w:r>
      <w:proofErr w:type="spellEnd"/>
      <w:r w:rsidR="006368AE" w:rsidRPr="006368AE">
        <w:rPr>
          <w:bdr w:val="nil"/>
          <w:lang w:val="es-ES"/>
        </w:rPr>
        <w:t xml:space="preserve"> </w:t>
      </w:r>
      <w:proofErr w:type="spellStart"/>
      <w:r w:rsidR="006368AE" w:rsidRPr="006368AE">
        <w:rPr>
          <w:bdr w:val="nil"/>
          <w:lang w:val="es-ES"/>
        </w:rPr>
        <w:t>Information</w:t>
      </w:r>
      <w:proofErr w:type="spellEnd"/>
      <w:r w:rsidR="006368AE" w:rsidRPr="006368AE">
        <w:rPr>
          <w:bdr w:val="nil"/>
          <w:lang w:val="es-ES"/>
        </w:rPr>
        <w:t xml:space="preserve"> </w:t>
      </w:r>
      <w:proofErr w:type="spellStart"/>
      <w:r w:rsidR="006368AE" w:rsidRPr="006368AE">
        <w:rPr>
          <w:bdr w:val="nil"/>
          <w:lang w:val="es-ES"/>
        </w:rPr>
        <w:t>System</w:t>
      </w:r>
      <w:proofErr w:type="spellEnd"/>
      <w:r w:rsidR="006368AE" w:rsidRPr="006368AE">
        <w:rPr>
          <w:bdr w:val="nil"/>
          <w:lang w:val="es-ES"/>
        </w:rPr>
        <w:t xml:space="preserve"> (CIS) </w:t>
      </w:r>
      <w:proofErr w:type="spellStart"/>
      <w:r w:rsidR="006368AE" w:rsidRPr="006368AE">
        <w:rPr>
          <w:bdr w:val="nil"/>
          <w:lang w:val="es-ES"/>
        </w:rPr>
        <w:t>Replacement</w:t>
      </w:r>
      <w:proofErr w:type="spellEnd"/>
      <w:r w:rsidR="006368AE" w:rsidRPr="006368AE">
        <w:rPr>
          <w:bdr w:val="nil"/>
          <w:lang w:val="es-ES"/>
        </w:rPr>
        <w:t xml:space="preserve"> </w:t>
      </w:r>
      <w:proofErr w:type="spellStart"/>
      <w:r w:rsidR="006368AE" w:rsidRPr="006368AE">
        <w:rPr>
          <w:bdr w:val="nil"/>
          <w:lang w:val="es-ES"/>
        </w:rPr>
        <w:t>Program</w:t>
      </w:r>
      <w:proofErr w:type="spellEnd"/>
      <w:r>
        <w:rPr>
          <w:bdr w:val="nil"/>
          <w:lang w:val="es-ES"/>
        </w:rPr>
        <w:t>. Con esta petición se está buscando reemplazar el CIS heredado de SDG&amp;E (el sistema de hardware/software utilizado para procesos empresariales y de facturación clave). Este sistema se implementó hace dos décadas y necesitará ser sustituido antes de que llegue a ser totalmente obsoleto.</w:t>
      </w:r>
    </w:p>
    <w:p w14:paraId="4182C71C" w14:textId="77777777" w:rsidR="00E65932" w:rsidRDefault="00367BD4" w:rsidP="00E65932">
      <w:pPr>
        <w:autoSpaceDE w:val="0"/>
        <w:autoSpaceDN w:val="0"/>
        <w:adjustRightInd w:val="0"/>
      </w:pPr>
    </w:p>
    <w:p w14:paraId="511D66BF" w14:textId="77777777" w:rsidR="00E65932" w:rsidRDefault="008F6C28" w:rsidP="00E65932">
      <w:pPr>
        <w:autoSpaceDE w:val="0"/>
        <w:autoSpaceDN w:val="0"/>
        <w:adjustRightInd w:val="0"/>
      </w:pPr>
      <w:r>
        <w:rPr>
          <w:bdr w:val="nil"/>
          <w:lang w:val="es-ES"/>
        </w:rPr>
        <w:t xml:space="preserve">De aprobarse, el Programa de Reemplazo del CIS se implementará en una iniciativa por fases </w:t>
      </w:r>
      <w:r w:rsidR="005C7D90">
        <w:rPr>
          <w:bdr w:val="nil"/>
          <w:lang w:val="es-ES"/>
        </w:rPr>
        <w:t>a lo largo de</w:t>
      </w:r>
      <w:r>
        <w:rPr>
          <w:bdr w:val="nil"/>
          <w:lang w:val="es-ES"/>
        </w:rPr>
        <w:t xml:space="preserve"> múltiples años que se espera </w:t>
      </w:r>
      <w:r w:rsidR="00744A3F">
        <w:rPr>
          <w:bdr w:val="nil"/>
          <w:lang w:val="es-ES"/>
        </w:rPr>
        <w:t>entre en funcionamiento</w:t>
      </w:r>
      <w:r>
        <w:rPr>
          <w:bdr w:val="nil"/>
          <w:lang w:val="es-ES"/>
        </w:rPr>
        <w:t xml:space="preserve"> en 2021. El nuevo CIS modernizará procesos empresariales e interacciones con el cliente cruciales, al mismo tiempo que reducirá costos y aumentará la precisión y </w:t>
      </w:r>
      <w:r w:rsidR="005C7D90">
        <w:rPr>
          <w:bdr w:val="nil"/>
          <w:lang w:val="es-ES"/>
        </w:rPr>
        <w:t>oportunidad</w:t>
      </w:r>
      <w:r>
        <w:rPr>
          <w:bdr w:val="nil"/>
          <w:lang w:val="es-ES"/>
        </w:rPr>
        <w:t xml:space="preserve"> de la facturación. Además, facilitará el mejoramiento y la expansión de la funcionalidad de participación del cliente y permitirá el apoyo ininterrumpido de las iniciativas de políticas del Estado. </w:t>
      </w:r>
    </w:p>
    <w:p w14:paraId="6FFB849A" w14:textId="77777777" w:rsidR="00E65932" w:rsidRDefault="00367BD4" w:rsidP="00E65932">
      <w:pPr>
        <w:autoSpaceDE w:val="0"/>
        <w:autoSpaceDN w:val="0"/>
        <w:adjustRightInd w:val="0"/>
      </w:pPr>
    </w:p>
    <w:p w14:paraId="1F1AF245" w14:textId="77777777" w:rsidR="00DA18EB" w:rsidRDefault="008F6C28" w:rsidP="00DA18EB">
      <w:pPr>
        <w:autoSpaceDE w:val="0"/>
        <w:autoSpaceDN w:val="0"/>
        <w:adjustRightInd w:val="0"/>
      </w:pPr>
      <w:r>
        <w:rPr>
          <w:bdr w:val="nil"/>
          <w:lang w:val="es-ES"/>
        </w:rPr>
        <w:t>El aumento solicitado en la tarifa cubrirá los costos asociados con la implementación del Programa de Reemplazo del CIS hasta finales de 2021. Esta solicitud buscará recuperar los siguientes costos:</w:t>
      </w:r>
    </w:p>
    <w:p w14:paraId="67CD1150" w14:textId="77777777" w:rsidR="00DA18EB" w:rsidRDefault="008F6C28" w:rsidP="00DA18EB">
      <w:pPr>
        <w:autoSpaceDE w:val="0"/>
        <w:autoSpaceDN w:val="0"/>
        <w:adjustRightInd w:val="0"/>
      </w:pPr>
      <w:r>
        <w:rPr>
          <w:bdr w:val="nil"/>
          <w:lang w:val="es-ES"/>
        </w:rPr>
        <w:t xml:space="preserve">• </w:t>
      </w:r>
      <w:r w:rsidR="002D719A">
        <w:rPr>
          <w:bdr w:val="nil"/>
          <w:lang w:val="es-ES"/>
        </w:rPr>
        <w:tab/>
      </w:r>
      <w:r>
        <w:rPr>
          <w:bdr w:val="nil"/>
          <w:lang w:val="es-ES"/>
        </w:rPr>
        <w:t>Costos de capital</w:t>
      </w:r>
      <w:r w:rsidR="002D719A">
        <w:rPr>
          <w:bdr w:val="nil"/>
          <w:lang w:val="es-ES"/>
        </w:rPr>
        <w:t xml:space="preserve"> </w:t>
      </w:r>
      <w:r>
        <w:rPr>
          <w:bdr w:val="nil"/>
          <w:lang w:val="es-ES"/>
        </w:rPr>
        <w:t xml:space="preserve">(costos de proveedor) asociados con el desarrollo del CIS </w:t>
      </w:r>
    </w:p>
    <w:p w14:paraId="411E1882" w14:textId="77777777" w:rsidR="00DA18EB" w:rsidRDefault="008F6C28" w:rsidP="00DA18EB">
      <w:pPr>
        <w:autoSpaceDE w:val="0"/>
        <w:autoSpaceDN w:val="0"/>
        <w:adjustRightInd w:val="0"/>
      </w:pPr>
      <w:r>
        <w:rPr>
          <w:bdr w:val="nil"/>
          <w:lang w:val="es-ES"/>
        </w:rPr>
        <w:t>•</w:t>
      </w:r>
      <w:r>
        <w:rPr>
          <w:bdr w:val="nil"/>
          <w:lang w:val="es-ES"/>
        </w:rPr>
        <w:tab/>
        <w:t>Costos de operación (capaci</w:t>
      </w:r>
      <w:r w:rsidR="002D719A">
        <w:rPr>
          <w:bdr w:val="nil"/>
          <w:lang w:val="es-ES"/>
        </w:rPr>
        <w:t>t</w:t>
      </w:r>
      <w:r>
        <w:rPr>
          <w:bdr w:val="nil"/>
          <w:lang w:val="es-ES"/>
        </w:rPr>
        <w:t xml:space="preserve">ación </w:t>
      </w:r>
      <w:r w:rsidR="00744A3F">
        <w:rPr>
          <w:bdr w:val="nil"/>
          <w:lang w:val="es-ES"/>
        </w:rPr>
        <w:t>de</w:t>
      </w:r>
      <w:r>
        <w:rPr>
          <w:bdr w:val="nil"/>
          <w:lang w:val="es-ES"/>
        </w:rPr>
        <w:t xml:space="preserve"> empleados)</w:t>
      </w:r>
    </w:p>
    <w:p w14:paraId="3A9F0307" w14:textId="77777777" w:rsidR="00DA18EB" w:rsidRDefault="008F6C28" w:rsidP="00DA18EB">
      <w:pPr>
        <w:autoSpaceDE w:val="0"/>
        <w:autoSpaceDN w:val="0"/>
        <w:adjustRightInd w:val="0"/>
      </w:pPr>
      <w:r>
        <w:rPr>
          <w:bdr w:val="nil"/>
          <w:lang w:val="es-ES"/>
        </w:rPr>
        <w:t>•</w:t>
      </w:r>
      <w:r>
        <w:rPr>
          <w:bdr w:val="nil"/>
          <w:lang w:val="es-ES"/>
        </w:rPr>
        <w:tab/>
        <w:t>Costos administrativos (gestión del cambio organizativo)</w:t>
      </w:r>
    </w:p>
    <w:p w14:paraId="0143E82E" w14:textId="77777777" w:rsidR="008572CD" w:rsidRDefault="00367BD4" w:rsidP="00DA18EB">
      <w:pPr>
        <w:autoSpaceDE w:val="0"/>
        <w:autoSpaceDN w:val="0"/>
        <w:adjustRightInd w:val="0"/>
      </w:pPr>
    </w:p>
    <w:p w14:paraId="252EEEE0" w14:textId="77777777" w:rsidR="008572CD" w:rsidRDefault="008F6C28" w:rsidP="00DA18EB">
      <w:pPr>
        <w:autoSpaceDE w:val="0"/>
        <w:autoSpaceDN w:val="0"/>
        <w:adjustRightInd w:val="0"/>
      </w:pPr>
      <w:r>
        <w:rPr>
          <w:bdr w:val="nil"/>
          <w:lang w:val="es-ES"/>
        </w:rPr>
        <w:t xml:space="preserve">Los </w:t>
      </w:r>
      <w:r w:rsidR="002D719A">
        <w:rPr>
          <w:bdr w:val="nil"/>
          <w:lang w:val="es-ES"/>
        </w:rPr>
        <w:t xml:space="preserve">Requisitos </w:t>
      </w:r>
      <w:r>
        <w:rPr>
          <w:bdr w:val="nil"/>
          <w:lang w:val="es-ES"/>
        </w:rPr>
        <w:t xml:space="preserve">de </w:t>
      </w:r>
      <w:r w:rsidR="002D719A">
        <w:rPr>
          <w:bdr w:val="nil"/>
          <w:lang w:val="es-ES"/>
        </w:rPr>
        <w:t xml:space="preserve">Ingresos </w:t>
      </w:r>
      <w:r>
        <w:rPr>
          <w:bdr w:val="nil"/>
          <w:lang w:val="es-ES"/>
        </w:rPr>
        <w:t>de 2017 - 2021 se muestran a continuación. Éstos se utilizan para mostrar las tarifas y los impactos en la factura.</w:t>
      </w:r>
    </w:p>
    <w:p w14:paraId="148EC9C4" w14:textId="77777777" w:rsidR="00DA18EB" w:rsidRDefault="00367BD4" w:rsidP="00DA18EB">
      <w:pPr>
        <w:autoSpaceDE w:val="0"/>
        <w:autoSpaceDN w:val="0"/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435"/>
        <w:gridCol w:w="1538"/>
        <w:gridCol w:w="1538"/>
        <w:gridCol w:w="1538"/>
        <w:gridCol w:w="1539"/>
      </w:tblGrid>
      <w:tr w:rsidR="00144BDA" w:rsidRPr="00FA5D6C" w14:paraId="0F24BEC1" w14:textId="77777777" w:rsidTr="008B4FF8">
        <w:tc>
          <w:tcPr>
            <w:tcW w:w="1762" w:type="dxa"/>
          </w:tcPr>
          <w:p w14:paraId="44DF20A2" w14:textId="77777777" w:rsidR="00E127D6" w:rsidRPr="00FA5D6C" w:rsidRDefault="008F6C28" w:rsidP="008572CD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</w:tcPr>
          <w:p w14:paraId="3EF3C06E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2017</w:t>
            </w:r>
          </w:p>
        </w:tc>
        <w:tc>
          <w:tcPr>
            <w:tcW w:w="1538" w:type="dxa"/>
          </w:tcPr>
          <w:p w14:paraId="282A0864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2018</w:t>
            </w:r>
          </w:p>
        </w:tc>
        <w:tc>
          <w:tcPr>
            <w:tcW w:w="1538" w:type="dxa"/>
          </w:tcPr>
          <w:p w14:paraId="6F90A24B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2019</w:t>
            </w:r>
          </w:p>
        </w:tc>
        <w:tc>
          <w:tcPr>
            <w:tcW w:w="1538" w:type="dxa"/>
          </w:tcPr>
          <w:p w14:paraId="1AAEF968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2020</w:t>
            </w:r>
          </w:p>
        </w:tc>
        <w:tc>
          <w:tcPr>
            <w:tcW w:w="1539" w:type="dxa"/>
          </w:tcPr>
          <w:p w14:paraId="45A2BC75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2021</w:t>
            </w:r>
          </w:p>
        </w:tc>
      </w:tr>
      <w:tr w:rsidR="00144BDA" w:rsidRPr="00FA5D6C" w14:paraId="6EE9FFB9" w14:textId="77777777" w:rsidTr="008B4FF8">
        <w:tc>
          <w:tcPr>
            <w:tcW w:w="1762" w:type="dxa"/>
          </w:tcPr>
          <w:p w14:paraId="0FB6BB52" w14:textId="77777777" w:rsidR="00E127D6" w:rsidRPr="00FA5D6C" w:rsidRDefault="00367BD4" w:rsidP="008B4FF8">
            <w:pPr>
              <w:rPr>
                <w:sz w:val="22"/>
                <w:szCs w:val="22"/>
              </w:rPr>
            </w:pPr>
          </w:p>
        </w:tc>
        <w:tc>
          <w:tcPr>
            <w:tcW w:w="7588" w:type="dxa"/>
            <w:gridSpan w:val="5"/>
          </w:tcPr>
          <w:p w14:paraId="703CFE05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 xml:space="preserve">Requisitos de ingresos </w:t>
            </w:r>
          </w:p>
        </w:tc>
      </w:tr>
      <w:tr w:rsidR="00144BDA" w:rsidRPr="00FA5D6C" w14:paraId="1CD47C57" w14:textId="77777777" w:rsidTr="008B4FF8">
        <w:tc>
          <w:tcPr>
            <w:tcW w:w="1762" w:type="dxa"/>
          </w:tcPr>
          <w:p w14:paraId="22044A6E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Electricidad</w:t>
            </w:r>
          </w:p>
        </w:tc>
        <w:tc>
          <w:tcPr>
            <w:tcW w:w="1435" w:type="dxa"/>
          </w:tcPr>
          <w:p w14:paraId="19A818EF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60D13A6D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55BB4AE0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0D346711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E62BC09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</w:tr>
      <w:tr w:rsidR="00144BDA" w:rsidRPr="00FA5D6C" w14:paraId="7B54408B" w14:textId="77777777" w:rsidTr="008B4FF8">
        <w:tc>
          <w:tcPr>
            <w:tcW w:w="1762" w:type="dxa"/>
          </w:tcPr>
          <w:p w14:paraId="1EB2CBA2" w14:textId="77777777" w:rsidR="00E127D6" w:rsidRPr="00FA5D6C" w:rsidRDefault="008F6C28" w:rsidP="002D719A">
            <w:pPr>
              <w:ind w:left="284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Distribución</w:t>
            </w:r>
          </w:p>
        </w:tc>
        <w:tc>
          <w:tcPr>
            <w:tcW w:w="1435" w:type="dxa"/>
            <w:vAlign w:val="bottom"/>
          </w:tcPr>
          <w:p w14:paraId="4C3AB7E7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($1,339)</w:t>
            </w:r>
          </w:p>
        </w:tc>
        <w:tc>
          <w:tcPr>
            <w:tcW w:w="1538" w:type="dxa"/>
            <w:vAlign w:val="bottom"/>
          </w:tcPr>
          <w:p w14:paraId="03ADFFA6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$2,532</w:t>
            </w:r>
          </w:p>
        </w:tc>
        <w:tc>
          <w:tcPr>
            <w:tcW w:w="1538" w:type="dxa"/>
            <w:vAlign w:val="bottom"/>
          </w:tcPr>
          <w:p w14:paraId="453537E8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($17,662)</w:t>
            </w:r>
          </w:p>
        </w:tc>
        <w:tc>
          <w:tcPr>
            <w:tcW w:w="1538" w:type="dxa"/>
            <w:vAlign w:val="bottom"/>
          </w:tcPr>
          <w:p w14:paraId="25AE8664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($9,808)</w:t>
            </w:r>
          </w:p>
        </w:tc>
        <w:tc>
          <w:tcPr>
            <w:tcW w:w="1539" w:type="dxa"/>
            <w:vAlign w:val="bottom"/>
          </w:tcPr>
          <w:p w14:paraId="33666C44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$38,889</w:t>
            </w:r>
          </w:p>
        </w:tc>
      </w:tr>
      <w:tr w:rsidR="00144BDA" w:rsidRPr="00FA5D6C" w14:paraId="1E0557C6" w14:textId="77777777" w:rsidTr="008B4FF8">
        <w:tc>
          <w:tcPr>
            <w:tcW w:w="1762" w:type="dxa"/>
          </w:tcPr>
          <w:p w14:paraId="6A3D1E83" w14:textId="77777777" w:rsidR="00E127D6" w:rsidRPr="00FA5D6C" w:rsidRDefault="008F6C28" w:rsidP="002D719A">
            <w:pPr>
              <w:ind w:left="284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Producto básico</w:t>
            </w:r>
          </w:p>
        </w:tc>
        <w:tc>
          <w:tcPr>
            <w:tcW w:w="1435" w:type="dxa"/>
            <w:vAlign w:val="bottom"/>
          </w:tcPr>
          <w:p w14:paraId="45C877E8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($155)</w:t>
            </w:r>
          </w:p>
        </w:tc>
        <w:tc>
          <w:tcPr>
            <w:tcW w:w="1538" w:type="dxa"/>
            <w:vAlign w:val="bottom"/>
          </w:tcPr>
          <w:p w14:paraId="36ACE3D6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($193)</w:t>
            </w:r>
          </w:p>
        </w:tc>
        <w:tc>
          <w:tcPr>
            <w:tcW w:w="1538" w:type="dxa"/>
            <w:vAlign w:val="bottom"/>
          </w:tcPr>
          <w:p w14:paraId="21AD5971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($1,758)</w:t>
            </w:r>
          </w:p>
        </w:tc>
        <w:tc>
          <w:tcPr>
            <w:tcW w:w="1538" w:type="dxa"/>
            <w:vAlign w:val="bottom"/>
          </w:tcPr>
          <w:p w14:paraId="124D0F95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($2,035)</w:t>
            </w:r>
          </w:p>
        </w:tc>
        <w:tc>
          <w:tcPr>
            <w:tcW w:w="1539" w:type="dxa"/>
            <w:vAlign w:val="bottom"/>
          </w:tcPr>
          <w:p w14:paraId="315B7E34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color w:val="000000"/>
                <w:sz w:val="22"/>
                <w:szCs w:val="22"/>
                <w:bdr w:val="nil"/>
                <w:lang w:val="es-ES"/>
              </w:rPr>
              <w:t>$1,829</w:t>
            </w:r>
          </w:p>
        </w:tc>
      </w:tr>
      <w:tr w:rsidR="00144BDA" w:rsidRPr="00FA5D6C" w14:paraId="1E53C9B4" w14:textId="77777777" w:rsidTr="008B4FF8">
        <w:tc>
          <w:tcPr>
            <w:tcW w:w="1762" w:type="dxa"/>
          </w:tcPr>
          <w:p w14:paraId="4E051A53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Gas</w:t>
            </w:r>
          </w:p>
        </w:tc>
        <w:tc>
          <w:tcPr>
            <w:tcW w:w="1435" w:type="dxa"/>
          </w:tcPr>
          <w:p w14:paraId="34CFC25C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216025F4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009CD604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1BCAF8CC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4B77D6E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</w:tr>
      <w:tr w:rsidR="00144BDA" w:rsidRPr="00FA5D6C" w14:paraId="4F943C0B" w14:textId="77777777" w:rsidTr="008B4FF8">
        <w:tc>
          <w:tcPr>
            <w:tcW w:w="1762" w:type="dxa"/>
          </w:tcPr>
          <w:p w14:paraId="0F6DCD5E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 xml:space="preserve">   Transporte</w:t>
            </w:r>
          </w:p>
        </w:tc>
        <w:tc>
          <w:tcPr>
            <w:tcW w:w="1435" w:type="dxa"/>
          </w:tcPr>
          <w:p w14:paraId="026C53DD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($491)</w:t>
            </w:r>
          </w:p>
        </w:tc>
        <w:tc>
          <w:tcPr>
            <w:tcW w:w="1538" w:type="dxa"/>
          </w:tcPr>
          <w:p w14:paraId="10D9E80E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 xml:space="preserve">$1,664 </w:t>
            </w:r>
          </w:p>
        </w:tc>
        <w:tc>
          <w:tcPr>
            <w:tcW w:w="1538" w:type="dxa"/>
          </w:tcPr>
          <w:p w14:paraId="12A81F5B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($6,907)</w:t>
            </w:r>
          </w:p>
        </w:tc>
        <w:tc>
          <w:tcPr>
            <w:tcW w:w="1538" w:type="dxa"/>
          </w:tcPr>
          <w:p w14:paraId="56C7AE5D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($2,234)</w:t>
            </w:r>
          </w:p>
        </w:tc>
        <w:tc>
          <w:tcPr>
            <w:tcW w:w="1539" w:type="dxa"/>
          </w:tcPr>
          <w:p w14:paraId="45790A7D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 xml:space="preserve">$18,301 </w:t>
            </w:r>
          </w:p>
        </w:tc>
      </w:tr>
      <w:tr w:rsidR="00144BDA" w:rsidRPr="00FA5D6C" w14:paraId="0C105CD5" w14:textId="77777777" w:rsidTr="008B4FF8">
        <w:tc>
          <w:tcPr>
            <w:tcW w:w="1762" w:type="dxa"/>
          </w:tcPr>
          <w:p w14:paraId="04D05BA6" w14:textId="77777777" w:rsidR="00E127D6" w:rsidRPr="00FA5D6C" w:rsidRDefault="00367BD4" w:rsidP="008B4FF8">
            <w:pPr>
              <w:rPr>
                <w:sz w:val="22"/>
                <w:szCs w:val="22"/>
              </w:rPr>
            </w:pPr>
          </w:p>
        </w:tc>
        <w:tc>
          <w:tcPr>
            <w:tcW w:w="7588" w:type="dxa"/>
            <w:gridSpan w:val="5"/>
          </w:tcPr>
          <w:p w14:paraId="4858A720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Requisitos ajustados en los ingresos para la recuperación en tarifas</w:t>
            </w:r>
          </w:p>
        </w:tc>
      </w:tr>
      <w:tr w:rsidR="00144BDA" w:rsidRPr="00FA5D6C" w14:paraId="18F7A338" w14:textId="77777777" w:rsidTr="008B4FF8">
        <w:tc>
          <w:tcPr>
            <w:tcW w:w="1762" w:type="dxa"/>
          </w:tcPr>
          <w:p w14:paraId="6AC60190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Electricidad</w:t>
            </w:r>
          </w:p>
        </w:tc>
        <w:tc>
          <w:tcPr>
            <w:tcW w:w="1435" w:type="dxa"/>
          </w:tcPr>
          <w:p w14:paraId="4936D544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57A07788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4216707A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71E5CA84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970DC3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</w:tr>
      <w:tr w:rsidR="00144BDA" w:rsidRPr="00FA5D6C" w14:paraId="44AEA993" w14:textId="77777777" w:rsidTr="008B4FF8">
        <w:tc>
          <w:tcPr>
            <w:tcW w:w="1762" w:type="dxa"/>
          </w:tcPr>
          <w:p w14:paraId="6F3D69B7" w14:textId="77777777" w:rsidR="00E127D6" w:rsidRPr="00FA5D6C" w:rsidRDefault="008F6C28" w:rsidP="00FA5D6C">
            <w:pPr>
              <w:ind w:left="284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Distribución</w:t>
            </w:r>
          </w:p>
        </w:tc>
        <w:tc>
          <w:tcPr>
            <w:tcW w:w="1435" w:type="dxa"/>
          </w:tcPr>
          <w:p w14:paraId="220D9189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7D94F894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57112E5D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492C9581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9" w:type="dxa"/>
          </w:tcPr>
          <w:p w14:paraId="4E704908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$12,612</w:t>
            </w:r>
          </w:p>
        </w:tc>
      </w:tr>
      <w:tr w:rsidR="00144BDA" w:rsidRPr="00FA5D6C" w14:paraId="15D5B7FE" w14:textId="77777777" w:rsidTr="008B4FF8">
        <w:tc>
          <w:tcPr>
            <w:tcW w:w="1762" w:type="dxa"/>
          </w:tcPr>
          <w:p w14:paraId="7BAC34EE" w14:textId="77777777" w:rsidR="00E127D6" w:rsidRPr="00FA5D6C" w:rsidRDefault="008F6C28" w:rsidP="00FA5D6C">
            <w:pPr>
              <w:ind w:left="284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Producto básico</w:t>
            </w:r>
          </w:p>
        </w:tc>
        <w:tc>
          <w:tcPr>
            <w:tcW w:w="1435" w:type="dxa"/>
          </w:tcPr>
          <w:p w14:paraId="18778813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3CABECE3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2AAB8BD8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1220ACF9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9" w:type="dxa"/>
          </w:tcPr>
          <w:p w14:paraId="0A987539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($2,311)</w:t>
            </w:r>
          </w:p>
        </w:tc>
      </w:tr>
      <w:tr w:rsidR="00144BDA" w:rsidRPr="00FA5D6C" w14:paraId="131784A5" w14:textId="77777777" w:rsidTr="008B4FF8">
        <w:tc>
          <w:tcPr>
            <w:tcW w:w="1762" w:type="dxa"/>
          </w:tcPr>
          <w:p w14:paraId="43004C29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Gas</w:t>
            </w:r>
          </w:p>
        </w:tc>
        <w:tc>
          <w:tcPr>
            <w:tcW w:w="1435" w:type="dxa"/>
          </w:tcPr>
          <w:p w14:paraId="7D76A645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4BD59C0D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5CD089A5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14:paraId="473D607F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8ABD503" w14:textId="77777777" w:rsidR="00E127D6" w:rsidRPr="00FA5D6C" w:rsidRDefault="00367BD4" w:rsidP="008B4FF8">
            <w:pPr>
              <w:jc w:val="center"/>
              <w:rPr>
                <w:sz w:val="22"/>
                <w:szCs w:val="22"/>
              </w:rPr>
            </w:pPr>
          </w:p>
        </w:tc>
      </w:tr>
      <w:tr w:rsidR="00144BDA" w:rsidRPr="00FA5D6C" w14:paraId="3FD3932C" w14:textId="77777777" w:rsidTr="008B4FF8">
        <w:tc>
          <w:tcPr>
            <w:tcW w:w="1762" w:type="dxa"/>
          </w:tcPr>
          <w:p w14:paraId="08487C65" w14:textId="77777777" w:rsidR="00E127D6" w:rsidRPr="00FA5D6C" w:rsidRDefault="008F6C28" w:rsidP="008B4FF8">
            <w:pPr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 xml:space="preserve">   Transporte</w:t>
            </w:r>
          </w:p>
        </w:tc>
        <w:tc>
          <w:tcPr>
            <w:tcW w:w="1435" w:type="dxa"/>
          </w:tcPr>
          <w:p w14:paraId="5FD8E8FC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1F6EF187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7E3483AF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8" w:type="dxa"/>
          </w:tcPr>
          <w:p w14:paraId="3FACC0E4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>$0</w:t>
            </w:r>
          </w:p>
        </w:tc>
        <w:tc>
          <w:tcPr>
            <w:tcW w:w="1539" w:type="dxa"/>
          </w:tcPr>
          <w:p w14:paraId="6170CF75" w14:textId="77777777" w:rsidR="00E127D6" w:rsidRPr="00FA5D6C" w:rsidRDefault="008F6C28" w:rsidP="008B4FF8">
            <w:pPr>
              <w:jc w:val="center"/>
              <w:rPr>
                <w:sz w:val="22"/>
                <w:szCs w:val="22"/>
              </w:rPr>
            </w:pPr>
            <w:r w:rsidRPr="00FA5D6C">
              <w:rPr>
                <w:sz w:val="22"/>
                <w:szCs w:val="22"/>
                <w:bdr w:val="nil"/>
                <w:lang w:val="es-ES"/>
              </w:rPr>
              <w:t xml:space="preserve">$10,332 </w:t>
            </w:r>
          </w:p>
        </w:tc>
      </w:tr>
    </w:tbl>
    <w:p w14:paraId="32C1C664" w14:textId="77777777" w:rsidR="00E65932" w:rsidRPr="00A25F39" w:rsidRDefault="008F6C28" w:rsidP="00E65932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DV_M51"/>
      <w:bookmarkEnd w:id="1"/>
      <w:r>
        <w:rPr>
          <w:b/>
          <w:bCs/>
          <w:bdr w:val="nil"/>
          <w:lang w:val="es-ES"/>
        </w:rPr>
        <w:lastRenderedPageBreak/>
        <w:t>AUMENTO ILUSTRATIVO EN LAS TARIFAS Y FACTURAS ELÉCTRICAS</w:t>
      </w:r>
    </w:p>
    <w:p w14:paraId="4EE4C823" w14:textId="77777777" w:rsidR="00E65932" w:rsidRPr="00A25F39" w:rsidRDefault="00367BD4" w:rsidP="00E65932">
      <w:pPr>
        <w:autoSpaceDE w:val="0"/>
        <w:autoSpaceDN w:val="0"/>
        <w:adjustRightInd w:val="0"/>
      </w:pPr>
    </w:p>
    <w:p w14:paraId="39DED070" w14:textId="77777777" w:rsidR="00E65932" w:rsidRPr="00A25F39" w:rsidRDefault="008F6C28" w:rsidP="00E65932">
      <w:pPr>
        <w:autoSpaceDE w:val="0"/>
        <w:autoSpaceDN w:val="0"/>
        <w:adjustRightInd w:val="0"/>
      </w:pPr>
      <w:r>
        <w:rPr>
          <w:bdr w:val="nil"/>
          <w:lang w:val="es-ES"/>
        </w:rPr>
        <w:t xml:space="preserve">Si la CPUC aprueba la petición de SDG&amp;E, un cliente residencial típico que no participe en CARE, viva en la zona climática del interior y consuma un promedio de 500 kilovatios-hora al mes, podría ver un incremento en la factura mensual de verano en 2021 de $0.30, o 0.2%. Una factura mensual típica actual de verano podría aumentar de $125.36 a $125.66. Los porcentajes mostrados no necesariamente reflejan los cambios que puede ver en su factura. Los cambios en las facturas individuales dependerán también de cuánta electricidad consuma cada cliente. </w:t>
      </w:r>
    </w:p>
    <w:p w14:paraId="33EF3DD7" w14:textId="77777777" w:rsidR="00E65932" w:rsidRDefault="00367BD4" w:rsidP="00E65932">
      <w:pPr>
        <w:autoSpaceDE w:val="0"/>
        <w:autoSpaceDN w:val="0"/>
        <w:adjustRightInd w:val="0"/>
        <w:jc w:val="both"/>
      </w:pPr>
    </w:p>
    <w:p w14:paraId="7C24432F" w14:textId="77777777" w:rsidR="00B63416" w:rsidRDefault="008F6C28" w:rsidP="00B63416">
      <w:pPr>
        <w:autoSpaceDE w:val="0"/>
        <w:autoSpaceDN w:val="0"/>
        <w:adjustRightInd w:val="0"/>
      </w:pPr>
      <w:r>
        <w:rPr>
          <w:bdr w:val="nil"/>
          <w:lang w:val="es-ES"/>
        </w:rPr>
        <w:t>Los cuadros que aparecen a continuación ilustran los cambios en las tarifas que resultarían de la aprobación de la CPUC de esta solicitud, en comparación con los niveles tarifarios actuales.</w:t>
      </w:r>
    </w:p>
    <w:p w14:paraId="1632595D" w14:textId="77777777" w:rsidR="00E65932" w:rsidRDefault="00367BD4" w:rsidP="00E65932">
      <w:pPr>
        <w:autoSpaceDE w:val="0"/>
        <w:autoSpaceDN w:val="0"/>
        <w:adjustRightInd w:val="0"/>
        <w:jc w:val="both"/>
      </w:pPr>
    </w:p>
    <w:p w14:paraId="249AFEDB" w14:textId="77777777" w:rsidR="00E65932" w:rsidRDefault="00367BD4" w:rsidP="00E65932">
      <w:pPr>
        <w:autoSpaceDE w:val="0"/>
        <w:autoSpaceDN w:val="0"/>
        <w:adjustRightInd w:val="0"/>
        <w:jc w:val="both"/>
      </w:pPr>
    </w:p>
    <w:p w14:paraId="692FE8A1" w14:textId="77777777" w:rsidR="00E65932" w:rsidRPr="00A25F39" w:rsidRDefault="00367BD4" w:rsidP="00E65932">
      <w:pPr>
        <w:autoSpaceDE w:val="0"/>
        <w:autoSpaceDN w:val="0"/>
        <w:adjustRightInd w:val="0"/>
        <w:jc w:val="both"/>
      </w:pPr>
    </w:p>
    <w:tbl>
      <w:tblPr>
        <w:tblW w:w="778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191"/>
        <w:gridCol w:w="1701"/>
        <w:gridCol w:w="1275"/>
        <w:gridCol w:w="1276"/>
      </w:tblGrid>
      <w:tr w:rsidR="00144BDA" w14:paraId="5726A922" w14:textId="77777777" w:rsidTr="00EB258D">
        <w:trPr>
          <w:trHeight w:val="287"/>
        </w:trPr>
        <w:tc>
          <w:tcPr>
            <w:tcW w:w="2340" w:type="dxa"/>
            <w:tcBorders>
              <w:bottom w:val="nil"/>
            </w:tcBorders>
            <w:vAlign w:val="bottom"/>
          </w:tcPr>
          <w:p w14:paraId="6DFC56DB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14:paraId="049CFEC2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5E5FADF" w14:textId="77777777" w:rsidR="00E65932" w:rsidRDefault="00367BD4" w:rsidP="001074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32D5FECD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69CC461" w14:textId="77777777" w:rsidR="00E65932" w:rsidRDefault="00367BD4" w:rsidP="001074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44BDA" w14:paraId="65FBF851" w14:textId="77777777" w:rsidTr="00EB258D">
        <w:trPr>
          <w:trHeight w:val="786"/>
        </w:trPr>
        <w:tc>
          <w:tcPr>
            <w:tcW w:w="2340" w:type="dxa"/>
            <w:tcBorders>
              <w:top w:val="nil"/>
            </w:tcBorders>
            <w:vAlign w:val="bottom"/>
          </w:tcPr>
          <w:p w14:paraId="01336CC6" w14:textId="77777777" w:rsidR="00E65932" w:rsidRPr="00435197" w:rsidRDefault="008F6C28" w:rsidP="001074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  <w:bdr w:val="nil"/>
                <w:lang w:val="es-ES"/>
              </w:rPr>
              <w:t>Clase de cliente</w:t>
            </w:r>
          </w:p>
        </w:tc>
        <w:tc>
          <w:tcPr>
            <w:tcW w:w="1191" w:type="dxa"/>
            <w:tcBorders>
              <w:top w:val="nil"/>
            </w:tcBorders>
            <w:vAlign w:val="bottom"/>
          </w:tcPr>
          <w:p w14:paraId="2CE09F3A" w14:textId="77777777" w:rsidR="00E65932" w:rsidRPr="00435197" w:rsidRDefault="008F6C28" w:rsidP="001378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  <w:bdr w:val="nil"/>
                <w:lang w:val="es-ES"/>
              </w:rPr>
              <w:t>Tarifas promedio por clase en vigor el 3/1/2017</w:t>
            </w:r>
          </w:p>
        </w:tc>
        <w:tc>
          <w:tcPr>
            <w:tcW w:w="1701" w:type="dxa"/>
            <w:tcBorders>
              <w:top w:val="nil"/>
            </w:tcBorders>
          </w:tcPr>
          <w:p w14:paraId="40494FDC" w14:textId="77777777" w:rsidR="00E65932" w:rsidRDefault="008F6C28" w:rsidP="001074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bdr w:val="nil"/>
                <w:lang w:val="es-ES"/>
              </w:rPr>
              <w:t xml:space="preserve">Tarifas promedio por clase para 2021 que reflejan el aumento propuesto en los ingresos incluido en esta Solicitud </w:t>
            </w:r>
          </w:p>
          <w:p w14:paraId="57897D74" w14:textId="77777777" w:rsidR="00E65932" w:rsidRPr="00435197" w:rsidRDefault="008F6C28" w:rsidP="001074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bdr w:val="nil"/>
                <w:lang w:val="es-ES"/>
              </w:rPr>
              <w:t>(¢ / kWh)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14:paraId="509EBB15" w14:textId="77777777" w:rsidR="00E65932" w:rsidRDefault="008F6C28" w:rsidP="001074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bdr w:val="nil"/>
                <w:lang w:val="es-ES"/>
              </w:rPr>
              <w:t xml:space="preserve">Aumento total en la tarifa </w:t>
            </w:r>
          </w:p>
          <w:p w14:paraId="747BFCB4" w14:textId="77777777" w:rsidR="00E65932" w:rsidRPr="00435197" w:rsidRDefault="008F6C28" w:rsidP="001074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  <w:bdr w:val="nil"/>
                <w:lang w:val="es-ES"/>
              </w:rPr>
              <w:t>(¢ / kWh)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539A6AB1" w14:textId="77777777" w:rsidR="00E65932" w:rsidRPr="00435197" w:rsidRDefault="008F6C28" w:rsidP="001378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bdr w:val="nil"/>
                <w:lang w:val="es-ES"/>
              </w:rPr>
              <w:t>Aumento porcentual en la tarifa (%)</w:t>
            </w:r>
          </w:p>
        </w:tc>
      </w:tr>
      <w:tr w:rsidR="00144BDA" w14:paraId="45DB96FB" w14:textId="77777777" w:rsidTr="00EB258D">
        <w:trPr>
          <w:trHeight w:val="278"/>
        </w:trPr>
        <w:tc>
          <w:tcPr>
            <w:tcW w:w="2340" w:type="dxa"/>
          </w:tcPr>
          <w:p w14:paraId="0E722A79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1" w:type="dxa"/>
          </w:tcPr>
          <w:p w14:paraId="4CD41EC6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00AD8254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14:paraId="1B6D6F50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50541CA4" w14:textId="77777777" w:rsidR="00E65932" w:rsidRPr="00435197" w:rsidRDefault="00367BD4" w:rsidP="00107405">
            <w:pPr>
              <w:autoSpaceDE w:val="0"/>
              <w:autoSpaceDN w:val="0"/>
              <w:adjustRightInd w:val="0"/>
              <w:jc w:val="both"/>
            </w:pPr>
          </w:p>
        </w:tc>
      </w:tr>
      <w:tr w:rsidR="00144BDA" w14:paraId="6793B020" w14:textId="77777777" w:rsidTr="00EB258D">
        <w:trPr>
          <w:trHeight w:val="247"/>
        </w:trPr>
        <w:tc>
          <w:tcPr>
            <w:tcW w:w="2340" w:type="dxa"/>
            <w:vAlign w:val="bottom"/>
          </w:tcPr>
          <w:p w14:paraId="143C03C9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Residencial</w:t>
            </w:r>
          </w:p>
        </w:tc>
        <w:tc>
          <w:tcPr>
            <w:tcW w:w="1191" w:type="dxa"/>
          </w:tcPr>
          <w:p w14:paraId="5D69FF5F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24.990</w:t>
            </w:r>
          </w:p>
        </w:tc>
        <w:tc>
          <w:tcPr>
            <w:tcW w:w="1701" w:type="dxa"/>
          </w:tcPr>
          <w:p w14:paraId="4676D90C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25.058</w:t>
            </w:r>
          </w:p>
        </w:tc>
        <w:tc>
          <w:tcPr>
            <w:tcW w:w="1275" w:type="dxa"/>
          </w:tcPr>
          <w:p w14:paraId="58716CA9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0.068</w:t>
            </w:r>
          </w:p>
        </w:tc>
        <w:tc>
          <w:tcPr>
            <w:tcW w:w="1276" w:type="dxa"/>
          </w:tcPr>
          <w:p w14:paraId="12627E4B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0.27%</w:t>
            </w:r>
          </w:p>
        </w:tc>
      </w:tr>
      <w:tr w:rsidR="00144BDA" w14:paraId="58B122B8" w14:textId="77777777" w:rsidTr="00EB258D">
        <w:trPr>
          <w:trHeight w:val="263"/>
        </w:trPr>
        <w:tc>
          <w:tcPr>
            <w:tcW w:w="2340" w:type="dxa"/>
            <w:vAlign w:val="bottom"/>
          </w:tcPr>
          <w:p w14:paraId="27D8B443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Comercial pequeño</w:t>
            </w:r>
          </w:p>
        </w:tc>
        <w:tc>
          <w:tcPr>
            <w:tcW w:w="1191" w:type="dxa"/>
          </w:tcPr>
          <w:p w14:paraId="3F8832C0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23.928</w:t>
            </w:r>
          </w:p>
        </w:tc>
        <w:tc>
          <w:tcPr>
            <w:tcW w:w="1701" w:type="dxa"/>
          </w:tcPr>
          <w:p w14:paraId="670FC35E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23.994</w:t>
            </w:r>
          </w:p>
        </w:tc>
        <w:tc>
          <w:tcPr>
            <w:tcW w:w="1275" w:type="dxa"/>
          </w:tcPr>
          <w:p w14:paraId="62C6E242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0.066</w:t>
            </w:r>
          </w:p>
        </w:tc>
        <w:tc>
          <w:tcPr>
            <w:tcW w:w="1276" w:type="dxa"/>
          </w:tcPr>
          <w:p w14:paraId="02E2FA83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0.28%</w:t>
            </w:r>
          </w:p>
        </w:tc>
      </w:tr>
      <w:tr w:rsidR="00144BDA" w14:paraId="2CE1663B" w14:textId="77777777" w:rsidTr="00EB258D">
        <w:trPr>
          <w:trHeight w:val="287"/>
        </w:trPr>
        <w:tc>
          <w:tcPr>
            <w:tcW w:w="2340" w:type="dxa"/>
            <w:vAlign w:val="bottom"/>
          </w:tcPr>
          <w:p w14:paraId="1E8DD05A" w14:textId="77777777" w:rsidR="00E127D6" w:rsidRPr="004660D6" w:rsidRDefault="008F6C28" w:rsidP="00E127D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bdr w:val="nil"/>
                <w:lang w:val="es-ES"/>
              </w:rPr>
              <w:t>CeI mediano y grande*</w:t>
            </w:r>
          </w:p>
        </w:tc>
        <w:tc>
          <w:tcPr>
            <w:tcW w:w="1191" w:type="dxa"/>
          </w:tcPr>
          <w:p w14:paraId="417EDF91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19.850</w:t>
            </w:r>
          </w:p>
        </w:tc>
        <w:tc>
          <w:tcPr>
            <w:tcW w:w="1701" w:type="dxa"/>
          </w:tcPr>
          <w:p w14:paraId="3B539378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19.882</w:t>
            </w:r>
          </w:p>
        </w:tc>
        <w:tc>
          <w:tcPr>
            <w:tcW w:w="1275" w:type="dxa"/>
          </w:tcPr>
          <w:p w14:paraId="104D3B9D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0.032</w:t>
            </w:r>
          </w:p>
        </w:tc>
        <w:tc>
          <w:tcPr>
            <w:tcW w:w="1276" w:type="dxa"/>
          </w:tcPr>
          <w:p w14:paraId="7DF4A16A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0.16%</w:t>
            </w:r>
          </w:p>
        </w:tc>
      </w:tr>
      <w:tr w:rsidR="00144BDA" w14:paraId="52011445" w14:textId="77777777" w:rsidTr="00EB258D">
        <w:trPr>
          <w:trHeight w:val="263"/>
        </w:trPr>
        <w:tc>
          <w:tcPr>
            <w:tcW w:w="2340" w:type="dxa"/>
            <w:vAlign w:val="bottom"/>
          </w:tcPr>
          <w:p w14:paraId="5E1BAFB0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Agricultura</w:t>
            </w:r>
          </w:p>
        </w:tc>
        <w:tc>
          <w:tcPr>
            <w:tcW w:w="1191" w:type="dxa"/>
          </w:tcPr>
          <w:p w14:paraId="672FCD00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17.735</w:t>
            </w:r>
          </w:p>
        </w:tc>
        <w:tc>
          <w:tcPr>
            <w:tcW w:w="1701" w:type="dxa"/>
          </w:tcPr>
          <w:p w14:paraId="2FD85F94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17.775</w:t>
            </w:r>
          </w:p>
        </w:tc>
        <w:tc>
          <w:tcPr>
            <w:tcW w:w="1275" w:type="dxa"/>
          </w:tcPr>
          <w:p w14:paraId="1AD77DCB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0.040</w:t>
            </w:r>
          </w:p>
        </w:tc>
        <w:tc>
          <w:tcPr>
            <w:tcW w:w="1276" w:type="dxa"/>
          </w:tcPr>
          <w:p w14:paraId="5801A418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0.23%</w:t>
            </w:r>
          </w:p>
        </w:tc>
      </w:tr>
      <w:tr w:rsidR="00144BDA" w14:paraId="49A7A25E" w14:textId="77777777" w:rsidTr="00EB258D">
        <w:trPr>
          <w:trHeight w:val="247"/>
        </w:trPr>
        <w:tc>
          <w:tcPr>
            <w:tcW w:w="2340" w:type="dxa"/>
            <w:vAlign w:val="bottom"/>
          </w:tcPr>
          <w:p w14:paraId="0E7375F5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Iluminación</w:t>
            </w:r>
          </w:p>
        </w:tc>
        <w:tc>
          <w:tcPr>
            <w:tcW w:w="1191" w:type="dxa"/>
          </w:tcPr>
          <w:p w14:paraId="7E80F824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19.917</w:t>
            </w:r>
          </w:p>
        </w:tc>
        <w:tc>
          <w:tcPr>
            <w:tcW w:w="1701" w:type="dxa"/>
          </w:tcPr>
          <w:p w14:paraId="34BC6980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19.935</w:t>
            </w:r>
          </w:p>
        </w:tc>
        <w:tc>
          <w:tcPr>
            <w:tcW w:w="1275" w:type="dxa"/>
          </w:tcPr>
          <w:p w14:paraId="3B28270C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0.036</w:t>
            </w:r>
          </w:p>
        </w:tc>
        <w:tc>
          <w:tcPr>
            <w:tcW w:w="1276" w:type="dxa"/>
          </w:tcPr>
          <w:p w14:paraId="0E6EBF25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0.18%</w:t>
            </w:r>
          </w:p>
        </w:tc>
      </w:tr>
      <w:tr w:rsidR="00144BDA" w14:paraId="5654491F" w14:textId="77777777" w:rsidTr="00EB258D">
        <w:trPr>
          <w:trHeight w:val="278"/>
        </w:trPr>
        <w:tc>
          <w:tcPr>
            <w:tcW w:w="2340" w:type="dxa"/>
            <w:vAlign w:val="bottom"/>
          </w:tcPr>
          <w:p w14:paraId="3F0CC544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Total del sistema</w:t>
            </w:r>
          </w:p>
        </w:tc>
        <w:tc>
          <w:tcPr>
            <w:tcW w:w="1191" w:type="dxa"/>
          </w:tcPr>
          <w:p w14:paraId="67F8A8BA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22.122</w:t>
            </w:r>
          </w:p>
        </w:tc>
        <w:tc>
          <w:tcPr>
            <w:tcW w:w="1701" w:type="dxa"/>
          </w:tcPr>
          <w:p w14:paraId="496DDE68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22.171</w:t>
            </w:r>
          </w:p>
        </w:tc>
        <w:tc>
          <w:tcPr>
            <w:tcW w:w="1275" w:type="dxa"/>
          </w:tcPr>
          <w:p w14:paraId="16FA18C5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0.049</w:t>
            </w:r>
          </w:p>
        </w:tc>
        <w:tc>
          <w:tcPr>
            <w:tcW w:w="1276" w:type="dxa"/>
          </w:tcPr>
          <w:p w14:paraId="13950101" w14:textId="77777777" w:rsidR="00E127D6" w:rsidRPr="004660D6" w:rsidRDefault="008F6C28" w:rsidP="00E127D6">
            <w:pPr>
              <w:autoSpaceDE w:val="0"/>
              <w:autoSpaceDN w:val="0"/>
              <w:adjustRightInd w:val="0"/>
              <w:jc w:val="center"/>
            </w:pPr>
            <w:r>
              <w:rPr>
                <w:bdr w:val="nil"/>
                <w:lang w:val="es-ES"/>
              </w:rPr>
              <w:t>0.22%</w:t>
            </w:r>
          </w:p>
        </w:tc>
      </w:tr>
    </w:tbl>
    <w:p w14:paraId="7A860838" w14:textId="77777777" w:rsidR="00E65932" w:rsidRPr="004660D6" w:rsidRDefault="008F6C28" w:rsidP="00E65932">
      <w:pPr>
        <w:autoSpaceDE w:val="0"/>
        <w:autoSpaceDN w:val="0"/>
        <w:adjustRightInd w:val="0"/>
        <w:jc w:val="both"/>
      </w:pPr>
      <w:r>
        <w:rPr>
          <w:bdr w:val="nil"/>
          <w:lang w:val="es-ES"/>
        </w:rPr>
        <w:t xml:space="preserve">*CeI significa Comercial e Industrial </w:t>
      </w:r>
    </w:p>
    <w:p w14:paraId="02F64402" w14:textId="77777777" w:rsidR="00E65932" w:rsidRDefault="00367BD4" w:rsidP="00E65932"/>
    <w:p w14:paraId="3C9BB75A" w14:textId="77777777" w:rsidR="00E65932" w:rsidRDefault="00367BD4" w:rsidP="00E65932">
      <w:pPr>
        <w:rPr>
          <w:b/>
          <w:bCs/>
        </w:rPr>
      </w:pPr>
    </w:p>
    <w:p w14:paraId="3CD5BB22" w14:textId="77777777" w:rsidR="00E65932" w:rsidRDefault="008F6C28" w:rsidP="00E6593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bdr w:val="nil"/>
          <w:lang w:val="es-ES"/>
        </w:rPr>
        <w:t xml:space="preserve">AUMENTO ILUSTRATIVO EN LAS TARIFAS DE GAS </w:t>
      </w:r>
    </w:p>
    <w:p w14:paraId="6E78E41C" w14:textId="77777777" w:rsidR="00E65932" w:rsidRPr="00A25F39" w:rsidRDefault="00367BD4" w:rsidP="00E65932">
      <w:pPr>
        <w:autoSpaceDE w:val="0"/>
        <w:autoSpaceDN w:val="0"/>
        <w:adjustRightInd w:val="0"/>
        <w:jc w:val="center"/>
        <w:rPr>
          <w:b/>
          <w:bCs/>
        </w:rPr>
      </w:pPr>
    </w:p>
    <w:p w14:paraId="2ED4016E" w14:textId="77777777" w:rsidR="000B7AFD" w:rsidRPr="000B7AFD" w:rsidRDefault="008F6C28" w:rsidP="000B7AFD">
      <w:pPr>
        <w:rPr>
          <w:rFonts w:ascii="Arial" w:hAnsi="Arial" w:cs="Arial"/>
          <w:sz w:val="20"/>
          <w:szCs w:val="20"/>
        </w:rPr>
      </w:pPr>
      <w:r>
        <w:rPr>
          <w:bdr w:val="nil"/>
          <w:lang w:val="es-ES"/>
        </w:rPr>
        <w:t>SDG&amp;E ha estimado el impacto del aumento solicitado de $10.3 millones para 2021</w:t>
      </w:r>
    </w:p>
    <w:p w14:paraId="1647AB29" w14:textId="77777777" w:rsidR="00D50D39" w:rsidRDefault="008F6C28" w:rsidP="00E65932">
      <w:pPr>
        <w:autoSpaceDE w:val="0"/>
        <w:autoSpaceDN w:val="0"/>
        <w:adjustRightInd w:val="0"/>
        <w:rPr>
          <w:bdr w:val="nil"/>
          <w:lang w:val="es-ES"/>
        </w:rPr>
      </w:pPr>
      <w:r>
        <w:rPr>
          <w:bdr w:val="nil"/>
          <w:lang w:val="es-ES"/>
        </w:rPr>
        <w:t xml:space="preserve">en los ingresos de gas conforme a las tarifas propuestas según se muestra en los siguientes cuadros. La distribución real del aumento a cada clase de cliente depende de </w:t>
      </w:r>
      <w:r w:rsidR="00C41F7E">
        <w:rPr>
          <w:bdr w:val="nil"/>
          <w:lang w:val="es-ES"/>
        </w:rPr>
        <w:t>lo que</w:t>
      </w:r>
      <w:r>
        <w:rPr>
          <w:bdr w:val="nil"/>
          <w:lang w:val="es-ES"/>
        </w:rPr>
        <w:t xml:space="preserve"> la CPUC decida en última instancia </w:t>
      </w:r>
      <w:r w:rsidR="00C41F7E">
        <w:rPr>
          <w:bdr w:val="nil"/>
          <w:lang w:val="es-ES"/>
        </w:rPr>
        <w:t xml:space="preserve">acerca de </w:t>
      </w:r>
      <w:r w:rsidR="00536C66">
        <w:rPr>
          <w:bdr w:val="nil"/>
          <w:lang w:val="es-ES"/>
        </w:rPr>
        <w:t>todas las cuestiones</w:t>
      </w:r>
      <w:r>
        <w:rPr>
          <w:bdr w:val="nil"/>
          <w:lang w:val="es-ES"/>
        </w:rPr>
        <w:t xml:space="preserve"> comprendid</w:t>
      </w:r>
      <w:r w:rsidR="00536C66">
        <w:rPr>
          <w:bdr w:val="nil"/>
          <w:lang w:val="es-ES"/>
        </w:rPr>
        <w:t>a</w:t>
      </w:r>
      <w:r>
        <w:rPr>
          <w:bdr w:val="nil"/>
          <w:lang w:val="es-ES"/>
        </w:rPr>
        <w:t xml:space="preserve">s en la solicitud. </w:t>
      </w:r>
    </w:p>
    <w:p w14:paraId="567E0156" w14:textId="77777777" w:rsidR="00D50D39" w:rsidRDefault="00D50D39">
      <w:pPr>
        <w:spacing w:after="200" w:line="276" w:lineRule="auto"/>
        <w:rPr>
          <w:bdr w:val="nil"/>
          <w:lang w:val="es-ES"/>
        </w:rPr>
      </w:pPr>
      <w:r>
        <w:rPr>
          <w:bdr w:val="nil"/>
          <w:lang w:val="es-ES"/>
        </w:rPr>
        <w:br w:type="page"/>
      </w:r>
    </w:p>
    <w:p w14:paraId="3B0617FC" w14:textId="77777777" w:rsidR="00F864C4" w:rsidRDefault="00367BD4" w:rsidP="00E65932">
      <w:pPr>
        <w:autoSpaceDE w:val="0"/>
        <w:autoSpaceDN w:val="0"/>
        <w:adjustRightInd w:val="0"/>
      </w:pPr>
    </w:p>
    <w:tbl>
      <w:tblPr>
        <w:tblW w:w="7203" w:type="dxa"/>
        <w:tblInd w:w="-165" w:type="dxa"/>
        <w:tblLook w:val="04A0" w:firstRow="1" w:lastRow="0" w:firstColumn="1" w:lastColumn="0" w:noHBand="0" w:noVBand="1"/>
      </w:tblPr>
      <w:tblGrid>
        <w:gridCol w:w="4260"/>
        <w:gridCol w:w="1772"/>
        <w:gridCol w:w="1171"/>
      </w:tblGrid>
      <w:tr w:rsidR="00144BDA" w14:paraId="50595E75" w14:textId="77777777" w:rsidTr="000C7FE8">
        <w:trPr>
          <w:trHeight w:val="300"/>
        </w:trPr>
        <w:tc>
          <w:tcPr>
            <w:tcW w:w="4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ECEB" w14:textId="77777777" w:rsidR="000B7AFD" w:rsidRPr="00482C83" w:rsidRDefault="008F6C28">
            <w:pPr>
              <w:jc w:val="both"/>
              <w:rPr>
                <w:b/>
                <w:bCs/>
                <w:color w:val="000000"/>
              </w:rPr>
            </w:pPr>
            <w:r w:rsidRPr="00482C83">
              <w:rPr>
                <w:b/>
                <w:bCs/>
                <w:color w:val="000000"/>
                <w:bdr w:val="nil"/>
                <w:lang w:val="es-ES"/>
              </w:rPr>
              <w:t>Clase de cliente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7F36C" w14:textId="77777777" w:rsidR="000B7AFD" w:rsidRPr="00482C83" w:rsidRDefault="00482C83">
            <w:pPr>
              <w:jc w:val="center"/>
              <w:rPr>
                <w:b/>
                <w:bCs/>
                <w:color w:val="000000"/>
              </w:rPr>
            </w:pPr>
            <w:r w:rsidRPr="00482C83">
              <w:rPr>
                <w:b/>
                <w:bCs/>
                <w:color w:val="000000"/>
              </w:rPr>
              <w:t>¢/</w:t>
            </w:r>
            <w:proofErr w:type="spellStart"/>
            <w:r w:rsidRPr="00482C83">
              <w:rPr>
                <w:b/>
                <w:bCs/>
                <w:color w:val="000000"/>
              </w:rPr>
              <w:t>termia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6068" w14:textId="77777777" w:rsidR="000B7AFD" w:rsidRDefault="00482C83" w:rsidP="00482C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bdr w:val="nil"/>
                <w:lang w:val="es-ES"/>
              </w:rPr>
              <w:t xml:space="preserve">Aumento </w:t>
            </w:r>
            <w:r w:rsidR="008F6C28" w:rsidRPr="00482C83">
              <w:rPr>
                <w:b/>
                <w:bCs/>
                <w:color w:val="000000"/>
                <w:bdr w:val="nil"/>
                <w:lang w:val="es-ES"/>
              </w:rPr>
              <w:t xml:space="preserve">% </w:t>
            </w:r>
          </w:p>
        </w:tc>
      </w:tr>
      <w:tr w:rsidR="00144BDA" w14:paraId="740DDB91" w14:textId="77777777" w:rsidTr="000C7FE8">
        <w:trPr>
          <w:trHeight w:val="340"/>
        </w:trPr>
        <w:tc>
          <w:tcPr>
            <w:tcW w:w="4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97ED5" w14:textId="77777777" w:rsidR="000B7AFD" w:rsidRDefault="00367BD4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5A11" w14:textId="77777777" w:rsidR="000B7AFD" w:rsidRDefault="00482C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il"/>
                <w:lang w:val="es-ES"/>
              </w:rPr>
              <w:t>anual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309DA" w14:textId="77777777" w:rsidR="000B7AFD" w:rsidRDefault="00367BD4">
            <w:pPr>
              <w:rPr>
                <w:b/>
                <w:bCs/>
                <w:color w:val="000000"/>
              </w:rPr>
            </w:pPr>
          </w:p>
        </w:tc>
      </w:tr>
      <w:tr w:rsidR="00144BDA" w14:paraId="1884BB65" w14:textId="77777777" w:rsidTr="000C7FE8">
        <w:trPr>
          <w:trHeight w:val="320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2EAE" w14:textId="77777777" w:rsidR="000B7AFD" w:rsidRDefault="008F6C28">
            <w:pPr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Residencial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9D5B" w14:textId="77777777" w:rsidR="000B7AFD" w:rsidRDefault="008F6C28" w:rsidP="008572CD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 xml:space="preserve">0.03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8539" w14:textId="77777777" w:rsidR="000B7AFD" w:rsidRDefault="008F6C28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2.9%</w:t>
            </w:r>
          </w:p>
        </w:tc>
      </w:tr>
      <w:tr w:rsidR="00144BDA" w14:paraId="263978C7" w14:textId="77777777" w:rsidTr="000C7FE8">
        <w:trPr>
          <w:trHeight w:val="320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C372" w14:textId="77777777" w:rsidR="000B7AFD" w:rsidRDefault="008F6C28">
            <w:pPr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Comercial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B744" w14:textId="77777777" w:rsidR="000B7AFD" w:rsidRDefault="008F6C28" w:rsidP="008572CD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 xml:space="preserve">0.63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9727" w14:textId="77777777" w:rsidR="000B7AFD" w:rsidRDefault="008F6C28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1.7%</w:t>
            </w:r>
          </w:p>
        </w:tc>
      </w:tr>
      <w:tr w:rsidR="00144BDA" w14:paraId="50A915B3" w14:textId="77777777" w:rsidTr="000C7FE8">
        <w:trPr>
          <w:trHeight w:val="320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B3A52" w14:textId="77777777" w:rsidR="000B7AFD" w:rsidRDefault="008F6C28">
            <w:pPr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Vehículos de gas natural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0EF7" w14:textId="77777777" w:rsidR="000B7AFD" w:rsidRDefault="008F6C28" w:rsidP="008572CD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 xml:space="preserve">0.03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F5E4" w14:textId="77777777" w:rsidR="000B7AFD" w:rsidRDefault="008F6C28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0.2%</w:t>
            </w:r>
          </w:p>
        </w:tc>
      </w:tr>
      <w:tr w:rsidR="00144BDA" w14:paraId="18EDDC46" w14:textId="77777777" w:rsidTr="000C7FE8">
        <w:trPr>
          <w:trHeight w:val="630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671F" w14:textId="77777777" w:rsidR="000B7AFD" w:rsidRDefault="008F6C28">
            <w:pPr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Industrial grande (servicio por nivel de distribución)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C3BD" w14:textId="77777777" w:rsidR="000B7AFD" w:rsidRDefault="008F6C28" w:rsidP="008572CD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 xml:space="preserve">0.31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FB55" w14:textId="77777777" w:rsidR="000B7AFD" w:rsidRDefault="008F6C28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3.3%</w:t>
            </w:r>
          </w:p>
        </w:tc>
      </w:tr>
      <w:tr w:rsidR="00144BDA" w14:paraId="4322BBBA" w14:textId="77777777" w:rsidTr="000C7FE8">
        <w:trPr>
          <w:trHeight w:val="630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2E96" w14:textId="77777777" w:rsidR="000B7AFD" w:rsidRDefault="008F6C28">
            <w:pPr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Industrial grande (servicio por nivel de transmisión)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236F" w14:textId="77777777" w:rsidR="000B7AFD" w:rsidRDefault="008F6C28" w:rsidP="008572CD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 xml:space="preserve">0.004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2561" w14:textId="77777777" w:rsidR="000B7AFD" w:rsidRDefault="008F6C28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0.2%</w:t>
            </w:r>
          </w:p>
        </w:tc>
      </w:tr>
      <w:tr w:rsidR="00144BDA" w14:paraId="75661419" w14:textId="77777777" w:rsidTr="000C7FE8">
        <w:trPr>
          <w:trHeight w:val="320"/>
        </w:trPr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9EF8" w14:textId="77777777" w:rsidR="000B7AFD" w:rsidRDefault="008F6C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bdr w:val="nil"/>
                <w:lang w:val="es-ES"/>
              </w:rPr>
              <w:t>Total del sistema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661C" w14:textId="77777777" w:rsidR="000B7AFD" w:rsidRDefault="008F6C28" w:rsidP="008572CD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 xml:space="preserve">0.84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2E17" w14:textId="77777777" w:rsidR="000B7AFD" w:rsidRDefault="008F6C28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nil"/>
                <w:lang w:val="es-ES"/>
              </w:rPr>
              <w:t>2.6%</w:t>
            </w:r>
          </w:p>
        </w:tc>
      </w:tr>
    </w:tbl>
    <w:p w14:paraId="681E0AED" w14:textId="77777777" w:rsidR="00E65932" w:rsidRDefault="00367BD4" w:rsidP="00E65932">
      <w:pPr>
        <w:autoSpaceDE w:val="0"/>
        <w:autoSpaceDN w:val="0"/>
        <w:adjustRightInd w:val="0"/>
        <w:jc w:val="center"/>
      </w:pPr>
    </w:p>
    <w:p w14:paraId="63960C13" w14:textId="77777777" w:rsidR="00E65932" w:rsidRDefault="00367BD4" w:rsidP="00E65932">
      <w:pPr>
        <w:autoSpaceDE w:val="0"/>
        <w:autoSpaceDN w:val="0"/>
        <w:adjustRightInd w:val="0"/>
        <w:jc w:val="center"/>
        <w:rPr>
          <w:b/>
          <w:bCs/>
        </w:rPr>
      </w:pPr>
    </w:p>
    <w:p w14:paraId="0E5A16E9" w14:textId="77777777" w:rsidR="00E65932" w:rsidRDefault="008F6C28" w:rsidP="00E65932">
      <w:pPr>
        <w:autoSpaceDE w:val="0"/>
        <w:autoSpaceDN w:val="0"/>
        <w:adjustRightInd w:val="0"/>
      </w:pPr>
      <w:r>
        <w:rPr>
          <w:bdr w:val="nil"/>
          <w:lang w:val="es-ES"/>
        </w:rPr>
        <w:t xml:space="preserve">Si la CPUC aprueba la </w:t>
      </w:r>
      <w:r w:rsidR="00A20A65">
        <w:rPr>
          <w:bdr w:val="nil"/>
          <w:lang w:val="es-ES"/>
        </w:rPr>
        <w:t>petición</w:t>
      </w:r>
      <w:r>
        <w:rPr>
          <w:bdr w:val="nil"/>
          <w:lang w:val="es-ES"/>
        </w:rPr>
        <w:t xml:space="preserve"> de SDG&amp;E para un aumento en las tarifas de gas y el método propuesto para la asignación de tarifas, la factura de un cliente residencial típico con servicios en paquete que consume 25 termias al mes aumentaría $0.68, o 1.8 %, de $38.52 a $39.21. Las facturas por cliente individual pueden diferir. </w:t>
      </w:r>
    </w:p>
    <w:p w14:paraId="312DB29A" w14:textId="77777777" w:rsidR="00F63061" w:rsidRDefault="00367BD4" w:rsidP="00E65932">
      <w:pPr>
        <w:autoSpaceDE w:val="0"/>
        <w:autoSpaceDN w:val="0"/>
        <w:adjustRightInd w:val="0"/>
        <w:rPr>
          <w:b/>
          <w:bCs/>
        </w:rPr>
      </w:pPr>
    </w:p>
    <w:p w14:paraId="41297C23" w14:textId="77777777" w:rsidR="00F63061" w:rsidRDefault="008F6C28" w:rsidP="00F630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bdr w:val="nil"/>
          <w:lang w:val="es-ES"/>
        </w:rPr>
        <w:t>Para mayor información sobre estas propuestas, puede comunicarse a la línea de Servicio al Cliente de SDG&amp;E al 1-800-311-SDGE (7343).</w:t>
      </w:r>
    </w:p>
    <w:p w14:paraId="6F8C1B69" w14:textId="77777777" w:rsidR="00F63061" w:rsidRDefault="00367BD4" w:rsidP="00E65932">
      <w:pPr>
        <w:autoSpaceDE w:val="0"/>
        <w:autoSpaceDN w:val="0"/>
        <w:adjustRightInd w:val="0"/>
        <w:rPr>
          <w:b/>
          <w:bCs/>
        </w:rPr>
      </w:pPr>
    </w:p>
    <w:p w14:paraId="6D047D08" w14:textId="77777777" w:rsidR="00E65932" w:rsidRDefault="00367BD4" w:rsidP="00E65932">
      <w:pPr>
        <w:autoSpaceDE w:val="0"/>
        <w:autoSpaceDN w:val="0"/>
        <w:adjustRightInd w:val="0"/>
        <w:jc w:val="center"/>
        <w:rPr>
          <w:b/>
          <w:bCs/>
        </w:rPr>
      </w:pPr>
    </w:p>
    <w:p w14:paraId="603D9FB4" w14:textId="77777777" w:rsidR="00E65932" w:rsidRPr="00A25F39" w:rsidRDefault="008F6C28" w:rsidP="00E6593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bdr w:val="nil"/>
          <w:lang w:val="es-ES"/>
        </w:rPr>
        <w:t>PARA MÁS INFORMACIÓN</w:t>
      </w:r>
    </w:p>
    <w:p w14:paraId="3724A9B6" w14:textId="77777777" w:rsidR="000C7FE8" w:rsidRDefault="00367BD4" w:rsidP="00E65932">
      <w:pPr>
        <w:autoSpaceDE w:val="0"/>
        <w:autoSpaceDN w:val="0"/>
        <w:adjustRightInd w:val="0"/>
        <w:rPr>
          <w:b/>
          <w:bCs/>
        </w:rPr>
      </w:pPr>
    </w:p>
    <w:p w14:paraId="148F857C" w14:textId="77777777" w:rsidR="000C7FE8" w:rsidRPr="00A25F39" w:rsidRDefault="00367BD4" w:rsidP="00E65932">
      <w:pPr>
        <w:autoSpaceDE w:val="0"/>
        <w:autoSpaceDN w:val="0"/>
        <w:adjustRightInd w:val="0"/>
        <w:rPr>
          <w:b/>
          <w:bCs/>
        </w:rPr>
      </w:pPr>
    </w:p>
    <w:p w14:paraId="61009BC5" w14:textId="77777777" w:rsidR="00E65932" w:rsidRDefault="008F6C28" w:rsidP="00E65932">
      <w:pPr>
        <w:rPr>
          <w:sz w:val="22"/>
          <w:szCs w:val="22"/>
        </w:rPr>
      </w:pPr>
      <w:r>
        <w:rPr>
          <w:sz w:val="22"/>
          <w:szCs w:val="22"/>
          <w:bdr w:val="nil"/>
          <w:lang w:val="es-ES"/>
        </w:rPr>
        <w:t xml:space="preserve">Puede solicitar mayor información u obtener una copia de la solicitud y los anexos relacionados escribiendo a: </w:t>
      </w:r>
      <w:proofErr w:type="spellStart"/>
      <w:r>
        <w:rPr>
          <w:sz w:val="22"/>
          <w:szCs w:val="22"/>
          <w:bdr w:val="nil"/>
          <w:lang w:val="es-ES"/>
        </w:rPr>
        <w:t>Will</w:t>
      </w:r>
      <w:proofErr w:type="spellEnd"/>
      <w:r>
        <w:rPr>
          <w:sz w:val="22"/>
          <w:szCs w:val="22"/>
          <w:bdr w:val="nil"/>
          <w:lang w:val="es-ES"/>
        </w:rPr>
        <w:t xml:space="preserve"> </w:t>
      </w:r>
      <w:proofErr w:type="spellStart"/>
      <w:r>
        <w:rPr>
          <w:sz w:val="22"/>
          <w:szCs w:val="22"/>
          <w:bdr w:val="nil"/>
          <w:lang w:val="es-ES"/>
        </w:rPr>
        <w:t>Fuller</w:t>
      </w:r>
      <w:proofErr w:type="spellEnd"/>
      <w:r>
        <w:rPr>
          <w:sz w:val="22"/>
          <w:szCs w:val="22"/>
          <w:bdr w:val="nil"/>
          <w:lang w:val="es-ES"/>
        </w:rPr>
        <w:t xml:space="preserve">, </w:t>
      </w:r>
      <w:proofErr w:type="spellStart"/>
      <w:r>
        <w:rPr>
          <w:sz w:val="22"/>
          <w:szCs w:val="22"/>
          <w:bdr w:val="nil"/>
          <w:lang w:val="es-ES"/>
        </w:rPr>
        <w:t>Regulatory</w:t>
      </w:r>
      <w:proofErr w:type="spellEnd"/>
      <w:r>
        <w:rPr>
          <w:sz w:val="22"/>
          <w:szCs w:val="22"/>
          <w:bdr w:val="nil"/>
          <w:lang w:val="es-ES"/>
        </w:rPr>
        <w:t xml:space="preserve"> Case Manager, 8330 Century Park Court, San Diego, CA 92123. SDG&amp;E </w:t>
      </w:r>
      <w:r w:rsidR="00767519">
        <w:rPr>
          <w:sz w:val="22"/>
          <w:szCs w:val="22"/>
          <w:bdr w:val="nil"/>
          <w:lang w:val="es-ES"/>
        </w:rPr>
        <w:t>brindará</w:t>
      </w:r>
      <w:r>
        <w:rPr>
          <w:sz w:val="22"/>
          <w:szCs w:val="22"/>
          <w:bdr w:val="nil"/>
          <w:lang w:val="es-ES"/>
        </w:rPr>
        <w:t xml:space="preserve"> una copia de esta solicitud, testimonios incluidos, previa solicitud. Se pueden revisar la solicitud y los anexos de SDG&amp;E en la Central Files Office de la CPUC, previa cita. Para más información, póngase en contacto con ellos escribiendo a </w:t>
      </w:r>
      <w:r>
        <w:rPr>
          <w:color w:val="0000FF"/>
          <w:u w:val="single"/>
          <w:bdr w:val="nil"/>
          <w:lang w:val="es-ES"/>
        </w:rPr>
        <w:t>aljcentralfilesid@cpuc.ca.gov</w:t>
      </w:r>
      <w:r>
        <w:rPr>
          <w:sz w:val="22"/>
          <w:szCs w:val="22"/>
          <w:bdr w:val="nil"/>
          <w:lang w:val="es-ES"/>
        </w:rPr>
        <w:t xml:space="preserve"> o llamando al (415) 703-2045. Una copia de la solicitud y cualesquiera enmiendas también podrán inspeccionarse en las siguientes oficinas comerciales de SDG&amp;E:</w:t>
      </w:r>
    </w:p>
    <w:p w14:paraId="6F64B778" w14:textId="77777777" w:rsidR="00E65932" w:rsidRDefault="00367BD4" w:rsidP="00E65932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144BDA" w14:paraId="560B722F" w14:textId="77777777" w:rsidTr="0010740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5DF6DCF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436 H St.</w:t>
            </w:r>
          </w:p>
          <w:p w14:paraId="67845160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Chula Vista, CA 91910</w:t>
            </w:r>
          </w:p>
          <w:p w14:paraId="5A32AC09" w14:textId="77777777" w:rsidR="00E65932" w:rsidRDefault="00367BD4" w:rsidP="00107405">
            <w:pPr>
              <w:jc w:val="both"/>
            </w:pPr>
          </w:p>
          <w:p w14:paraId="64FEBF24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2405 E. Plaza Blvd.</w:t>
            </w:r>
          </w:p>
          <w:p w14:paraId="1BF7BB2C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National City, CA 91950</w:t>
            </w:r>
          </w:p>
          <w:p w14:paraId="09D43A77" w14:textId="77777777" w:rsidR="00E65932" w:rsidRDefault="00367BD4" w:rsidP="00107405">
            <w:pPr>
              <w:jc w:val="both"/>
            </w:pPr>
          </w:p>
          <w:p w14:paraId="2DD3928A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440 Beech St.</w:t>
            </w:r>
          </w:p>
          <w:p w14:paraId="28A99186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San Diego, CA 92101</w:t>
            </w:r>
          </w:p>
          <w:p w14:paraId="0C408FE9" w14:textId="77777777" w:rsidR="00E65932" w:rsidRDefault="00367BD4" w:rsidP="00107405">
            <w:pPr>
              <w:jc w:val="both"/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3DD8309" w14:textId="77777777" w:rsidR="00E65932" w:rsidRPr="000C7FE8" w:rsidRDefault="008F6C28" w:rsidP="00107405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bdr w:val="nil"/>
                <w:lang w:val="es-ES"/>
              </w:rPr>
              <w:t>104 N. Johnson Ave.</w:t>
            </w:r>
          </w:p>
          <w:p w14:paraId="03F8BC40" w14:textId="77777777" w:rsidR="00E65932" w:rsidRPr="000C7FE8" w:rsidRDefault="008F6C28" w:rsidP="00107405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bdr w:val="nil"/>
                <w:lang w:val="es-ES"/>
              </w:rPr>
              <w:t>El Cajon, CA 92020</w:t>
            </w:r>
          </w:p>
          <w:p w14:paraId="785A9DC4" w14:textId="77777777" w:rsidR="00E65932" w:rsidRPr="000C7FE8" w:rsidRDefault="00367BD4" w:rsidP="00107405">
            <w:pPr>
              <w:jc w:val="both"/>
              <w:rPr>
                <w:lang w:val="es-ES"/>
              </w:rPr>
            </w:pPr>
          </w:p>
          <w:p w14:paraId="47636316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336 Euclid Ave.</w:t>
            </w:r>
          </w:p>
          <w:p w14:paraId="4ADD18A3" w14:textId="77777777" w:rsidR="00E65932" w:rsidRDefault="008F6C28" w:rsidP="00107405">
            <w:pPr>
              <w:jc w:val="both"/>
            </w:pPr>
            <w:r>
              <w:rPr>
                <w:sz w:val="22"/>
                <w:szCs w:val="22"/>
                <w:bdr w:val="nil"/>
                <w:lang w:val="es-ES"/>
              </w:rPr>
              <w:t>San Diego, CA 92114</w:t>
            </w:r>
          </w:p>
          <w:p w14:paraId="1F06F04C" w14:textId="77777777" w:rsidR="00E65932" w:rsidRDefault="00367BD4" w:rsidP="00107405">
            <w:pPr>
              <w:jc w:val="both"/>
            </w:pPr>
          </w:p>
          <w:p w14:paraId="683D473C" w14:textId="77777777" w:rsidR="00E65932" w:rsidRDefault="00367BD4" w:rsidP="00107405">
            <w:pPr>
              <w:jc w:val="both"/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1E2A869" w14:textId="77777777" w:rsidR="00E65932" w:rsidRDefault="008F6C28" w:rsidP="00107405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bdr w:val="nil"/>
                <w:lang w:val="es-ES"/>
              </w:rPr>
              <w:t>644 W. Mission Ave.</w:t>
            </w:r>
          </w:p>
          <w:p w14:paraId="3F636EEE" w14:textId="77777777" w:rsidR="00E65932" w:rsidRDefault="008F6C28" w:rsidP="00107405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bdr w:val="nil"/>
                <w:lang w:val="es-ES"/>
              </w:rPr>
              <w:t>Escondido, CA 92025</w:t>
            </w:r>
          </w:p>
          <w:p w14:paraId="64A36F6F" w14:textId="77777777" w:rsidR="00E65932" w:rsidRDefault="00367BD4" w:rsidP="00107405">
            <w:pPr>
              <w:jc w:val="both"/>
              <w:rPr>
                <w:lang w:val="it-IT"/>
              </w:rPr>
            </w:pPr>
          </w:p>
          <w:p w14:paraId="6CF6E065" w14:textId="77777777" w:rsidR="00E65932" w:rsidRDefault="00367BD4" w:rsidP="00107405">
            <w:pPr>
              <w:jc w:val="both"/>
            </w:pPr>
          </w:p>
        </w:tc>
      </w:tr>
    </w:tbl>
    <w:p w14:paraId="102859B5" w14:textId="77777777" w:rsidR="00E65932" w:rsidRDefault="008F6C28" w:rsidP="00E65932">
      <w:pPr>
        <w:rPr>
          <w:sz w:val="22"/>
          <w:szCs w:val="22"/>
        </w:rPr>
      </w:pPr>
      <w:r>
        <w:rPr>
          <w:sz w:val="22"/>
          <w:szCs w:val="22"/>
          <w:bdr w:val="nil"/>
          <w:lang w:val="es-ES"/>
        </w:rPr>
        <w:t xml:space="preserve">La solicitud y los anexos relacionados también puede encontrarlos electrónicamente en el sitio web de SDG&amp;E en </w:t>
      </w:r>
      <w:hyperlink r:id="rId5" w:history="1">
        <w:r>
          <w:rPr>
            <w:color w:val="0000FF"/>
            <w:sz w:val="22"/>
            <w:szCs w:val="22"/>
            <w:u w:val="single"/>
            <w:bdr w:val="nil"/>
            <w:lang w:val="es-ES"/>
          </w:rPr>
          <w:t>http://www.sdge.com/regulatory/cpuc.shtml</w:t>
        </w:r>
      </w:hyperlink>
      <w:r>
        <w:rPr>
          <w:color w:val="0000FF"/>
          <w:sz w:val="22"/>
          <w:szCs w:val="22"/>
          <w:u w:val="single"/>
          <w:bdr w:val="nil"/>
          <w:lang w:val="es-ES"/>
        </w:rPr>
        <w:t>.</w:t>
      </w:r>
    </w:p>
    <w:p w14:paraId="7706260E" w14:textId="77777777" w:rsidR="00E65932" w:rsidRDefault="00367BD4" w:rsidP="00E65932">
      <w:pPr>
        <w:rPr>
          <w:color w:val="0000FF"/>
          <w:sz w:val="22"/>
          <w:szCs w:val="22"/>
          <w:u w:val="single"/>
        </w:rPr>
      </w:pPr>
    </w:p>
    <w:p w14:paraId="41EED4DB" w14:textId="77777777" w:rsidR="00E65932" w:rsidRDefault="008F6C28" w:rsidP="00E65932">
      <w:r>
        <w:rPr>
          <w:sz w:val="22"/>
          <w:szCs w:val="22"/>
          <w:bdr w:val="nil"/>
          <w:lang w:val="es-ES"/>
        </w:rPr>
        <w:lastRenderedPageBreak/>
        <w:t xml:space="preserve">Habrá copias de este encarte de factura para su consulta e impresión en el sitio web de SDG&amp;E en </w:t>
      </w:r>
      <w:hyperlink r:id="rId6" w:history="1">
        <w:r>
          <w:rPr>
            <w:color w:val="0000FF"/>
            <w:u w:val="single"/>
            <w:bdr w:val="nil"/>
            <w:lang w:val="es-ES"/>
          </w:rPr>
          <w:t>www.sdge.com/billinserts/regulatory.shtml</w:t>
        </w:r>
      </w:hyperlink>
      <w:r>
        <w:rPr>
          <w:bdr w:val="nil"/>
          <w:lang w:val="es-ES"/>
        </w:rPr>
        <w:t>.</w:t>
      </w:r>
    </w:p>
    <w:p w14:paraId="0268B373" w14:textId="77777777" w:rsidR="00E65932" w:rsidRDefault="00367BD4" w:rsidP="00E65932">
      <w:pPr>
        <w:pStyle w:val="BodyText"/>
        <w:spacing w:after="0"/>
        <w:rPr>
          <w:b/>
        </w:rPr>
      </w:pPr>
    </w:p>
    <w:p w14:paraId="05B8E6BF" w14:textId="77777777" w:rsidR="00E65932" w:rsidRDefault="008F6C28" w:rsidP="000C7FE8">
      <w:pPr>
        <w:pStyle w:val="BodyText"/>
        <w:spacing w:after="0"/>
        <w:jc w:val="center"/>
        <w:rPr>
          <w:b/>
          <w:bCs/>
        </w:rPr>
      </w:pPr>
      <w:r>
        <w:rPr>
          <w:b/>
          <w:bCs/>
          <w:bdr w:val="nil"/>
          <w:lang w:val="es-ES"/>
        </w:rPr>
        <w:t>PROCESO DE LA CPUC</w:t>
      </w:r>
    </w:p>
    <w:p w14:paraId="2178E80F" w14:textId="77777777" w:rsidR="0037789D" w:rsidRPr="000C7FE8" w:rsidRDefault="00367BD4" w:rsidP="000C7FE8">
      <w:pPr>
        <w:pStyle w:val="BodyText"/>
        <w:spacing w:after="0"/>
        <w:jc w:val="center"/>
        <w:rPr>
          <w:b/>
          <w:bCs/>
        </w:rPr>
      </w:pPr>
    </w:p>
    <w:p w14:paraId="366B5A89" w14:textId="77777777" w:rsidR="00E65932" w:rsidRDefault="008F6C28" w:rsidP="00E65932">
      <w:r>
        <w:rPr>
          <w:bdr w:val="nil"/>
          <w:lang w:val="es-ES"/>
        </w:rPr>
        <w:t xml:space="preserve">La presente solicitud será asignada a un Juez de Derecho Administrativo (Juez) quien determinará cómo se recibirán las pruebas y otros documentos relacionados, necesarios para que la CPUC establezca un acta en la </w:t>
      </w:r>
      <w:r w:rsidR="00173E36">
        <w:rPr>
          <w:bdr w:val="nil"/>
          <w:lang w:val="es-ES"/>
        </w:rPr>
        <w:t>cual</w:t>
      </w:r>
      <w:r>
        <w:rPr>
          <w:bdr w:val="nil"/>
          <w:lang w:val="es-ES"/>
        </w:rPr>
        <w:t xml:space="preserve"> basar su decisión. Las audiencias para la presentación de pruebas pueden llevarse a cabo en donde las partes que aparecen en el acta presentarán su testimonio y pueden estar sujetas a un contrainterrogatorio por otras de las partes. Estas audiencias para la presentación de pruebas están abiertas al público, pero sólo las partes que aparecen en el acta pueden participar.</w:t>
      </w:r>
    </w:p>
    <w:p w14:paraId="4F7D1538" w14:textId="77777777" w:rsidR="00E65932" w:rsidRDefault="00367BD4" w:rsidP="00E65932"/>
    <w:p w14:paraId="0CA3E69B" w14:textId="77777777" w:rsidR="00E65932" w:rsidRDefault="008F6C28" w:rsidP="00E65932">
      <w:r>
        <w:rPr>
          <w:bdr w:val="nil"/>
          <w:lang w:val="es-ES"/>
        </w:rPr>
        <w:t>Después de considerar todas las propuestas y pruebas presentadas durante el proceso formal de las audiencias, el Juez asignado emitirá una propuesta de decisión que tal vez adopte la propuesta de SDG&amp;E, la modifique o la deniegue. Cualquier Comisionado de la CPUC puede proponer una decisión alterna. La decisión propuesta y cualquier decisión alterna se discutirán y someterán a voto en una Reunión de Votación de la CPUC, que se programe.</w:t>
      </w:r>
    </w:p>
    <w:p w14:paraId="06D272F2" w14:textId="77777777" w:rsidR="00E65932" w:rsidRDefault="00367BD4" w:rsidP="00E65932"/>
    <w:p w14:paraId="52906EF3" w14:textId="77777777" w:rsidR="00E65932" w:rsidRDefault="008F6C28" w:rsidP="00E65932">
      <w:r>
        <w:rPr>
          <w:bdr w:val="nil"/>
          <w:lang w:val="es-ES"/>
        </w:rPr>
        <w:t xml:space="preserve">La Oficina de Defensores del Contribuyente (ORA) puede examinar esta solicitud.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seguro. ORA cuenta con un personal multidisciplinario con pericia en economía, finanzas, contabilidad e ingeniería. Para más información sobre ORA, por favor llame al (415) 703-1584, envíe un mensaje por correo electrónico a </w:t>
      </w:r>
      <w:r>
        <w:rPr>
          <w:color w:val="0000FF"/>
          <w:u w:val="single"/>
          <w:bdr w:val="nil"/>
          <w:lang w:val="es-ES"/>
        </w:rPr>
        <w:t>ora@cpuc.ca.gov</w:t>
      </w:r>
      <w:r>
        <w:rPr>
          <w:bdr w:val="nil"/>
          <w:lang w:val="es-ES"/>
        </w:rPr>
        <w:t xml:space="preserve"> o visite el sitio web de ORA en </w:t>
      </w:r>
      <w:hyperlink r:id="rId7" w:history="1">
        <w:r>
          <w:rPr>
            <w:color w:val="0000FF"/>
            <w:u w:val="single"/>
            <w:bdr w:val="nil"/>
            <w:lang w:val="es-ES"/>
          </w:rPr>
          <w:t>www.ora.ca.gov</w:t>
        </w:r>
      </w:hyperlink>
      <w:r>
        <w:rPr>
          <w:bdr w:val="nil"/>
          <w:lang w:val="es-ES"/>
        </w:rPr>
        <w:t>.</w:t>
      </w:r>
    </w:p>
    <w:p w14:paraId="09FD5398" w14:textId="77777777" w:rsidR="00E65932" w:rsidRDefault="00367BD4" w:rsidP="00E65932"/>
    <w:p w14:paraId="567CB699" w14:textId="77777777" w:rsidR="00E65932" w:rsidRDefault="008F6C28" w:rsidP="00E65932">
      <w:pPr>
        <w:jc w:val="center"/>
        <w:rPr>
          <w:b/>
          <w:bCs/>
        </w:rPr>
      </w:pPr>
      <w:r>
        <w:rPr>
          <w:b/>
          <w:bCs/>
          <w:bdr w:val="nil"/>
          <w:lang w:val="es-ES"/>
        </w:rPr>
        <w:t>MANTÉNGASE INFORMADO</w:t>
      </w:r>
    </w:p>
    <w:p w14:paraId="0975F742" w14:textId="77777777" w:rsidR="0037789D" w:rsidRPr="001472EE" w:rsidRDefault="00367BD4" w:rsidP="00E65932">
      <w:pPr>
        <w:jc w:val="center"/>
        <w:rPr>
          <w:b/>
          <w:bCs/>
        </w:rPr>
      </w:pPr>
    </w:p>
    <w:p w14:paraId="0D9B5321" w14:textId="77777777" w:rsidR="00E65932" w:rsidRDefault="008F6C28" w:rsidP="00E65932">
      <w:r>
        <w:rPr>
          <w:bdr w:val="nil"/>
          <w:lang w:val="es-ES"/>
        </w:rPr>
        <w:t xml:space="preserve">Si desea seguir este procedimiento, o cualquier otro asunto presentado ante la CPUC, puede utilizar el servicio de suscripción gratuito de la CPUC. Suscríbase en: </w:t>
      </w:r>
      <w:hyperlink r:id="rId8" w:history="1">
        <w:r>
          <w:rPr>
            <w:color w:val="0000FF"/>
            <w:u w:val="single"/>
            <w:bdr w:val="nil"/>
            <w:lang w:val="es-ES"/>
          </w:rPr>
          <w:t>http://subscribecpuc.cpuc.ca.gov/</w:t>
        </w:r>
      </w:hyperlink>
      <w:r>
        <w:rPr>
          <w:bdr w:val="nil"/>
          <w:lang w:val="es-ES"/>
        </w:rPr>
        <w:t>. Si quiere obtener información sobre cómo puede participar en el procedimiento, o si tiene comentarios informales acerca de la solicitud, o preguntas sobre los procesos de la CPUC, puede entrar a la página web de la Oficina del Asesor Público (PAO) de la CPUC en http://www.cpuc.ca.gov/pao/. También puede ponerse en contacto con la PAO de la siguiente manera:</w:t>
      </w:r>
    </w:p>
    <w:p w14:paraId="1AD0DCA7" w14:textId="77777777" w:rsidR="00E65932" w:rsidRDefault="00367BD4" w:rsidP="00E65932"/>
    <w:p w14:paraId="59ADA6F7" w14:textId="77777777" w:rsidR="00E65932" w:rsidRDefault="008F6C28" w:rsidP="00E65932">
      <w:r>
        <w:rPr>
          <w:bdr w:val="nil"/>
          <w:lang w:val="es-ES"/>
        </w:rPr>
        <w:t xml:space="preserve">Envíe un mensaje por correo electrónico a: public.advisor@cpuc.ca.gov </w:t>
      </w:r>
    </w:p>
    <w:p w14:paraId="75EB49B0" w14:textId="77777777" w:rsidR="00E65932" w:rsidRDefault="00367BD4" w:rsidP="00E65932"/>
    <w:p w14:paraId="5E76DDB8" w14:textId="77777777" w:rsidR="00E65932" w:rsidRDefault="008F6C28" w:rsidP="00E65932">
      <w:r>
        <w:rPr>
          <w:bdr w:val="nil"/>
          <w:lang w:val="es-ES"/>
        </w:rPr>
        <w:t>Escriba a:</w:t>
      </w:r>
      <w:r>
        <w:rPr>
          <w:bdr w:val="nil"/>
          <w:lang w:val="es-ES"/>
        </w:rPr>
        <w:tab/>
        <w:t xml:space="preserve">CPUC Public Advisor’s Office </w:t>
      </w:r>
    </w:p>
    <w:p w14:paraId="1124D48E" w14:textId="77777777" w:rsidR="00E65932" w:rsidRDefault="008F6C28" w:rsidP="00830E0D">
      <w:pPr>
        <w:ind w:left="720" w:firstLine="720"/>
      </w:pPr>
      <w:r>
        <w:rPr>
          <w:bdr w:val="nil"/>
          <w:lang w:val="es-ES"/>
        </w:rPr>
        <w:t>505 Van Ness Ave.</w:t>
      </w:r>
    </w:p>
    <w:p w14:paraId="4CFB16F7" w14:textId="77777777" w:rsidR="00E65932" w:rsidRDefault="008F6C28" w:rsidP="00830E0D">
      <w:pPr>
        <w:ind w:left="720" w:firstLine="720"/>
      </w:pPr>
      <w:r>
        <w:rPr>
          <w:bdr w:val="nil"/>
          <w:lang w:val="es-ES"/>
        </w:rPr>
        <w:t>San Francisco, CA 94102</w:t>
      </w:r>
    </w:p>
    <w:p w14:paraId="57ACD13A" w14:textId="77777777" w:rsidR="00E65932" w:rsidRDefault="00367BD4" w:rsidP="00E65932"/>
    <w:p w14:paraId="1BE3938F" w14:textId="77777777" w:rsidR="00E65932" w:rsidRDefault="008F6C28" w:rsidP="00E65932">
      <w:r>
        <w:rPr>
          <w:bdr w:val="nil"/>
          <w:lang w:val="es-ES"/>
        </w:rPr>
        <w:t>Llame al: 1-866-849-8390 (sin costo) o al 1-415-703-2074</w:t>
      </w:r>
    </w:p>
    <w:p w14:paraId="04A0A799" w14:textId="77777777" w:rsidR="00E65932" w:rsidRDefault="008F6C28" w:rsidP="00E65932">
      <w:r>
        <w:rPr>
          <w:bdr w:val="nil"/>
          <w:lang w:val="es-ES"/>
        </w:rPr>
        <w:tab/>
        <w:t>TTY: 1-866-836-7825 (sin costo) o al 1-415-703-5282</w:t>
      </w:r>
    </w:p>
    <w:p w14:paraId="224A5979" w14:textId="77777777" w:rsidR="00E65932" w:rsidRDefault="00367BD4" w:rsidP="00E65932"/>
    <w:p w14:paraId="195735F9" w14:textId="77777777" w:rsidR="00E65932" w:rsidRPr="001472EE" w:rsidRDefault="008F6C28" w:rsidP="00E65932">
      <w:r>
        <w:rPr>
          <w:bdr w:val="nil"/>
          <w:lang w:val="es-ES"/>
        </w:rPr>
        <w:lastRenderedPageBreak/>
        <w:t xml:space="preserve">Por favor haga referencia a la </w:t>
      </w:r>
      <w:r w:rsidR="00482C83" w:rsidRPr="00830E0D">
        <w:rPr>
          <w:b/>
          <w:bdr w:val="nil"/>
          <w:lang w:val="es-ES"/>
        </w:rPr>
        <w:t xml:space="preserve">solicitud de reemplazo </w:t>
      </w:r>
      <w:r w:rsidRPr="00830E0D">
        <w:rPr>
          <w:b/>
          <w:bdr w:val="nil"/>
          <w:lang w:val="es-ES"/>
        </w:rPr>
        <w:t xml:space="preserve">SDG&amp;E CIS </w:t>
      </w:r>
      <w:proofErr w:type="spellStart"/>
      <w:r w:rsidRPr="00830E0D">
        <w:rPr>
          <w:b/>
          <w:bdr w:val="nil"/>
          <w:lang w:val="es-ES"/>
        </w:rPr>
        <w:t>Replacement</w:t>
      </w:r>
      <w:proofErr w:type="spellEnd"/>
      <w:r w:rsidRPr="00830E0D">
        <w:rPr>
          <w:b/>
          <w:bdr w:val="nil"/>
          <w:lang w:val="es-ES"/>
        </w:rPr>
        <w:t xml:space="preserve"> </w:t>
      </w:r>
      <w:proofErr w:type="spellStart"/>
      <w:r w:rsidRPr="00830E0D">
        <w:rPr>
          <w:b/>
          <w:bdr w:val="nil"/>
          <w:lang w:val="es-ES"/>
        </w:rPr>
        <w:t>Application</w:t>
      </w:r>
      <w:proofErr w:type="spellEnd"/>
      <w:r w:rsidRPr="00830E0D">
        <w:rPr>
          <w:b/>
          <w:bdr w:val="nil"/>
          <w:lang w:val="es-ES"/>
        </w:rPr>
        <w:t xml:space="preserve"> No. A. 17-04-027 </w:t>
      </w:r>
      <w:r>
        <w:rPr>
          <w:bdr w:val="nil"/>
          <w:lang w:val="es-ES"/>
        </w:rPr>
        <w:t>en cualesquiera comunicaciones que sostenga con la Comisión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p w14:paraId="41BE6215" w14:textId="77777777" w:rsidR="00E65932" w:rsidRDefault="00367BD4" w:rsidP="00E65932">
      <w:pPr>
        <w:ind w:firstLine="720"/>
      </w:pPr>
    </w:p>
    <w:p w14:paraId="3FC58430" w14:textId="77777777" w:rsidR="00144CEA" w:rsidRDefault="00367BD4"/>
    <w:sectPr w:rsidR="0014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6B1B"/>
    <w:multiLevelType w:val="hybridMultilevel"/>
    <w:tmpl w:val="76AC3964"/>
    <w:lvl w:ilvl="0" w:tplc="09905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8E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A6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A9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8E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EF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D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6E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DA"/>
    <w:rsid w:val="00144BDA"/>
    <w:rsid w:val="00173E36"/>
    <w:rsid w:val="002D719A"/>
    <w:rsid w:val="00367BD4"/>
    <w:rsid w:val="00482C83"/>
    <w:rsid w:val="00536C66"/>
    <w:rsid w:val="005735C0"/>
    <w:rsid w:val="005C5FFB"/>
    <w:rsid w:val="005C7D90"/>
    <w:rsid w:val="006368AE"/>
    <w:rsid w:val="006B0D83"/>
    <w:rsid w:val="00744A3F"/>
    <w:rsid w:val="00767519"/>
    <w:rsid w:val="00830E0D"/>
    <w:rsid w:val="008F6C28"/>
    <w:rsid w:val="00A20A65"/>
    <w:rsid w:val="00C41F7E"/>
    <w:rsid w:val="00D50D39"/>
    <w:rsid w:val="00EB258D"/>
    <w:rsid w:val="00F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2B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65932"/>
    <w:pPr>
      <w:widowControl w:val="0"/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E6593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6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93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aption">
    <w:name w:val="Table Caption"/>
    <w:basedOn w:val="Normal"/>
    <w:next w:val="Table"/>
    <w:uiPriority w:val="99"/>
    <w:rsid w:val="00E65932"/>
    <w:pPr>
      <w:keepNext/>
      <w:keepLines/>
      <w:spacing w:before="440" w:after="440" w:line="240" w:lineRule="atLeast"/>
      <w:jc w:val="center"/>
    </w:pPr>
    <w:rPr>
      <w:rFonts w:ascii="Arial" w:hAnsi="Arial" w:cs="Arial"/>
      <w:b/>
      <w:bCs/>
      <w:caps/>
      <w:sz w:val="20"/>
      <w:szCs w:val="20"/>
    </w:rPr>
  </w:style>
  <w:style w:type="paragraph" w:customStyle="1" w:styleId="Table">
    <w:name w:val="Table"/>
    <w:basedOn w:val="Normal"/>
    <w:uiPriority w:val="99"/>
    <w:rsid w:val="00E65932"/>
    <w:pPr>
      <w:keepNext/>
      <w:keepLines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E6593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5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9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9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7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A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12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dge.com/regulatory/cpuc.shtml" TargetMode="External"/><Relationship Id="rId6" Type="http://schemas.openxmlformats.org/officeDocument/2006/relationships/hyperlink" Target="http://www.sdge.com/billinserts/regulatory.shtml" TargetMode="External"/><Relationship Id="rId7" Type="http://schemas.openxmlformats.org/officeDocument/2006/relationships/hyperlink" Target="http://www.ora.ca.gov" TargetMode="External"/><Relationship Id="rId8" Type="http://schemas.openxmlformats.org/officeDocument/2006/relationships/hyperlink" Target="http://subscribecpuc.cpuc.ca.gov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1453</Words>
  <Characters>7893</Characters>
  <Application>Microsoft Macintosh Word</Application>
  <DocSecurity>0</DocSecurity>
  <Lines>343</Lines>
  <Paragraphs>186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CPUC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Klaiber, Steven</dc:creator>
  <cp:lastModifiedBy>Microsoft Office User</cp:lastModifiedBy>
  <cp:revision>2</cp:revision>
  <cp:lastPrinted>2017-05-02T21:50:00Z</cp:lastPrinted>
  <dcterms:created xsi:type="dcterms:W3CDTF">2017-05-09T16:09:00Z</dcterms:created>
  <dcterms:modified xsi:type="dcterms:W3CDTF">2017-05-09T16:09:00Z</dcterms:modified>
</cp:coreProperties>
</file>