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11F" w:rsidRPr="006F6D80" w:rsidRDefault="005671DA" w:rsidP="000C511F">
      <w:pPr>
        <w:pStyle w:val="Encabezado"/>
        <w:jc w:val="center"/>
        <w:rPr>
          <w:b/>
          <w:lang w:val="es-ES"/>
        </w:rPr>
      </w:pPr>
      <w:r w:rsidRPr="006F6D80">
        <w:rPr>
          <w:b/>
          <w:bCs/>
          <w:bdr w:val="nil"/>
          <w:lang w:val="es-ES"/>
        </w:rPr>
        <w:t>Para más detalles, llame al 1-800-311-7343</w:t>
      </w:r>
    </w:p>
    <w:p w:rsidR="000C511F" w:rsidRPr="006F6D80" w:rsidRDefault="006F6D80">
      <w:pPr>
        <w:jc w:val="center"/>
        <w:rPr>
          <w:b/>
          <w:lang w:val="es-ES"/>
        </w:rPr>
      </w:pPr>
    </w:p>
    <w:p w:rsidR="00DC6E31" w:rsidRPr="006F6D80" w:rsidRDefault="005671DA" w:rsidP="00DC6E31">
      <w:pPr>
        <w:jc w:val="center"/>
        <w:rPr>
          <w:b/>
          <w:lang w:val="es-ES"/>
        </w:rPr>
      </w:pPr>
      <w:r w:rsidRPr="006F6D80">
        <w:rPr>
          <w:b/>
          <w:bCs/>
          <w:bdr w:val="nil"/>
          <w:lang w:val="es-ES"/>
        </w:rPr>
        <w:t xml:space="preserve">NOTIFICACIÓN DE LA </w:t>
      </w:r>
      <w:r w:rsidR="00266F06" w:rsidRPr="006F6D80">
        <w:rPr>
          <w:b/>
          <w:bCs/>
          <w:bdr w:val="nil"/>
          <w:lang w:val="es-ES"/>
        </w:rPr>
        <w:t>PETICIÓN</w:t>
      </w:r>
      <w:r w:rsidRPr="006F6D80">
        <w:rPr>
          <w:b/>
          <w:bCs/>
          <w:bdr w:val="nil"/>
          <w:lang w:val="es-ES"/>
        </w:rPr>
        <w:t xml:space="preserve"> DE SAN DIEGO GAS &amp; ELECTRIC COMPANY </w:t>
      </w:r>
      <w:r w:rsidR="00266F06" w:rsidRPr="006F6D80">
        <w:rPr>
          <w:b/>
          <w:bCs/>
          <w:bdr w:val="nil"/>
          <w:lang w:val="es-ES"/>
        </w:rPr>
        <w:t>A FIN DE</w:t>
      </w:r>
      <w:r w:rsidRPr="006F6D80">
        <w:rPr>
          <w:b/>
          <w:bCs/>
          <w:bdr w:val="nil"/>
          <w:lang w:val="es-ES"/>
        </w:rPr>
        <w:t xml:space="preserve"> AUMENTAR LAS TARIFAS ELÉCTRICAS </w:t>
      </w:r>
      <w:r w:rsidR="00266F06" w:rsidRPr="006F6D80">
        <w:rPr>
          <w:b/>
          <w:bCs/>
          <w:bdr w:val="nil"/>
          <w:lang w:val="es-ES"/>
        </w:rPr>
        <w:br/>
      </w:r>
      <w:r w:rsidRPr="006F6D80">
        <w:rPr>
          <w:b/>
          <w:bCs/>
          <w:bdr w:val="nil"/>
          <w:lang w:val="es-ES"/>
        </w:rPr>
        <w:t xml:space="preserve">PARA PROYECTOS Y PROGRAMAS QUE INCREMENTARÁN </w:t>
      </w:r>
      <w:r w:rsidR="00266F06" w:rsidRPr="006F6D80">
        <w:rPr>
          <w:b/>
          <w:bCs/>
          <w:bdr w:val="nil"/>
          <w:lang w:val="es-ES"/>
        </w:rPr>
        <w:br/>
      </w:r>
      <w:r w:rsidRPr="006F6D80">
        <w:rPr>
          <w:b/>
          <w:bCs/>
          <w:bdr w:val="nil"/>
          <w:lang w:val="es-ES"/>
        </w:rPr>
        <w:t>EL USO DE</w:t>
      </w:r>
      <w:r w:rsidR="006452AB" w:rsidRPr="006F6D80">
        <w:rPr>
          <w:b/>
          <w:bCs/>
          <w:bdr w:val="nil"/>
          <w:lang w:val="es-ES"/>
        </w:rPr>
        <w:t>L</w:t>
      </w:r>
      <w:r w:rsidRPr="006F6D80">
        <w:rPr>
          <w:b/>
          <w:bCs/>
          <w:bdr w:val="nil"/>
          <w:lang w:val="es-ES"/>
        </w:rPr>
        <w:t xml:space="preserve"> TRANSPORTE ELÉCTRICO</w:t>
      </w:r>
    </w:p>
    <w:p w:rsidR="00DC6E31" w:rsidRPr="006F6D80" w:rsidRDefault="005671DA" w:rsidP="00DC6E31">
      <w:pPr>
        <w:jc w:val="center"/>
        <w:rPr>
          <w:b/>
          <w:lang w:val="es-ES"/>
        </w:rPr>
      </w:pPr>
      <w:r w:rsidRPr="006F6D80">
        <w:rPr>
          <w:b/>
          <w:bCs/>
          <w:bdr w:val="nil"/>
          <w:lang w:val="es-ES"/>
        </w:rPr>
        <w:t xml:space="preserve"> (Proyecto de Ley Senate Bill 350)</w:t>
      </w:r>
    </w:p>
    <w:p w:rsidR="00472FB8" w:rsidRPr="006F6D80" w:rsidRDefault="005671DA" w:rsidP="00DC6E31">
      <w:pPr>
        <w:jc w:val="center"/>
        <w:rPr>
          <w:b/>
          <w:lang w:val="es-ES"/>
        </w:rPr>
      </w:pPr>
      <w:r w:rsidRPr="006F6D80">
        <w:rPr>
          <w:b/>
          <w:bCs/>
          <w:bdr w:val="nil"/>
          <w:lang w:val="es-ES"/>
        </w:rPr>
        <w:t>SOLICITUD NÚM. A.17-01-020</w:t>
      </w:r>
    </w:p>
    <w:p w:rsidR="00472FB8" w:rsidRPr="006F6D80" w:rsidRDefault="006F6D80">
      <w:pPr>
        <w:jc w:val="center"/>
        <w:rPr>
          <w:b/>
          <w:lang w:val="es-ES"/>
        </w:rPr>
      </w:pPr>
    </w:p>
    <w:p w:rsidR="00E508F0" w:rsidRPr="006F6D80" w:rsidRDefault="005671DA" w:rsidP="00E508F0">
      <w:pPr>
        <w:rPr>
          <w:lang w:val="es-ES"/>
        </w:rPr>
      </w:pPr>
      <w:r w:rsidRPr="006F6D80">
        <w:rPr>
          <w:bdr w:val="nil"/>
          <w:lang w:val="es-ES"/>
        </w:rPr>
        <w:t xml:space="preserve">El 20 de enero de 2017, San Diego Gas &amp; Electric Company (SDG&amp;E®) presentó una petición ante la Comisión de Servicios Públicos de California (CPUC) para obtener la aprobación </w:t>
      </w:r>
      <w:r w:rsidR="006452AB" w:rsidRPr="006F6D80">
        <w:rPr>
          <w:bdr w:val="nil"/>
          <w:lang w:val="es-ES"/>
        </w:rPr>
        <w:t xml:space="preserve">a fin </w:t>
      </w:r>
      <w:r w:rsidRPr="006F6D80">
        <w:rPr>
          <w:bdr w:val="nil"/>
          <w:lang w:val="es-ES"/>
        </w:rPr>
        <w:t xml:space="preserve">de aumentar las tarifas </w:t>
      </w:r>
      <w:r w:rsidR="006452AB" w:rsidRPr="006F6D80">
        <w:rPr>
          <w:bdr w:val="nil"/>
          <w:lang w:val="es-ES"/>
        </w:rPr>
        <w:t xml:space="preserve">con el propósito </w:t>
      </w:r>
      <w:r w:rsidR="006452AB" w:rsidRPr="006F6D80">
        <w:rPr>
          <w:bdr w:val="nil"/>
          <w:lang w:val="es-ES"/>
        </w:rPr>
        <w:t>de</w:t>
      </w:r>
      <w:r w:rsidRPr="006F6D80">
        <w:rPr>
          <w:bdr w:val="nil"/>
          <w:lang w:val="es-ES"/>
        </w:rPr>
        <w:t xml:space="preserve"> financiar proyectos y programas que ayudarán a incrementar el uso de</w:t>
      </w:r>
      <w:r w:rsidR="006452AB" w:rsidRPr="006F6D80">
        <w:rPr>
          <w:bdr w:val="nil"/>
          <w:lang w:val="es-ES"/>
        </w:rPr>
        <w:t>l</w:t>
      </w:r>
      <w:r w:rsidRPr="006F6D80">
        <w:rPr>
          <w:bdr w:val="nil"/>
          <w:lang w:val="es-ES"/>
        </w:rPr>
        <w:t xml:space="preserve"> transporte eléctrico. Esta petición fue hecha después de que la CPUC emitiera una resolución en que gira instrucciones a SDG&amp;E para presentar su primera solicitud en materia de electrificación de transporte </w:t>
      </w:r>
      <w:r w:rsidR="00C6428C" w:rsidRPr="006F6D80">
        <w:rPr>
          <w:bdr w:val="nil"/>
          <w:lang w:val="es-ES"/>
        </w:rPr>
        <w:t>conforme a</w:t>
      </w:r>
      <w:r w:rsidRPr="006F6D80">
        <w:rPr>
          <w:bdr w:val="nil"/>
          <w:lang w:val="es-ES"/>
        </w:rPr>
        <w:t xml:space="preserve"> lo ordenado </w:t>
      </w:r>
      <w:r w:rsidR="00C6428C" w:rsidRPr="006F6D80">
        <w:rPr>
          <w:bdr w:val="nil"/>
          <w:lang w:val="es-ES"/>
        </w:rPr>
        <w:t xml:space="preserve">por </w:t>
      </w:r>
      <w:r w:rsidRPr="006F6D80">
        <w:rPr>
          <w:bdr w:val="nil"/>
          <w:lang w:val="es-ES"/>
        </w:rPr>
        <w:t xml:space="preserve">el Proyecto de Ley Senate Bill (SB) 350. El SB 350 </w:t>
      </w:r>
      <w:r w:rsidR="00DA4258" w:rsidRPr="006F6D80">
        <w:rPr>
          <w:bdr w:val="nil"/>
          <w:lang w:val="es-ES"/>
        </w:rPr>
        <w:t>manda</w:t>
      </w:r>
      <w:r w:rsidRPr="006F6D80">
        <w:rPr>
          <w:bdr w:val="nil"/>
          <w:lang w:val="es-ES"/>
        </w:rPr>
        <w:t xml:space="preserve"> a la CPUC, con la ayuda de la Junta de Recursos del Aire de California y la Comisión de Energía de California,</w:t>
      </w:r>
      <w:r w:rsidRPr="006F6D80">
        <w:rPr>
          <w:color w:val="000000"/>
          <w:bdr w:val="nil"/>
          <w:lang w:val="es-ES"/>
        </w:rPr>
        <w:t xml:space="preserve"> a </w:t>
      </w:r>
      <w:r w:rsidR="00B45D0E" w:rsidRPr="006F6D80">
        <w:rPr>
          <w:color w:val="000000"/>
          <w:bdr w:val="nil"/>
          <w:lang w:val="es-ES"/>
        </w:rPr>
        <w:t>ordenar</w:t>
      </w:r>
      <w:r w:rsidRPr="006F6D80">
        <w:rPr>
          <w:bdr w:val="nil"/>
          <w:lang w:val="es-ES"/>
        </w:rPr>
        <w:t xml:space="preserve"> a corporaciones eléctricas </w:t>
      </w:r>
      <w:r w:rsidR="00B45D0E" w:rsidRPr="006F6D80">
        <w:rPr>
          <w:bdr w:val="nil"/>
          <w:lang w:val="es-ES"/>
        </w:rPr>
        <w:t xml:space="preserve">que </w:t>
      </w:r>
      <w:r w:rsidRPr="006F6D80">
        <w:rPr>
          <w:bdr w:val="nil"/>
          <w:lang w:val="es-ES"/>
        </w:rPr>
        <w:t>present</w:t>
      </w:r>
      <w:r w:rsidR="00B45D0E" w:rsidRPr="006F6D80">
        <w:rPr>
          <w:bdr w:val="nil"/>
          <w:lang w:val="es-ES"/>
        </w:rPr>
        <w:t>en</w:t>
      </w:r>
      <w:r w:rsidRPr="006F6D80">
        <w:rPr>
          <w:bdr w:val="nil"/>
          <w:lang w:val="es-ES"/>
        </w:rPr>
        <w:t xml:space="preserve"> solicitudes para programas</w:t>
      </w:r>
      <w:r w:rsidRPr="006F6D80">
        <w:rPr>
          <w:color w:val="000000"/>
          <w:bdr w:val="nil"/>
          <w:lang w:val="es-ES"/>
        </w:rPr>
        <w:t xml:space="preserve"> </w:t>
      </w:r>
      <w:r w:rsidRPr="006F6D80">
        <w:rPr>
          <w:bdr w:val="nil"/>
          <w:lang w:val="es-ES"/>
        </w:rPr>
        <w:t>e inversiones a fin de acelerar la electrificació</w:t>
      </w:r>
      <w:r w:rsidR="00B45D0E" w:rsidRPr="006F6D80">
        <w:rPr>
          <w:bdr w:val="nil"/>
          <w:lang w:val="es-ES"/>
        </w:rPr>
        <w:t>n generalizada del transporte.</w:t>
      </w:r>
      <w:r w:rsidR="00DA4258" w:rsidRPr="006F6D80">
        <w:rPr>
          <w:bdr w:val="nil"/>
          <w:lang w:val="es-ES"/>
        </w:rPr>
        <w:t xml:space="preserve"> </w:t>
      </w:r>
      <w:r w:rsidRPr="006F6D80">
        <w:rPr>
          <w:bdr w:val="nil"/>
          <w:lang w:val="es-ES"/>
        </w:rPr>
        <w:t>Estos proyectos y programas ayudarán a reducir la dependencia del petróleo, cumplir con normas en materia de calidad del aire, alcanzar los objetivos establecidos en la ini</w:t>
      </w:r>
      <w:r w:rsidR="00DA4258" w:rsidRPr="006F6D80">
        <w:rPr>
          <w:bdr w:val="nil"/>
          <w:lang w:val="es-ES"/>
        </w:rPr>
        <w:t>c</w:t>
      </w:r>
      <w:r w:rsidRPr="006F6D80">
        <w:rPr>
          <w:bdr w:val="nil"/>
          <w:lang w:val="es-ES"/>
        </w:rPr>
        <w:t xml:space="preserve">iativa Charge Ahead California, así como a reducir las emisiones de gases de efecto invernadero. </w:t>
      </w:r>
    </w:p>
    <w:p w:rsidR="004B20D9" w:rsidRPr="006F6D80" w:rsidRDefault="006F6D80" w:rsidP="00A40F28">
      <w:pPr>
        <w:jc w:val="both"/>
        <w:rPr>
          <w:lang w:val="es-ES"/>
        </w:rPr>
      </w:pPr>
    </w:p>
    <w:p w:rsidR="00866C7A" w:rsidRPr="006F6D80" w:rsidRDefault="005671DA" w:rsidP="00536E04">
      <w:pPr>
        <w:rPr>
          <w:lang w:val="es-ES"/>
        </w:rPr>
      </w:pPr>
      <w:r w:rsidRPr="006F6D80">
        <w:rPr>
          <w:bdr w:val="nil"/>
          <w:lang w:val="es-ES"/>
        </w:rPr>
        <w:t>Las propuestas de proyecto</w:t>
      </w:r>
      <w:r w:rsidR="00DA4258" w:rsidRPr="006F6D80">
        <w:rPr>
          <w:bdr w:val="nil"/>
          <w:lang w:val="es-ES"/>
        </w:rPr>
        <w:t>s</w:t>
      </w:r>
      <w:r w:rsidRPr="006F6D80">
        <w:rPr>
          <w:bdr w:val="nil"/>
          <w:lang w:val="es-ES"/>
        </w:rPr>
        <w:t xml:space="preserve"> incluyen un programa multianual para instalar infraestructura de carga a partir de 2020-2026 en hogares residenciales. Esta solicitud incluye también seis proyectos piloto de un año que implicarían instalar infraestructuras de carga en </w:t>
      </w:r>
      <w:r w:rsidR="000B032E" w:rsidRPr="006F6D80">
        <w:rPr>
          <w:bdr w:val="nil"/>
          <w:lang w:val="es-ES"/>
        </w:rPr>
        <w:t>sitios</w:t>
      </w:r>
      <w:r w:rsidRPr="006F6D80">
        <w:rPr>
          <w:bdr w:val="nil"/>
          <w:lang w:val="es-ES"/>
        </w:rPr>
        <w:t xml:space="preserve"> públicos y comerciales objetivo, así como ofrecer educación e incentivos a concesionarios.  Estas propuestas acelerarán la electrificación del transporte al proporcionar infraestructura de carga </w:t>
      </w:r>
      <w:r w:rsidR="002B1F74" w:rsidRPr="006F6D80">
        <w:rPr>
          <w:bdr w:val="nil"/>
          <w:lang w:val="es-ES"/>
        </w:rPr>
        <w:t>que opere</w:t>
      </w:r>
      <w:r w:rsidRPr="006F6D80">
        <w:rPr>
          <w:bdr w:val="nil"/>
          <w:lang w:val="es-ES"/>
        </w:rPr>
        <w:t xml:space="preserve"> con vehículos eléctricos de carga ligera, mediana y pesada (vehículos de pasajeros, taxis, flota, equipo de asistencia en tierra en aeropuertos y carretillas elevadoras). Estas propuestas </w:t>
      </w:r>
      <w:r w:rsidR="002B1F74" w:rsidRPr="006F6D80">
        <w:rPr>
          <w:bdr w:val="nil"/>
          <w:lang w:val="es-ES"/>
        </w:rPr>
        <w:t>comprende</w:t>
      </w:r>
      <w:r w:rsidRPr="006F6D80">
        <w:rPr>
          <w:bdr w:val="nil"/>
          <w:lang w:val="es-ES"/>
        </w:rPr>
        <w:t xml:space="preserve">rán también la recolección de datos y el análisis de los impactos de los vehículos eléctricos en la red, así como educación e incentivos para impulsar las ventas de vehículos eléctricos.  </w:t>
      </w:r>
    </w:p>
    <w:p w:rsidR="007D25AF" w:rsidRPr="006F6D80" w:rsidRDefault="006F6D80" w:rsidP="00A40F28">
      <w:pPr>
        <w:jc w:val="both"/>
        <w:rPr>
          <w:lang w:val="es-ES"/>
        </w:rPr>
      </w:pPr>
    </w:p>
    <w:p w:rsidR="007D25AF" w:rsidRPr="006F6D80" w:rsidRDefault="005671DA" w:rsidP="00536E04">
      <w:pPr>
        <w:rPr>
          <w:lang w:val="es-ES"/>
        </w:rPr>
      </w:pPr>
      <w:r w:rsidRPr="006F6D80">
        <w:rPr>
          <w:bdr w:val="nil"/>
          <w:lang w:val="es-ES"/>
        </w:rPr>
        <w:t xml:space="preserve">El aumento </w:t>
      </w:r>
      <w:r w:rsidR="00B11460" w:rsidRPr="006F6D80">
        <w:rPr>
          <w:bdr w:val="nil"/>
          <w:lang w:val="es-ES"/>
        </w:rPr>
        <w:t xml:space="preserve">tarifario </w:t>
      </w:r>
      <w:r w:rsidRPr="006F6D80">
        <w:rPr>
          <w:bdr w:val="nil"/>
          <w:lang w:val="es-ES"/>
        </w:rPr>
        <w:t xml:space="preserve">solicitado cubre los costos asociados con la implementación de </w:t>
      </w:r>
      <w:r w:rsidR="00B11460" w:rsidRPr="006F6D80">
        <w:rPr>
          <w:bdr w:val="nil"/>
          <w:lang w:val="es-ES"/>
        </w:rPr>
        <w:t xml:space="preserve">los </w:t>
      </w:r>
      <w:r w:rsidRPr="006F6D80">
        <w:rPr>
          <w:bdr w:val="nil"/>
          <w:lang w:val="es-ES"/>
        </w:rPr>
        <w:t xml:space="preserve">proyectos de electrificación del transporte del SB 350. Los costos incluyen (pero no se limitan a) equipo de carga e instalación, infraestructura eléctrica para estaciones de carga, mano de obra para la evaluación de la medición y asistencia al cliente, además del personal necesario para apoyo con el equipo, </w:t>
      </w:r>
      <w:r w:rsidR="00B11460" w:rsidRPr="006F6D80">
        <w:rPr>
          <w:bdr w:val="nil"/>
          <w:lang w:val="es-ES"/>
        </w:rPr>
        <w:t xml:space="preserve">el </w:t>
      </w:r>
      <w:r w:rsidRPr="006F6D80">
        <w:rPr>
          <w:bdr w:val="nil"/>
          <w:lang w:val="es-ES"/>
        </w:rPr>
        <w:t xml:space="preserve">mantenimiento y la facturación. Los costos totales de los proyectos y programas propuestos son aproximadamente $416.4 millones. El costo </w:t>
      </w:r>
      <w:r w:rsidR="00B11460" w:rsidRPr="006F6D80">
        <w:rPr>
          <w:bdr w:val="nil"/>
          <w:lang w:val="es-ES"/>
        </w:rPr>
        <w:t>par</w:t>
      </w:r>
      <w:r w:rsidRPr="006F6D80">
        <w:rPr>
          <w:bdr w:val="nil"/>
          <w:lang w:val="es-ES"/>
        </w:rPr>
        <w:t xml:space="preserve">a los contribuyentes a lo largo de los primeros tres años será una disminución de $(2.3) millones en 2018, una disminución de $(2.9) millones en 2019 y un aumento de $22.7 millones en 2020. </w:t>
      </w:r>
    </w:p>
    <w:p w:rsidR="006C2103" w:rsidRPr="006F6D80" w:rsidRDefault="006F6D80" w:rsidP="00A40F28">
      <w:pPr>
        <w:jc w:val="both"/>
        <w:rPr>
          <w:lang w:val="es-ES"/>
        </w:rPr>
      </w:pPr>
    </w:p>
    <w:p w:rsidR="00681016" w:rsidRPr="006F6D80" w:rsidRDefault="006F6D80" w:rsidP="00A40F28">
      <w:pPr>
        <w:jc w:val="both"/>
        <w:rPr>
          <w:lang w:val="es-ES"/>
        </w:rPr>
      </w:pPr>
    </w:p>
    <w:p w:rsidR="00E6203F" w:rsidRPr="006F6D80" w:rsidRDefault="005671DA" w:rsidP="00A40F28">
      <w:pPr>
        <w:jc w:val="both"/>
        <w:rPr>
          <w:lang w:val="es-ES"/>
        </w:rPr>
      </w:pPr>
      <w:r w:rsidRPr="006F6D80">
        <w:rPr>
          <w:b/>
          <w:bCs/>
          <w:bdr w:val="nil"/>
          <w:lang w:val="es-ES"/>
        </w:rPr>
        <w:t>PROPUESTAS TARIFA</w:t>
      </w:r>
      <w:r w:rsidR="00E8021D" w:rsidRPr="006F6D80">
        <w:rPr>
          <w:b/>
          <w:bCs/>
          <w:bdr w:val="nil"/>
          <w:lang w:val="es-ES"/>
        </w:rPr>
        <w:t>RIAS</w:t>
      </w:r>
      <w:r w:rsidRPr="006F6D80">
        <w:rPr>
          <w:b/>
          <w:bCs/>
          <w:bdr w:val="nil"/>
          <w:lang w:val="es-ES"/>
        </w:rPr>
        <w:t xml:space="preserve"> DEL SB 350 </w:t>
      </w:r>
    </w:p>
    <w:p w:rsidR="007D25AF" w:rsidRPr="006F6D80" w:rsidRDefault="005671DA" w:rsidP="00536E04">
      <w:pPr>
        <w:rPr>
          <w:lang w:val="es-ES"/>
        </w:rPr>
      </w:pPr>
      <w:r w:rsidRPr="006F6D80">
        <w:rPr>
          <w:bdr w:val="nil"/>
          <w:lang w:val="es-ES"/>
        </w:rPr>
        <w:t xml:space="preserve">Esta solicitud incluye nuevas tarifas residenciales (de toda la casa), nuevas tarifas comerciales y nuevas tarifas de carga pública para los clientes que participan en los proyectos de electrificación del transporte propuestos en esta presentación. Estas tarifas están diseñadas para acelerar el crecimiento de la electrificación del transporte al asegurar </w:t>
      </w:r>
      <w:r w:rsidRPr="006F6D80">
        <w:rPr>
          <w:bdr w:val="nil"/>
          <w:lang w:val="es-ES"/>
        </w:rPr>
        <w:lastRenderedPageBreak/>
        <w:t xml:space="preserve">la integración eficiente de las cargas de los vehículos eléctricos </w:t>
      </w:r>
      <w:r w:rsidR="00E8021D" w:rsidRPr="006F6D80">
        <w:rPr>
          <w:bdr w:val="nil"/>
          <w:lang w:val="es-ES"/>
        </w:rPr>
        <w:t>e</w:t>
      </w:r>
      <w:r w:rsidRPr="006F6D80">
        <w:rPr>
          <w:bdr w:val="nil"/>
          <w:lang w:val="es-ES"/>
        </w:rPr>
        <w:t xml:space="preserve">n la red eléctrica. Estas tarifas propuestas también estarán opcionalmente disponibles para todos los clientes, variarán hora por hora e incorporarán la información de precios más </w:t>
      </w:r>
      <w:r w:rsidR="00E84DC9" w:rsidRPr="006F6D80">
        <w:rPr>
          <w:bdr w:val="nil"/>
          <w:lang w:val="es-ES"/>
        </w:rPr>
        <w:t>reciente</w:t>
      </w:r>
      <w:r w:rsidRPr="006F6D80">
        <w:rPr>
          <w:bdr w:val="nil"/>
          <w:lang w:val="es-ES"/>
        </w:rPr>
        <w:t xml:space="preserve"> de que se disponga con un día de anticipación. Estos precios por hora incluirán un premio agregado a las horas pico máximas lo mismo a escala de sistema que local.  </w:t>
      </w:r>
    </w:p>
    <w:p w:rsidR="008B4027" w:rsidRPr="006F6D80" w:rsidRDefault="006F6D80" w:rsidP="00A40F28">
      <w:pPr>
        <w:jc w:val="both"/>
        <w:rPr>
          <w:lang w:val="es-ES"/>
        </w:rPr>
      </w:pPr>
    </w:p>
    <w:p w:rsidR="00C32BFB" w:rsidRPr="006F6D80" w:rsidRDefault="005671DA" w:rsidP="00536E04">
      <w:pPr>
        <w:rPr>
          <w:lang w:val="es-ES"/>
        </w:rPr>
      </w:pPr>
      <w:r w:rsidRPr="006F6D80">
        <w:rPr>
          <w:bdr w:val="nil"/>
          <w:lang w:val="es-ES"/>
        </w:rPr>
        <w:t xml:space="preserve">Las nuevas propuestas tarifarias buscan satisfacer las diferentes necesidades de los clientes de vehículos eléctricos, admitir la carga de vehículos eléctricos en sitios residenciales, públicos y comerciales, así como proporcionar una estructura de precios que resulte propicia para la mayor cantidad de vehículos eléctricos en la región. Las tarifas proporcionarán beneficios a los clientes que carguen en forma compatible con condiciones de la red eléctrica.  </w:t>
      </w:r>
    </w:p>
    <w:p w:rsidR="00F52206" w:rsidRPr="006F6D80" w:rsidRDefault="006F6D80" w:rsidP="00536E04">
      <w:pPr>
        <w:pStyle w:val="Textoindependiente"/>
        <w:rPr>
          <w:szCs w:val="24"/>
          <w:lang w:val="es-ES"/>
        </w:rPr>
      </w:pPr>
    </w:p>
    <w:p w:rsidR="00627F37" w:rsidRPr="006F6D80" w:rsidRDefault="005671DA" w:rsidP="00536E04">
      <w:pPr>
        <w:pStyle w:val="Textoindependiente"/>
        <w:rPr>
          <w:szCs w:val="24"/>
          <w:lang w:val="es-ES"/>
        </w:rPr>
      </w:pPr>
      <w:r w:rsidRPr="006F6D80">
        <w:rPr>
          <w:szCs w:val="24"/>
          <w:bdr w:val="nil"/>
          <w:lang w:val="es-ES"/>
        </w:rPr>
        <w:t>Los cuadros que aparecen a continuación ilustran los cambios en las tarifas que resultarían de la aprobación de esta solicitud</w:t>
      </w:r>
      <w:r w:rsidR="00D73AA1" w:rsidRPr="006F6D80">
        <w:rPr>
          <w:szCs w:val="24"/>
          <w:bdr w:val="nil"/>
          <w:lang w:val="es-ES"/>
        </w:rPr>
        <w:t xml:space="preserve"> por parte </w:t>
      </w:r>
      <w:r w:rsidR="00D73AA1" w:rsidRPr="006F6D80">
        <w:rPr>
          <w:szCs w:val="24"/>
          <w:bdr w:val="nil"/>
          <w:lang w:val="es-ES"/>
        </w:rPr>
        <w:t>de la CPUC</w:t>
      </w:r>
      <w:r w:rsidRPr="006F6D80">
        <w:rPr>
          <w:szCs w:val="24"/>
          <w:bdr w:val="nil"/>
          <w:lang w:val="es-ES"/>
        </w:rPr>
        <w:t>, en comparación con los niveles tarifarios actuales.</w:t>
      </w:r>
    </w:p>
    <w:p w:rsidR="00627F37" w:rsidRPr="006F6D80" w:rsidRDefault="006F6D80" w:rsidP="00A40F28">
      <w:pPr>
        <w:pStyle w:val="Textoindependiente"/>
        <w:jc w:val="both"/>
        <w:rPr>
          <w:szCs w:val="24"/>
          <w:lang w:val="es-ES"/>
        </w:rPr>
      </w:pPr>
    </w:p>
    <w:p w:rsidR="00627F37" w:rsidRPr="006F6D80" w:rsidRDefault="006F6D80" w:rsidP="00A40F28">
      <w:pPr>
        <w:pStyle w:val="Textoindependiente"/>
        <w:jc w:val="both"/>
        <w:rPr>
          <w:szCs w:val="24"/>
          <w:lang w:val="es-ES"/>
        </w:rPr>
      </w:pPr>
    </w:p>
    <w:p w:rsidR="00334609" w:rsidRPr="006F6D80" w:rsidRDefault="005671DA" w:rsidP="00A40F28">
      <w:pPr>
        <w:pStyle w:val="Textoindependiente"/>
        <w:jc w:val="both"/>
        <w:rPr>
          <w:b/>
          <w:szCs w:val="24"/>
          <w:lang w:val="es-ES"/>
        </w:rPr>
      </w:pPr>
      <w:r w:rsidRPr="006F6D80">
        <w:rPr>
          <w:b/>
          <w:bCs/>
          <w:szCs w:val="24"/>
          <w:bdr w:val="nil"/>
          <w:lang w:val="es-ES"/>
        </w:rPr>
        <w:t>AUMENTO ILUSTRATIVO EN LAS TARIFAS Y FACTURAS ELÉCTRICAS</w:t>
      </w:r>
    </w:p>
    <w:p w:rsidR="000B25F5" w:rsidRPr="006F6D80" w:rsidRDefault="005671DA" w:rsidP="00C03A32">
      <w:pPr>
        <w:rPr>
          <w:lang w:val="es-ES"/>
        </w:rPr>
      </w:pPr>
      <w:r w:rsidRPr="006F6D80">
        <w:rPr>
          <w:bdr w:val="nil"/>
          <w:lang w:val="es-ES"/>
        </w:rPr>
        <w:t xml:space="preserve">Si la CPUC aprueba la petición de SDG&amp;E, un cliente residencial típico que no participe en CARE, viva en la zona climática del interior y consuma un promedio de 500 kilovatios-hora al mes, podría ver un incremento en la factura mensual de verano en 2020 de $0.71, o 0.6%. Una factura mensual típica actual podría aumentar de $123.00 a $123.71. Los porcentajes mostrados no necesariamente reflejan los cambios que puede ver en su factura. Los cambios en las facturas individuales dependerán también de cuánta electricidad consuma cada cliente. </w:t>
      </w:r>
    </w:p>
    <w:p w:rsidR="000B25F5" w:rsidRPr="006F6D80" w:rsidRDefault="006F6D80" w:rsidP="00A40F28">
      <w:pPr>
        <w:pStyle w:val="Textoindependiente"/>
        <w:jc w:val="both"/>
        <w:rPr>
          <w:szCs w:val="24"/>
          <w:lang w:val="es-ES"/>
        </w:rPr>
      </w:pPr>
    </w:p>
    <w:p w:rsidR="0096745E" w:rsidRPr="006F6D80" w:rsidRDefault="006F6D80" w:rsidP="00627F37">
      <w:pPr>
        <w:pStyle w:val="Textoindependiente"/>
        <w:rPr>
          <w:color w:val="FF0000"/>
          <w:szCs w:val="24"/>
          <w:lang w:val="es-ES"/>
        </w:rPr>
      </w:pPr>
    </w:p>
    <w:p w:rsidR="00810BB2" w:rsidRPr="006F6D80" w:rsidRDefault="006F6D80" w:rsidP="0031191A">
      <w:pPr>
        <w:pStyle w:val="Textoindependiente"/>
        <w:jc w:val="center"/>
        <w:rPr>
          <w:b/>
          <w:szCs w:val="24"/>
          <w:lang w:val="es-ES"/>
        </w:rPr>
      </w:pPr>
    </w:p>
    <w:p w:rsidR="00C23C89" w:rsidRPr="006F6D80" w:rsidRDefault="005671DA" w:rsidP="0031191A">
      <w:pPr>
        <w:pStyle w:val="Textoindependiente"/>
        <w:jc w:val="center"/>
        <w:rPr>
          <w:b/>
          <w:szCs w:val="24"/>
          <w:lang w:val="es-ES"/>
        </w:rPr>
      </w:pPr>
      <w:r w:rsidRPr="006F6D80">
        <w:rPr>
          <w:b/>
          <w:bCs/>
          <w:szCs w:val="24"/>
          <w:bdr w:val="nil"/>
          <w:lang w:val="es-ES"/>
        </w:rPr>
        <w:t>AUMENTO ILUSTRATIVO EN LA TARIFA ELÉCTRICA</w:t>
      </w:r>
      <w:r w:rsidR="00F30A01" w:rsidRPr="006F6D80">
        <w:rPr>
          <w:b/>
          <w:bCs/>
          <w:szCs w:val="24"/>
          <w:bdr w:val="nil"/>
          <w:lang w:val="es-ES"/>
        </w:rPr>
        <w:t xml:space="preserve"> </w:t>
      </w:r>
      <w:r w:rsidR="00F30A01" w:rsidRPr="006F6D80">
        <w:rPr>
          <w:b/>
          <w:bCs/>
          <w:szCs w:val="24"/>
          <w:bdr w:val="nil"/>
          <w:lang w:val="es-ES"/>
        </w:rPr>
        <w:br/>
        <w:t>DE</w:t>
      </w:r>
      <w:r w:rsidRPr="006F6D80">
        <w:rPr>
          <w:b/>
          <w:bCs/>
          <w:szCs w:val="24"/>
          <w:bdr w:val="nil"/>
          <w:lang w:val="es-ES"/>
        </w:rPr>
        <w:t xml:space="preserve"> </w:t>
      </w:r>
      <w:r w:rsidR="00F30A01" w:rsidRPr="006F6D80">
        <w:rPr>
          <w:b/>
          <w:bCs/>
          <w:szCs w:val="24"/>
          <w:bdr w:val="nil"/>
          <w:lang w:val="es-ES"/>
        </w:rPr>
        <w:t>SAN DIEGO GAS &amp; ELECTRIC COMPANY</w:t>
      </w:r>
    </w:p>
    <w:p w:rsidR="004F103A" w:rsidRPr="006F6D80" w:rsidRDefault="006F6D80" w:rsidP="00A40F28">
      <w:pPr>
        <w:pStyle w:val="Textoindependiente"/>
        <w:jc w:val="center"/>
        <w:rPr>
          <w:b/>
          <w:szCs w:val="24"/>
          <w:lang w:val="es-ES"/>
        </w:rPr>
      </w:pPr>
    </w:p>
    <w:tbl>
      <w:tblPr>
        <w:tblW w:w="9765" w:type="dxa"/>
        <w:jc w:val="center"/>
        <w:tblInd w:w="-1321" w:type="dxa"/>
        <w:tblLayout w:type="fixed"/>
        <w:tblLook w:val="0000" w:firstRow="0" w:lastRow="0" w:firstColumn="0" w:lastColumn="0" w:noHBand="0" w:noVBand="0"/>
      </w:tblPr>
      <w:tblGrid>
        <w:gridCol w:w="239"/>
        <w:gridCol w:w="270"/>
        <w:gridCol w:w="1550"/>
        <w:gridCol w:w="270"/>
        <w:gridCol w:w="1634"/>
        <w:gridCol w:w="236"/>
        <w:gridCol w:w="270"/>
        <w:gridCol w:w="236"/>
        <w:gridCol w:w="1437"/>
        <w:gridCol w:w="236"/>
        <w:gridCol w:w="236"/>
        <w:gridCol w:w="236"/>
        <w:gridCol w:w="952"/>
        <w:gridCol w:w="236"/>
        <w:gridCol w:w="564"/>
        <w:gridCol w:w="906"/>
        <w:gridCol w:w="257"/>
      </w:tblGrid>
      <w:tr w:rsidR="00E36219" w:rsidRPr="006F6D80" w:rsidTr="004F29DA">
        <w:trPr>
          <w:trHeight w:val="324"/>
          <w:jc w:val="center"/>
        </w:trPr>
        <w:tc>
          <w:tcPr>
            <w:tcW w:w="2059" w:type="dxa"/>
            <w:gridSpan w:val="3"/>
            <w:tcBorders>
              <w:top w:val="nil"/>
              <w:left w:val="nil"/>
              <w:bottom w:val="single" w:sz="4" w:space="0" w:color="auto"/>
              <w:right w:val="nil"/>
            </w:tcBorders>
            <w:shd w:val="clear" w:color="auto" w:fill="auto"/>
            <w:noWrap/>
            <w:vAlign w:val="center"/>
          </w:tcPr>
          <w:p w:rsidR="00A23FBC" w:rsidRPr="006F6D80" w:rsidRDefault="006F6D80" w:rsidP="004F103A">
            <w:pPr>
              <w:rPr>
                <w:b/>
                <w:bCs/>
                <w:lang w:val="es-ES"/>
              </w:rPr>
            </w:pPr>
          </w:p>
          <w:p w:rsidR="00D25660" w:rsidRPr="006F6D80" w:rsidRDefault="005671DA" w:rsidP="00763C92">
            <w:pPr>
              <w:rPr>
                <w:b/>
                <w:bCs/>
                <w:lang w:val="es-ES"/>
              </w:rPr>
            </w:pPr>
            <w:r w:rsidRPr="006F6D80">
              <w:rPr>
                <w:b/>
                <w:bCs/>
                <w:bdr w:val="nil"/>
                <w:lang w:val="es-ES"/>
              </w:rPr>
              <w:t>Clase de cliente</w:t>
            </w:r>
          </w:p>
        </w:tc>
        <w:tc>
          <w:tcPr>
            <w:tcW w:w="270" w:type="dxa"/>
            <w:tcBorders>
              <w:top w:val="nil"/>
              <w:left w:val="nil"/>
              <w:bottom w:val="nil"/>
              <w:right w:val="nil"/>
            </w:tcBorders>
            <w:shd w:val="clear" w:color="auto" w:fill="auto"/>
            <w:noWrap/>
          </w:tcPr>
          <w:p w:rsidR="00D25660" w:rsidRPr="006F6D80" w:rsidRDefault="006F6D80" w:rsidP="00334609">
            <w:pPr>
              <w:rPr>
                <w:lang w:val="es-ES"/>
              </w:rPr>
            </w:pPr>
          </w:p>
        </w:tc>
        <w:tc>
          <w:tcPr>
            <w:tcW w:w="1634" w:type="dxa"/>
            <w:tcBorders>
              <w:top w:val="nil"/>
              <w:left w:val="nil"/>
              <w:bottom w:val="single" w:sz="4" w:space="0" w:color="auto"/>
              <w:right w:val="nil"/>
            </w:tcBorders>
            <w:shd w:val="clear" w:color="auto" w:fill="auto"/>
            <w:noWrap/>
            <w:vAlign w:val="center"/>
          </w:tcPr>
          <w:p w:rsidR="00D25660" w:rsidRPr="006F6D80" w:rsidRDefault="005671DA" w:rsidP="00C06777">
            <w:pPr>
              <w:jc w:val="center"/>
              <w:rPr>
                <w:lang w:val="es-ES"/>
              </w:rPr>
            </w:pPr>
            <w:r w:rsidRPr="006F6D80">
              <w:rPr>
                <w:b/>
                <w:bCs/>
                <w:bdr w:val="nil"/>
                <w:lang w:val="es-ES"/>
              </w:rPr>
              <w:t>Tarifas promedio por clase en vigor el 01/01/17 (¢/kWh)</w:t>
            </w:r>
          </w:p>
        </w:tc>
        <w:tc>
          <w:tcPr>
            <w:tcW w:w="236" w:type="dxa"/>
            <w:tcBorders>
              <w:top w:val="nil"/>
              <w:left w:val="nil"/>
              <w:bottom w:val="nil"/>
              <w:right w:val="nil"/>
            </w:tcBorders>
            <w:shd w:val="clear" w:color="auto" w:fill="auto"/>
            <w:noWrap/>
            <w:vAlign w:val="center"/>
          </w:tcPr>
          <w:p w:rsidR="00D25660" w:rsidRPr="006F6D80" w:rsidRDefault="006F6D80" w:rsidP="00763C92">
            <w:pPr>
              <w:jc w:val="center"/>
              <w:rPr>
                <w:b/>
                <w:bCs/>
                <w:lang w:val="es-ES"/>
              </w:rPr>
            </w:pPr>
          </w:p>
        </w:tc>
        <w:tc>
          <w:tcPr>
            <w:tcW w:w="1943" w:type="dxa"/>
            <w:gridSpan w:val="3"/>
            <w:tcBorders>
              <w:top w:val="nil"/>
              <w:left w:val="nil"/>
              <w:bottom w:val="single" w:sz="4" w:space="0" w:color="auto"/>
              <w:right w:val="nil"/>
            </w:tcBorders>
            <w:vAlign w:val="center"/>
          </w:tcPr>
          <w:p w:rsidR="00D25660" w:rsidRPr="006F6D80" w:rsidRDefault="005671DA" w:rsidP="0075665F">
            <w:pPr>
              <w:jc w:val="center"/>
              <w:rPr>
                <w:b/>
                <w:bCs/>
                <w:lang w:val="es-ES"/>
              </w:rPr>
            </w:pPr>
            <w:r w:rsidRPr="006F6D80">
              <w:rPr>
                <w:b/>
                <w:bCs/>
                <w:bdr w:val="nil"/>
                <w:lang w:val="es-ES"/>
              </w:rPr>
              <w:t>Tarifas promedio por clase para 2020 que reflejan el aumento propuesto en los ingresos para todos los proyectos incluidos en esta Solicitud (¢/kWh)</w:t>
            </w:r>
          </w:p>
        </w:tc>
        <w:tc>
          <w:tcPr>
            <w:tcW w:w="236" w:type="dxa"/>
            <w:tcBorders>
              <w:top w:val="nil"/>
              <w:left w:val="nil"/>
              <w:right w:val="nil"/>
            </w:tcBorders>
            <w:vAlign w:val="center"/>
          </w:tcPr>
          <w:p w:rsidR="00D25660" w:rsidRPr="006F6D80" w:rsidRDefault="006F6D80" w:rsidP="00763C92">
            <w:pPr>
              <w:jc w:val="center"/>
              <w:rPr>
                <w:b/>
                <w:bCs/>
                <w:lang w:val="es-ES"/>
              </w:rPr>
            </w:pPr>
          </w:p>
        </w:tc>
        <w:tc>
          <w:tcPr>
            <w:tcW w:w="236" w:type="dxa"/>
            <w:tcBorders>
              <w:top w:val="nil"/>
              <w:left w:val="nil"/>
              <w:bottom w:val="nil"/>
              <w:right w:val="nil"/>
            </w:tcBorders>
            <w:shd w:val="clear" w:color="auto" w:fill="auto"/>
            <w:noWrap/>
            <w:vAlign w:val="center"/>
          </w:tcPr>
          <w:p w:rsidR="00D25660" w:rsidRPr="006F6D80" w:rsidRDefault="006F6D80" w:rsidP="00A40F28">
            <w:pPr>
              <w:jc w:val="center"/>
              <w:rPr>
                <w:lang w:val="es-ES"/>
              </w:rPr>
            </w:pPr>
          </w:p>
        </w:tc>
        <w:tc>
          <w:tcPr>
            <w:tcW w:w="1188" w:type="dxa"/>
            <w:gridSpan w:val="2"/>
            <w:tcBorders>
              <w:top w:val="nil"/>
              <w:left w:val="nil"/>
              <w:bottom w:val="single" w:sz="4" w:space="0" w:color="auto"/>
              <w:right w:val="nil"/>
            </w:tcBorders>
            <w:shd w:val="clear" w:color="auto" w:fill="auto"/>
            <w:noWrap/>
            <w:vAlign w:val="center"/>
          </w:tcPr>
          <w:p w:rsidR="00D25660" w:rsidRPr="006F6D80" w:rsidRDefault="005671DA" w:rsidP="00DF56F3">
            <w:pPr>
              <w:jc w:val="center"/>
              <w:rPr>
                <w:b/>
                <w:bCs/>
                <w:lang w:val="es-ES"/>
              </w:rPr>
            </w:pPr>
            <w:r w:rsidRPr="006F6D80">
              <w:rPr>
                <w:b/>
                <w:bCs/>
                <w:bdr w:val="nil"/>
                <w:lang w:val="es-ES"/>
              </w:rPr>
              <w:t>Aumento total en la tarifa (¢/kWh)</w:t>
            </w:r>
          </w:p>
        </w:tc>
        <w:tc>
          <w:tcPr>
            <w:tcW w:w="236" w:type="dxa"/>
            <w:tcBorders>
              <w:top w:val="nil"/>
              <w:left w:val="nil"/>
              <w:bottom w:val="nil"/>
              <w:right w:val="nil"/>
            </w:tcBorders>
            <w:shd w:val="clear" w:color="auto" w:fill="auto"/>
            <w:noWrap/>
            <w:vAlign w:val="center"/>
          </w:tcPr>
          <w:p w:rsidR="00D25660" w:rsidRPr="006F6D80" w:rsidRDefault="006F6D80" w:rsidP="00A40F28">
            <w:pPr>
              <w:jc w:val="center"/>
              <w:rPr>
                <w:lang w:val="es-ES"/>
              </w:rPr>
            </w:pPr>
          </w:p>
        </w:tc>
        <w:tc>
          <w:tcPr>
            <w:tcW w:w="1470" w:type="dxa"/>
            <w:gridSpan w:val="2"/>
            <w:tcBorders>
              <w:top w:val="nil"/>
              <w:left w:val="nil"/>
              <w:bottom w:val="single" w:sz="4" w:space="0" w:color="auto"/>
              <w:right w:val="nil"/>
            </w:tcBorders>
            <w:vAlign w:val="center"/>
          </w:tcPr>
          <w:p w:rsidR="00A23FBC" w:rsidRPr="006F6D80" w:rsidRDefault="005671DA" w:rsidP="00763C92">
            <w:pPr>
              <w:jc w:val="center"/>
              <w:rPr>
                <w:b/>
                <w:bCs/>
                <w:lang w:val="es-ES"/>
              </w:rPr>
            </w:pPr>
            <w:r w:rsidRPr="006F6D80">
              <w:rPr>
                <w:b/>
                <w:bCs/>
                <w:bdr w:val="nil"/>
                <w:lang w:val="es-ES"/>
              </w:rPr>
              <w:t xml:space="preserve">Aumento porcentual en la tarifa </w:t>
            </w:r>
          </w:p>
          <w:p w:rsidR="00D25660" w:rsidRPr="006F6D80" w:rsidRDefault="005671DA" w:rsidP="00763C92">
            <w:pPr>
              <w:jc w:val="center"/>
              <w:rPr>
                <w:b/>
                <w:bCs/>
                <w:lang w:val="es-ES"/>
              </w:rPr>
            </w:pPr>
            <w:r w:rsidRPr="006F6D80">
              <w:rPr>
                <w:b/>
                <w:bCs/>
                <w:lang w:val="es-ES"/>
              </w:rPr>
              <w:t>(%)</w:t>
            </w:r>
          </w:p>
        </w:tc>
        <w:tc>
          <w:tcPr>
            <w:tcW w:w="257" w:type="dxa"/>
            <w:tcBorders>
              <w:top w:val="nil"/>
              <w:left w:val="nil"/>
              <w:right w:val="nil"/>
            </w:tcBorders>
          </w:tcPr>
          <w:p w:rsidR="00D25660" w:rsidRPr="006F6D80" w:rsidRDefault="006F6D80" w:rsidP="00334609">
            <w:pPr>
              <w:jc w:val="center"/>
              <w:rPr>
                <w:b/>
                <w:bCs/>
                <w:lang w:val="es-ES"/>
              </w:rPr>
            </w:pPr>
          </w:p>
        </w:tc>
      </w:tr>
      <w:tr w:rsidR="00E36219" w:rsidRPr="006F6D80" w:rsidTr="001C721E">
        <w:trPr>
          <w:trHeight w:val="255"/>
          <w:jc w:val="center"/>
        </w:trPr>
        <w:tc>
          <w:tcPr>
            <w:tcW w:w="2059" w:type="dxa"/>
            <w:gridSpan w:val="3"/>
            <w:tcBorders>
              <w:top w:val="nil"/>
              <w:left w:val="nil"/>
              <w:bottom w:val="nil"/>
              <w:right w:val="nil"/>
            </w:tcBorders>
            <w:shd w:val="clear" w:color="auto" w:fill="auto"/>
            <w:noWrap/>
          </w:tcPr>
          <w:p w:rsidR="00785970" w:rsidRPr="006F6D80" w:rsidRDefault="005671DA" w:rsidP="00334609">
            <w:pPr>
              <w:rPr>
                <w:b/>
                <w:bCs/>
                <w:lang w:val="es-ES"/>
              </w:rPr>
            </w:pPr>
            <w:r w:rsidRPr="006F6D80">
              <w:rPr>
                <w:b/>
                <w:bCs/>
                <w:bdr w:val="nil"/>
                <w:lang w:val="es-ES"/>
              </w:rPr>
              <w:t>Residencial</w:t>
            </w:r>
          </w:p>
        </w:tc>
        <w:tc>
          <w:tcPr>
            <w:tcW w:w="270" w:type="dxa"/>
            <w:tcBorders>
              <w:top w:val="nil"/>
              <w:left w:val="nil"/>
              <w:bottom w:val="nil"/>
              <w:right w:val="nil"/>
            </w:tcBorders>
            <w:shd w:val="clear" w:color="auto" w:fill="auto"/>
            <w:noWrap/>
          </w:tcPr>
          <w:p w:rsidR="00785970" w:rsidRPr="006F6D80" w:rsidRDefault="006F6D80" w:rsidP="00334609">
            <w:pPr>
              <w:rPr>
                <w:lang w:val="es-ES"/>
              </w:rPr>
            </w:pPr>
          </w:p>
        </w:tc>
        <w:tc>
          <w:tcPr>
            <w:tcW w:w="1634" w:type="dxa"/>
            <w:tcBorders>
              <w:top w:val="nil"/>
              <w:left w:val="nil"/>
              <w:bottom w:val="nil"/>
              <w:right w:val="nil"/>
            </w:tcBorders>
            <w:shd w:val="clear" w:color="auto" w:fill="auto"/>
            <w:noWrap/>
            <w:vAlign w:val="bottom"/>
          </w:tcPr>
          <w:p w:rsidR="00785970" w:rsidRPr="006F6D80" w:rsidRDefault="005671DA" w:rsidP="00C06777">
            <w:pPr>
              <w:jc w:val="center"/>
              <w:rPr>
                <w:lang w:val="es-ES"/>
              </w:rPr>
            </w:pPr>
            <w:r w:rsidRPr="006F6D80">
              <w:rPr>
                <w:bdr w:val="nil"/>
                <w:lang w:val="es-ES"/>
              </w:rPr>
              <w:t>24.896</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943" w:type="dxa"/>
            <w:gridSpan w:val="3"/>
            <w:tcBorders>
              <w:top w:val="nil"/>
              <w:left w:val="nil"/>
              <w:bottom w:val="nil"/>
              <w:right w:val="nil"/>
            </w:tcBorders>
            <w:shd w:val="clear" w:color="auto" w:fill="auto"/>
            <w:vAlign w:val="bottom"/>
          </w:tcPr>
          <w:p w:rsidR="00785970" w:rsidRPr="006F6D80" w:rsidRDefault="005671DA" w:rsidP="00C06777">
            <w:pPr>
              <w:jc w:val="center"/>
              <w:rPr>
                <w:lang w:val="es-ES"/>
              </w:rPr>
            </w:pPr>
            <w:r w:rsidRPr="006F6D80">
              <w:rPr>
                <w:bdr w:val="nil"/>
                <w:lang w:val="es-ES"/>
              </w:rPr>
              <w:t>25.044</w:t>
            </w:r>
          </w:p>
        </w:tc>
        <w:tc>
          <w:tcPr>
            <w:tcW w:w="236" w:type="dxa"/>
            <w:tcBorders>
              <w:left w:val="nil"/>
              <w:bottom w:val="nil"/>
              <w:right w:val="nil"/>
            </w:tcBorders>
            <w:shd w:val="clear" w:color="auto" w:fill="auto"/>
          </w:tcPr>
          <w:p w:rsidR="00785970" w:rsidRPr="006F6D80" w:rsidRDefault="006F6D80" w:rsidP="00334609">
            <w:pPr>
              <w:jc w:val="center"/>
              <w:rPr>
                <w:lang w:val="es-ES"/>
              </w:rPr>
            </w:pP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188" w:type="dxa"/>
            <w:gridSpan w:val="2"/>
            <w:tcBorders>
              <w:top w:val="nil"/>
              <w:left w:val="nil"/>
              <w:bottom w:val="nil"/>
              <w:right w:val="nil"/>
            </w:tcBorders>
            <w:shd w:val="clear" w:color="auto" w:fill="auto"/>
            <w:noWrap/>
            <w:vAlign w:val="bottom"/>
          </w:tcPr>
          <w:p w:rsidR="00785970" w:rsidRPr="006F6D80" w:rsidRDefault="005671DA" w:rsidP="00E90598">
            <w:pPr>
              <w:jc w:val="center"/>
              <w:rPr>
                <w:lang w:val="es-ES"/>
              </w:rPr>
            </w:pPr>
            <w:r w:rsidRPr="006F6D80">
              <w:rPr>
                <w:bdr w:val="nil"/>
                <w:lang w:val="es-ES"/>
              </w:rPr>
              <w:t>0.148</w:t>
            </w:r>
          </w:p>
        </w:tc>
        <w:tc>
          <w:tcPr>
            <w:tcW w:w="236" w:type="dxa"/>
            <w:tcBorders>
              <w:top w:val="nil"/>
              <w:left w:val="nil"/>
              <w:bottom w:val="nil"/>
              <w:right w:val="nil"/>
            </w:tcBorders>
            <w:shd w:val="clear" w:color="auto" w:fill="auto"/>
            <w:noWrap/>
          </w:tcPr>
          <w:p w:rsidR="00785970" w:rsidRPr="006F6D80" w:rsidRDefault="006F6D80" w:rsidP="00334609">
            <w:pPr>
              <w:jc w:val="center"/>
              <w:rPr>
                <w:lang w:val="es-ES"/>
              </w:rPr>
            </w:pPr>
          </w:p>
        </w:tc>
        <w:tc>
          <w:tcPr>
            <w:tcW w:w="1470" w:type="dxa"/>
            <w:gridSpan w:val="2"/>
            <w:tcBorders>
              <w:top w:val="nil"/>
              <w:left w:val="nil"/>
              <w:bottom w:val="nil"/>
              <w:right w:val="nil"/>
            </w:tcBorders>
            <w:shd w:val="clear" w:color="auto" w:fill="auto"/>
            <w:vAlign w:val="bottom"/>
          </w:tcPr>
          <w:p w:rsidR="00785970" w:rsidRPr="006F6D80" w:rsidRDefault="005671DA" w:rsidP="00C06777">
            <w:pPr>
              <w:jc w:val="center"/>
              <w:rPr>
                <w:lang w:val="es-ES"/>
              </w:rPr>
            </w:pPr>
            <w:r w:rsidRPr="006F6D80">
              <w:rPr>
                <w:bdr w:val="nil"/>
                <w:lang w:val="es-ES"/>
              </w:rPr>
              <w:t>0.59</w:t>
            </w:r>
          </w:p>
        </w:tc>
        <w:tc>
          <w:tcPr>
            <w:tcW w:w="257" w:type="dxa"/>
            <w:tcBorders>
              <w:left w:val="nil"/>
              <w:bottom w:val="nil"/>
              <w:right w:val="nil"/>
            </w:tcBorders>
          </w:tcPr>
          <w:p w:rsidR="00785970" w:rsidRPr="006F6D80" w:rsidRDefault="006F6D80" w:rsidP="00334609">
            <w:pPr>
              <w:jc w:val="center"/>
              <w:rPr>
                <w:lang w:val="es-ES"/>
              </w:rPr>
            </w:pPr>
          </w:p>
        </w:tc>
      </w:tr>
      <w:tr w:rsidR="00E36219" w:rsidRPr="006F6D80" w:rsidTr="001C721E">
        <w:trPr>
          <w:trHeight w:val="255"/>
          <w:jc w:val="center"/>
        </w:trPr>
        <w:tc>
          <w:tcPr>
            <w:tcW w:w="2059" w:type="dxa"/>
            <w:gridSpan w:val="3"/>
            <w:tcBorders>
              <w:top w:val="nil"/>
              <w:left w:val="nil"/>
              <w:bottom w:val="nil"/>
              <w:right w:val="nil"/>
            </w:tcBorders>
            <w:shd w:val="clear" w:color="auto" w:fill="auto"/>
            <w:noWrap/>
          </w:tcPr>
          <w:p w:rsidR="00785970" w:rsidRPr="006F6D80" w:rsidRDefault="005671DA" w:rsidP="00334609">
            <w:pPr>
              <w:rPr>
                <w:b/>
                <w:bCs/>
                <w:lang w:val="es-ES"/>
              </w:rPr>
            </w:pPr>
            <w:r w:rsidRPr="006F6D80">
              <w:rPr>
                <w:b/>
                <w:bCs/>
                <w:bdr w:val="nil"/>
                <w:lang w:val="es-ES"/>
              </w:rPr>
              <w:t xml:space="preserve">Comercial pequeño </w:t>
            </w:r>
          </w:p>
        </w:tc>
        <w:tc>
          <w:tcPr>
            <w:tcW w:w="270" w:type="dxa"/>
            <w:tcBorders>
              <w:top w:val="nil"/>
              <w:left w:val="nil"/>
              <w:bottom w:val="nil"/>
              <w:right w:val="nil"/>
            </w:tcBorders>
            <w:shd w:val="clear" w:color="auto" w:fill="auto"/>
            <w:noWrap/>
          </w:tcPr>
          <w:p w:rsidR="00785970" w:rsidRPr="006F6D80" w:rsidRDefault="006F6D80" w:rsidP="00334609">
            <w:pPr>
              <w:rPr>
                <w:lang w:val="es-ES"/>
              </w:rPr>
            </w:pPr>
          </w:p>
        </w:tc>
        <w:tc>
          <w:tcPr>
            <w:tcW w:w="1634" w:type="dxa"/>
            <w:tcBorders>
              <w:top w:val="nil"/>
              <w:left w:val="nil"/>
              <w:bottom w:val="nil"/>
              <w:right w:val="nil"/>
            </w:tcBorders>
            <w:shd w:val="clear" w:color="auto" w:fill="auto"/>
            <w:noWrap/>
            <w:vAlign w:val="bottom"/>
          </w:tcPr>
          <w:p w:rsidR="00785970" w:rsidRPr="006F6D80" w:rsidRDefault="005671DA" w:rsidP="00334609">
            <w:pPr>
              <w:jc w:val="center"/>
              <w:rPr>
                <w:lang w:val="es-ES"/>
              </w:rPr>
            </w:pPr>
            <w:r w:rsidRPr="006F6D80">
              <w:rPr>
                <w:bdr w:val="nil"/>
                <w:lang w:val="es-ES"/>
              </w:rPr>
              <w:t>23.399</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943" w:type="dxa"/>
            <w:gridSpan w:val="3"/>
            <w:tcBorders>
              <w:top w:val="nil"/>
              <w:left w:val="nil"/>
              <w:bottom w:val="nil"/>
              <w:right w:val="nil"/>
            </w:tcBorders>
            <w:shd w:val="clear" w:color="auto" w:fill="auto"/>
            <w:vAlign w:val="bottom"/>
          </w:tcPr>
          <w:p w:rsidR="00785970" w:rsidRPr="006F6D80" w:rsidRDefault="005671DA" w:rsidP="00334609">
            <w:pPr>
              <w:jc w:val="center"/>
              <w:rPr>
                <w:lang w:val="es-ES"/>
              </w:rPr>
            </w:pPr>
            <w:r w:rsidRPr="006F6D80">
              <w:rPr>
                <w:bdr w:val="nil"/>
                <w:lang w:val="es-ES"/>
              </w:rPr>
              <w:t>23.542</w:t>
            </w:r>
          </w:p>
        </w:tc>
        <w:tc>
          <w:tcPr>
            <w:tcW w:w="236" w:type="dxa"/>
            <w:tcBorders>
              <w:top w:val="nil"/>
              <w:left w:val="nil"/>
              <w:bottom w:val="nil"/>
              <w:right w:val="nil"/>
            </w:tcBorders>
            <w:shd w:val="clear" w:color="auto" w:fill="auto"/>
          </w:tcPr>
          <w:p w:rsidR="00785970" w:rsidRPr="006F6D80" w:rsidRDefault="006F6D80" w:rsidP="00334609">
            <w:pPr>
              <w:jc w:val="center"/>
              <w:rPr>
                <w:lang w:val="es-ES"/>
              </w:rPr>
            </w:pP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188" w:type="dxa"/>
            <w:gridSpan w:val="2"/>
            <w:tcBorders>
              <w:top w:val="nil"/>
              <w:left w:val="nil"/>
              <w:bottom w:val="nil"/>
              <w:right w:val="nil"/>
            </w:tcBorders>
            <w:shd w:val="clear" w:color="auto" w:fill="auto"/>
            <w:noWrap/>
            <w:vAlign w:val="bottom"/>
          </w:tcPr>
          <w:p w:rsidR="00785970" w:rsidRPr="006F6D80" w:rsidRDefault="005671DA" w:rsidP="00C06777">
            <w:pPr>
              <w:jc w:val="center"/>
              <w:rPr>
                <w:lang w:val="es-ES"/>
              </w:rPr>
            </w:pPr>
            <w:r w:rsidRPr="006F6D80">
              <w:rPr>
                <w:bdr w:val="nil"/>
                <w:lang w:val="es-ES"/>
              </w:rPr>
              <w:t>0.143</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470" w:type="dxa"/>
            <w:gridSpan w:val="2"/>
            <w:tcBorders>
              <w:top w:val="nil"/>
              <w:left w:val="nil"/>
              <w:bottom w:val="nil"/>
              <w:right w:val="nil"/>
            </w:tcBorders>
            <w:shd w:val="clear" w:color="auto" w:fill="auto"/>
            <w:vAlign w:val="bottom"/>
          </w:tcPr>
          <w:p w:rsidR="00785970" w:rsidRPr="006F6D80" w:rsidRDefault="005671DA" w:rsidP="00C06777">
            <w:pPr>
              <w:jc w:val="center"/>
              <w:rPr>
                <w:lang w:val="es-ES"/>
              </w:rPr>
            </w:pPr>
            <w:r w:rsidRPr="006F6D80">
              <w:rPr>
                <w:bdr w:val="nil"/>
                <w:lang w:val="es-ES"/>
              </w:rPr>
              <w:t>0.61</w:t>
            </w:r>
          </w:p>
        </w:tc>
        <w:tc>
          <w:tcPr>
            <w:tcW w:w="257" w:type="dxa"/>
            <w:tcBorders>
              <w:top w:val="nil"/>
              <w:left w:val="nil"/>
              <w:bottom w:val="nil"/>
              <w:right w:val="nil"/>
            </w:tcBorders>
          </w:tcPr>
          <w:p w:rsidR="00785970" w:rsidRPr="006F6D80" w:rsidRDefault="006F6D80" w:rsidP="00334609">
            <w:pPr>
              <w:jc w:val="center"/>
              <w:rPr>
                <w:lang w:val="es-ES"/>
              </w:rPr>
            </w:pPr>
          </w:p>
        </w:tc>
      </w:tr>
      <w:tr w:rsidR="00E36219" w:rsidRPr="006F6D80" w:rsidTr="001C721E">
        <w:trPr>
          <w:trHeight w:val="255"/>
          <w:jc w:val="center"/>
        </w:trPr>
        <w:tc>
          <w:tcPr>
            <w:tcW w:w="2059" w:type="dxa"/>
            <w:gridSpan w:val="3"/>
            <w:tcBorders>
              <w:top w:val="nil"/>
              <w:left w:val="nil"/>
              <w:bottom w:val="nil"/>
              <w:right w:val="nil"/>
            </w:tcBorders>
            <w:shd w:val="clear" w:color="auto" w:fill="auto"/>
            <w:noWrap/>
          </w:tcPr>
          <w:p w:rsidR="00785970" w:rsidRPr="006F6D80" w:rsidRDefault="005671DA" w:rsidP="00356776">
            <w:pPr>
              <w:rPr>
                <w:b/>
                <w:bCs/>
                <w:lang w:val="es-ES"/>
              </w:rPr>
            </w:pPr>
            <w:r w:rsidRPr="006F6D80">
              <w:rPr>
                <w:b/>
                <w:bCs/>
                <w:bdr w:val="nil"/>
                <w:lang w:val="es-ES"/>
              </w:rPr>
              <w:t>CeI mediano y grande</w:t>
            </w:r>
            <w:r w:rsidRPr="006F6D80">
              <w:rPr>
                <w:b/>
                <w:bCs/>
                <w:bdr w:val="nil"/>
                <w:vertAlign w:val="superscript"/>
                <w:lang w:val="es-ES"/>
              </w:rPr>
              <w:t>4</w:t>
            </w:r>
          </w:p>
        </w:tc>
        <w:tc>
          <w:tcPr>
            <w:tcW w:w="270" w:type="dxa"/>
            <w:tcBorders>
              <w:top w:val="nil"/>
              <w:left w:val="nil"/>
              <w:bottom w:val="nil"/>
              <w:right w:val="nil"/>
            </w:tcBorders>
            <w:shd w:val="clear" w:color="auto" w:fill="auto"/>
            <w:noWrap/>
          </w:tcPr>
          <w:p w:rsidR="00785970" w:rsidRPr="006F6D80" w:rsidRDefault="006F6D80" w:rsidP="00334609">
            <w:pPr>
              <w:rPr>
                <w:lang w:val="es-ES"/>
              </w:rPr>
            </w:pPr>
          </w:p>
        </w:tc>
        <w:tc>
          <w:tcPr>
            <w:tcW w:w="1634" w:type="dxa"/>
            <w:tcBorders>
              <w:top w:val="nil"/>
              <w:left w:val="nil"/>
              <w:bottom w:val="nil"/>
              <w:right w:val="nil"/>
            </w:tcBorders>
            <w:shd w:val="clear" w:color="auto" w:fill="auto"/>
            <w:noWrap/>
            <w:vAlign w:val="bottom"/>
          </w:tcPr>
          <w:p w:rsidR="00785970" w:rsidRPr="006F6D80" w:rsidRDefault="005671DA" w:rsidP="00C06777">
            <w:pPr>
              <w:jc w:val="center"/>
              <w:rPr>
                <w:lang w:val="es-ES"/>
              </w:rPr>
            </w:pPr>
            <w:r w:rsidRPr="006F6D80">
              <w:rPr>
                <w:bdr w:val="nil"/>
                <w:lang w:val="es-ES"/>
              </w:rPr>
              <w:t>19.374</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943" w:type="dxa"/>
            <w:gridSpan w:val="3"/>
            <w:tcBorders>
              <w:top w:val="nil"/>
              <w:left w:val="nil"/>
              <w:bottom w:val="nil"/>
              <w:right w:val="nil"/>
            </w:tcBorders>
            <w:shd w:val="clear" w:color="auto" w:fill="auto"/>
            <w:vAlign w:val="bottom"/>
          </w:tcPr>
          <w:p w:rsidR="00785970" w:rsidRPr="006F6D80" w:rsidRDefault="005671DA" w:rsidP="00C06777">
            <w:pPr>
              <w:jc w:val="center"/>
              <w:rPr>
                <w:lang w:val="es-ES"/>
              </w:rPr>
            </w:pPr>
            <w:r w:rsidRPr="006F6D80">
              <w:rPr>
                <w:bdr w:val="nil"/>
                <w:lang w:val="es-ES"/>
              </w:rPr>
              <w:t>19.457</w:t>
            </w:r>
          </w:p>
        </w:tc>
        <w:tc>
          <w:tcPr>
            <w:tcW w:w="236" w:type="dxa"/>
            <w:tcBorders>
              <w:top w:val="nil"/>
              <w:left w:val="nil"/>
              <w:bottom w:val="nil"/>
              <w:right w:val="nil"/>
            </w:tcBorders>
            <w:shd w:val="clear" w:color="auto" w:fill="auto"/>
          </w:tcPr>
          <w:p w:rsidR="00785970" w:rsidRPr="006F6D80" w:rsidRDefault="006F6D80" w:rsidP="00334609">
            <w:pPr>
              <w:jc w:val="center"/>
              <w:rPr>
                <w:lang w:val="es-ES"/>
              </w:rPr>
            </w:pP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188" w:type="dxa"/>
            <w:gridSpan w:val="2"/>
            <w:tcBorders>
              <w:top w:val="nil"/>
              <w:left w:val="nil"/>
              <w:bottom w:val="nil"/>
              <w:right w:val="nil"/>
            </w:tcBorders>
            <w:shd w:val="clear" w:color="auto" w:fill="auto"/>
            <w:noWrap/>
            <w:vAlign w:val="bottom"/>
          </w:tcPr>
          <w:p w:rsidR="00785970" w:rsidRPr="006F6D80" w:rsidRDefault="005671DA" w:rsidP="00C06777">
            <w:pPr>
              <w:jc w:val="center"/>
              <w:rPr>
                <w:lang w:val="es-ES"/>
              </w:rPr>
            </w:pPr>
            <w:r w:rsidRPr="006F6D80">
              <w:rPr>
                <w:bdr w:val="nil"/>
                <w:lang w:val="es-ES"/>
              </w:rPr>
              <w:t>0.083</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470" w:type="dxa"/>
            <w:gridSpan w:val="2"/>
            <w:tcBorders>
              <w:top w:val="nil"/>
              <w:left w:val="nil"/>
              <w:bottom w:val="nil"/>
              <w:right w:val="nil"/>
            </w:tcBorders>
            <w:shd w:val="clear" w:color="auto" w:fill="auto"/>
            <w:vAlign w:val="bottom"/>
          </w:tcPr>
          <w:p w:rsidR="00785970" w:rsidRPr="006F6D80" w:rsidRDefault="005671DA" w:rsidP="00334609">
            <w:pPr>
              <w:jc w:val="center"/>
              <w:rPr>
                <w:lang w:val="es-ES"/>
              </w:rPr>
            </w:pPr>
            <w:r w:rsidRPr="006F6D80">
              <w:rPr>
                <w:bdr w:val="nil"/>
                <w:lang w:val="es-ES"/>
              </w:rPr>
              <w:t>0.43</w:t>
            </w:r>
          </w:p>
        </w:tc>
        <w:tc>
          <w:tcPr>
            <w:tcW w:w="257" w:type="dxa"/>
            <w:tcBorders>
              <w:top w:val="nil"/>
              <w:left w:val="nil"/>
              <w:bottom w:val="nil"/>
              <w:right w:val="nil"/>
            </w:tcBorders>
          </w:tcPr>
          <w:p w:rsidR="00785970" w:rsidRPr="006F6D80" w:rsidRDefault="006F6D80" w:rsidP="00334609">
            <w:pPr>
              <w:jc w:val="center"/>
              <w:rPr>
                <w:lang w:val="es-ES"/>
              </w:rPr>
            </w:pPr>
          </w:p>
        </w:tc>
      </w:tr>
      <w:tr w:rsidR="00E36219" w:rsidRPr="006F6D80" w:rsidTr="001C721E">
        <w:trPr>
          <w:trHeight w:val="255"/>
          <w:jc w:val="center"/>
        </w:trPr>
        <w:tc>
          <w:tcPr>
            <w:tcW w:w="2059" w:type="dxa"/>
            <w:gridSpan w:val="3"/>
            <w:tcBorders>
              <w:top w:val="nil"/>
              <w:left w:val="nil"/>
              <w:bottom w:val="nil"/>
              <w:right w:val="nil"/>
            </w:tcBorders>
            <w:shd w:val="clear" w:color="auto" w:fill="auto"/>
            <w:noWrap/>
          </w:tcPr>
          <w:p w:rsidR="00785970" w:rsidRPr="006F6D80" w:rsidRDefault="005671DA" w:rsidP="00334609">
            <w:pPr>
              <w:rPr>
                <w:b/>
                <w:bCs/>
                <w:lang w:val="es-ES"/>
              </w:rPr>
            </w:pPr>
            <w:r w:rsidRPr="006F6D80">
              <w:rPr>
                <w:b/>
                <w:bCs/>
                <w:bdr w:val="nil"/>
                <w:lang w:val="es-ES"/>
              </w:rPr>
              <w:t>Agrícola</w:t>
            </w:r>
          </w:p>
        </w:tc>
        <w:tc>
          <w:tcPr>
            <w:tcW w:w="270" w:type="dxa"/>
            <w:tcBorders>
              <w:top w:val="nil"/>
              <w:left w:val="nil"/>
              <w:bottom w:val="nil"/>
              <w:right w:val="nil"/>
            </w:tcBorders>
            <w:shd w:val="clear" w:color="auto" w:fill="auto"/>
            <w:noWrap/>
          </w:tcPr>
          <w:p w:rsidR="00785970" w:rsidRPr="006F6D80" w:rsidRDefault="006F6D80" w:rsidP="00334609">
            <w:pPr>
              <w:rPr>
                <w:lang w:val="es-ES"/>
              </w:rPr>
            </w:pPr>
          </w:p>
        </w:tc>
        <w:tc>
          <w:tcPr>
            <w:tcW w:w="1634" w:type="dxa"/>
            <w:tcBorders>
              <w:top w:val="nil"/>
              <w:left w:val="nil"/>
              <w:bottom w:val="nil"/>
              <w:right w:val="nil"/>
            </w:tcBorders>
            <w:shd w:val="clear" w:color="auto" w:fill="auto"/>
            <w:noWrap/>
            <w:vAlign w:val="bottom"/>
          </w:tcPr>
          <w:p w:rsidR="00785970" w:rsidRPr="006F6D80" w:rsidRDefault="005671DA" w:rsidP="00334609">
            <w:pPr>
              <w:jc w:val="center"/>
              <w:rPr>
                <w:lang w:val="es-ES"/>
              </w:rPr>
            </w:pPr>
            <w:r w:rsidRPr="006F6D80">
              <w:rPr>
                <w:bdr w:val="nil"/>
                <w:lang w:val="es-ES"/>
              </w:rPr>
              <w:t>17.389</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943" w:type="dxa"/>
            <w:gridSpan w:val="3"/>
            <w:tcBorders>
              <w:top w:val="nil"/>
              <w:left w:val="nil"/>
              <w:bottom w:val="nil"/>
              <w:right w:val="nil"/>
            </w:tcBorders>
            <w:shd w:val="clear" w:color="auto" w:fill="auto"/>
            <w:vAlign w:val="bottom"/>
          </w:tcPr>
          <w:p w:rsidR="00785970" w:rsidRPr="006F6D80" w:rsidRDefault="005671DA" w:rsidP="00334609">
            <w:pPr>
              <w:jc w:val="center"/>
              <w:rPr>
                <w:lang w:val="es-ES"/>
              </w:rPr>
            </w:pPr>
            <w:r w:rsidRPr="006F6D80">
              <w:rPr>
                <w:bdr w:val="nil"/>
                <w:lang w:val="es-ES"/>
              </w:rPr>
              <w:t>17.482</w:t>
            </w:r>
          </w:p>
        </w:tc>
        <w:tc>
          <w:tcPr>
            <w:tcW w:w="236" w:type="dxa"/>
            <w:tcBorders>
              <w:top w:val="nil"/>
              <w:left w:val="nil"/>
              <w:bottom w:val="nil"/>
              <w:right w:val="nil"/>
            </w:tcBorders>
            <w:shd w:val="clear" w:color="auto" w:fill="auto"/>
          </w:tcPr>
          <w:p w:rsidR="00785970" w:rsidRPr="006F6D80" w:rsidRDefault="006F6D80" w:rsidP="00334609">
            <w:pPr>
              <w:jc w:val="center"/>
              <w:rPr>
                <w:lang w:val="es-ES"/>
              </w:rPr>
            </w:pP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188" w:type="dxa"/>
            <w:gridSpan w:val="2"/>
            <w:tcBorders>
              <w:top w:val="nil"/>
              <w:left w:val="nil"/>
              <w:bottom w:val="nil"/>
              <w:right w:val="nil"/>
            </w:tcBorders>
            <w:shd w:val="clear" w:color="auto" w:fill="auto"/>
            <w:noWrap/>
            <w:vAlign w:val="bottom"/>
          </w:tcPr>
          <w:p w:rsidR="00785970" w:rsidRPr="006F6D80" w:rsidRDefault="005671DA" w:rsidP="00C06777">
            <w:pPr>
              <w:jc w:val="center"/>
              <w:rPr>
                <w:lang w:val="es-ES"/>
              </w:rPr>
            </w:pPr>
            <w:r w:rsidRPr="006F6D80">
              <w:rPr>
                <w:bdr w:val="nil"/>
                <w:lang w:val="es-ES"/>
              </w:rPr>
              <w:t>0.093</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470" w:type="dxa"/>
            <w:gridSpan w:val="2"/>
            <w:tcBorders>
              <w:top w:val="nil"/>
              <w:left w:val="nil"/>
              <w:bottom w:val="nil"/>
              <w:right w:val="nil"/>
            </w:tcBorders>
            <w:shd w:val="clear" w:color="auto" w:fill="auto"/>
            <w:vAlign w:val="bottom"/>
          </w:tcPr>
          <w:p w:rsidR="00785970" w:rsidRPr="006F6D80" w:rsidRDefault="005671DA" w:rsidP="00C06777">
            <w:pPr>
              <w:jc w:val="center"/>
              <w:rPr>
                <w:lang w:val="es-ES"/>
              </w:rPr>
            </w:pPr>
            <w:r w:rsidRPr="006F6D80">
              <w:rPr>
                <w:bdr w:val="nil"/>
                <w:lang w:val="es-ES"/>
              </w:rPr>
              <w:t>0.53</w:t>
            </w:r>
          </w:p>
        </w:tc>
        <w:tc>
          <w:tcPr>
            <w:tcW w:w="257" w:type="dxa"/>
            <w:tcBorders>
              <w:top w:val="nil"/>
              <w:left w:val="nil"/>
              <w:bottom w:val="nil"/>
              <w:right w:val="nil"/>
            </w:tcBorders>
          </w:tcPr>
          <w:p w:rsidR="00785970" w:rsidRPr="006F6D80" w:rsidRDefault="006F6D80" w:rsidP="00334609">
            <w:pPr>
              <w:jc w:val="center"/>
              <w:rPr>
                <w:lang w:val="es-ES"/>
              </w:rPr>
            </w:pPr>
          </w:p>
        </w:tc>
      </w:tr>
      <w:tr w:rsidR="00E36219" w:rsidRPr="006F6D80" w:rsidTr="001C721E">
        <w:trPr>
          <w:trHeight w:val="255"/>
          <w:jc w:val="center"/>
        </w:trPr>
        <w:tc>
          <w:tcPr>
            <w:tcW w:w="2059" w:type="dxa"/>
            <w:gridSpan w:val="3"/>
            <w:tcBorders>
              <w:top w:val="nil"/>
              <w:left w:val="nil"/>
              <w:bottom w:val="nil"/>
              <w:right w:val="nil"/>
            </w:tcBorders>
            <w:shd w:val="clear" w:color="auto" w:fill="auto"/>
            <w:noWrap/>
          </w:tcPr>
          <w:p w:rsidR="00785970" w:rsidRPr="006F6D80" w:rsidRDefault="005671DA" w:rsidP="00334609">
            <w:pPr>
              <w:rPr>
                <w:b/>
                <w:bCs/>
                <w:lang w:val="es-ES"/>
              </w:rPr>
            </w:pPr>
            <w:r w:rsidRPr="006F6D80">
              <w:rPr>
                <w:b/>
                <w:bCs/>
                <w:bdr w:val="nil"/>
                <w:lang w:val="es-ES"/>
              </w:rPr>
              <w:lastRenderedPageBreak/>
              <w:t>Iluminación</w:t>
            </w:r>
          </w:p>
        </w:tc>
        <w:tc>
          <w:tcPr>
            <w:tcW w:w="270" w:type="dxa"/>
            <w:tcBorders>
              <w:top w:val="nil"/>
              <w:left w:val="nil"/>
              <w:bottom w:val="nil"/>
              <w:right w:val="nil"/>
            </w:tcBorders>
            <w:shd w:val="clear" w:color="auto" w:fill="auto"/>
            <w:noWrap/>
          </w:tcPr>
          <w:p w:rsidR="00785970" w:rsidRPr="006F6D80" w:rsidRDefault="006F6D80" w:rsidP="00334609">
            <w:pPr>
              <w:rPr>
                <w:lang w:val="es-ES"/>
              </w:rPr>
            </w:pPr>
          </w:p>
        </w:tc>
        <w:tc>
          <w:tcPr>
            <w:tcW w:w="1634" w:type="dxa"/>
            <w:tcBorders>
              <w:top w:val="nil"/>
              <w:left w:val="nil"/>
              <w:bottom w:val="nil"/>
              <w:right w:val="nil"/>
            </w:tcBorders>
            <w:shd w:val="clear" w:color="auto" w:fill="auto"/>
            <w:noWrap/>
            <w:vAlign w:val="bottom"/>
          </w:tcPr>
          <w:p w:rsidR="00785970" w:rsidRPr="006F6D80" w:rsidRDefault="005671DA" w:rsidP="00C06777">
            <w:pPr>
              <w:jc w:val="center"/>
              <w:rPr>
                <w:lang w:val="es-ES"/>
              </w:rPr>
            </w:pPr>
            <w:r w:rsidRPr="006F6D80">
              <w:rPr>
                <w:bdr w:val="nil"/>
                <w:lang w:val="es-ES"/>
              </w:rPr>
              <w:t>19.565</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943" w:type="dxa"/>
            <w:gridSpan w:val="3"/>
            <w:tcBorders>
              <w:top w:val="nil"/>
              <w:left w:val="nil"/>
              <w:bottom w:val="nil"/>
              <w:right w:val="nil"/>
            </w:tcBorders>
            <w:shd w:val="clear" w:color="auto" w:fill="auto"/>
            <w:vAlign w:val="bottom"/>
          </w:tcPr>
          <w:p w:rsidR="00785970" w:rsidRPr="006F6D80" w:rsidRDefault="005671DA" w:rsidP="00C06777">
            <w:pPr>
              <w:jc w:val="center"/>
              <w:rPr>
                <w:lang w:val="es-ES"/>
              </w:rPr>
            </w:pPr>
            <w:r w:rsidRPr="006F6D80">
              <w:rPr>
                <w:bdr w:val="nil"/>
                <w:lang w:val="es-ES"/>
              </w:rPr>
              <w:t>19.647</w:t>
            </w:r>
          </w:p>
        </w:tc>
        <w:tc>
          <w:tcPr>
            <w:tcW w:w="236" w:type="dxa"/>
            <w:tcBorders>
              <w:top w:val="nil"/>
              <w:left w:val="nil"/>
              <w:bottom w:val="nil"/>
              <w:right w:val="nil"/>
            </w:tcBorders>
            <w:shd w:val="clear" w:color="auto" w:fill="auto"/>
          </w:tcPr>
          <w:p w:rsidR="00785970" w:rsidRPr="006F6D80" w:rsidRDefault="006F6D80" w:rsidP="00334609">
            <w:pPr>
              <w:jc w:val="center"/>
              <w:rPr>
                <w:lang w:val="es-ES"/>
              </w:rPr>
            </w:pP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188" w:type="dxa"/>
            <w:gridSpan w:val="2"/>
            <w:tcBorders>
              <w:top w:val="nil"/>
              <w:left w:val="nil"/>
              <w:bottom w:val="nil"/>
              <w:right w:val="nil"/>
            </w:tcBorders>
            <w:shd w:val="clear" w:color="auto" w:fill="auto"/>
            <w:noWrap/>
            <w:vAlign w:val="bottom"/>
          </w:tcPr>
          <w:p w:rsidR="00785970" w:rsidRPr="006F6D80" w:rsidRDefault="005671DA" w:rsidP="00C06777">
            <w:pPr>
              <w:jc w:val="center"/>
              <w:rPr>
                <w:lang w:val="es-ES"/>
              </w:rPr>
            </w:pPr>
            <w:r w:rsidRPr="006F6D80">
              <w:rPr>
                <w:bdr w:val="nil"/>
                <w:lang w:val="es-ES"/>
              </w:rPr>
              <w:t>0.082</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470" w:type="dxa"/>
            <w:gridSpan w:val="2"/>
            <w:tcBorders>
              <w:top w:val="nil"/>
              <w:left w:val="nil"/>
              <w:bottom w:val="nil"/>
              <w:right w:val="nil"/>
            </w:tcBorders>
            <w:shd w:val="clear" w:color="auto" w:fill="auto"/>
            <w:vAlign w:val="bottom"/>
          </w:tcPr>
          <w:p w:rsidR="00785970" w:rsidRPr="006F6D80" w:rsidRDefault="005671DA" w:rsidP="0055214A">
            <w:pPr>
              <w:jc w:val="center"/>
              <w:rPr>
                <w:lang w:val="es-ES"/>
              </w:rPr>
            </w:pPr>
            <w:r w:rsidRPr="006F6D80">
              <w:rPr>
                <w:bdr w:val="nil"/>
                <w:lang w:val="es-ES"/>
              </w:rPr>
              <w:t>0.42</w:t>
            </w:r>
          </w:p>
        </w:tc>
        <w:tc>
          <w:tcPr>
            <w:tcW w:w="257" w:type="dxa"/>
            <w:tcBorders>
              <w:top w:val="nil"/>
              <w:left w:val="nil"/>
              <w:bottom w:val="nil"/>
              <w:right w:val="nil"/>
            </w:tcBorders>
          </w:tcPr>
          <w:p w:rsidR="00785970" w:rsidRPr="006F6D80" w:rsidRDefault="006F6D80" w:rsidP="00334609">
            <w:pPr>
              <w:jc w:val="center"/>
              <w:rPr>
                <w:lang w:val="es-ES"/>
              </w:rPr>
            </w:pPr>
          </w:p>
        </w:tc>
      </w:tr>
      <w:tr w:rsidR="00E36219" w:rsidRPr="006F6D80" w:rsidTr="001C721E">
        <w:trPr>
          <w:trHeight w:val="255"/>
          <w:jc w:val="center"/>
        </w:trPr>
        <w:tc>
          <w:tcPr>
            <w:tcW w:w="2059" w:type="dxa"/>
            <w:gridSpan w:val="3"/>
            <w:tcBorders>
              <w:top w:val="nil"/>
              <w:left w:val="nil"/>
              <w:bottom w:val="nil"/>
              <w:right w:val="nil"/>
            </w:tcBorders>
            <w:shd w:val="clear" w:color="auto" w:fill="auto"/>
            <w:noWrap/>
          </w:tcPr>
          <w:p w:rsidR="00785970" w:rsidRPr="006F6D80" w:rsidRDefault="005671DA" w:rsidP="00334609">
            <w:pPr>
              <w:rPr>
                <w:b/>
                <w:bCs/>
                <w:lang w:val="es-ES"/>
              </w:rPr>
            </w:pPr>
            <w:r w:rsidRPr="006F6D80">
              <w:rPr>
                <w:b/>
                <w:bCs/>
                <w:bdr w:val="nil"/>
                <w:lang w:val="es-ES"/>
              </w:rPr>
              <w:t>Total del sistema</w:t>
            </w:r>
          </w:p>
        </w:tc>
        <w:tc>
          <w:tcPr>
            <w:tcW w:w="270" w:type="dxa"/>
            <w:tcBorders>
              <w:top w:val="nil"/>
              <w:left w:val="nil"/>
              <w:bottom w:val="nil"/>
              <w:right w:val="nil"/>
            </w:tcBorders>
            <w:shd w:val="clear" w:color="auto" w:fill="auto"/>
            <w:noWrap/>
          </w:tcPr>
          <w:p w:rsidR="00785970" w:rsidRPr="006F6D80" w:rsidRDefault="006F6D80" w:rsidP="00334609">
            <w:pPr>
              <w:rPr>
                <w:lang w:val="es-ES"/>
              </w:rPr>
            </w:pPr>
          </w:p>
        </w:tc>
        <w:tc>
          <w:tcPr>
            <w:tcW w:w="1634" w:type="dxa"/>
            <w:tcBorders>
              <w:top w:val="nil"/>
              <w:left w:val="nil"/>
              <w:bottom w:val="nil"/>
              <w:right w:val="nil"/>
            </w:tcBorders>
            <w:shd w:val="clear" w:color="auto" w:fill="auto"/>
            <w:noWrap/>
            <w:vAlign w:val="bottom"/>
          </w:tcPr>
          <w:p w:rsidR="00785970" w:rsidRPr="006F6D80" w:rsidRDefault="005671DA" w:rsidP="00334609">
            <w:pPr>
              <w:jc w:val="center"/>
              <w:rPr>
                <w:lang w:val="es-ES"/>
              </w:rPr>
            </w:pPr>
            <w:r w:rsidRPr="006F6D80">
              <w:rPr>
                <w:bdr w:val="nil"/>
                <w:lang w:val="es-ES"/>
              </w:rPr>
              <w:t>21.783</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943" w:type="dxa"/>
            <w:gridSpan w:val="3"/>
            <w:tcBorders>
              <w:top w:val="nil"/>
              <w:left w:val="nil"/>
              <w:bottom w:val="nil"/>
              <w:right w:val="nil"/>
            </w:tcBorders>
            <w:shd w:val="clear" w:color="auto" w:fill="auto"/>
            <w:vAlign w:val="bottom"/>
          </w:tcPr>
          <w:p w:rsidR="00785970" w:rsidRPr="006F6D80" w:rsidRDefault="005671DA" w:rsidP="00E90598">
            <w:pPr>
              <w:jc w:val="center"/>
              <w:rPr>
                <w:lang w:val="es-ES"/>
              </w:rPr>
            </w:pPr>
            <w:r w:rsidRPr="006F6D80">
              <w:rPr>
                <w:bdr w:val="nil"/>
                <w:lang w:val="es-ES"/>
              </w:rPr>
              <w:t>21.896</w:t>
            </w:r>
          </w:p>
        </w:tc>
        <w:tc>
          <w:tcPr>
            <w:tcW w:w="236" w:type="dxa"/>
            <w:tcBorders>
              <w:top w:val="nil"/>
              <w:left w:val="nil"/>
              <w:bottom w:val="nil"/>
              <w:right w:val="nil"/>
            </w:tcBorders>
            <w:shd w:val="clear" w:color="auto" w:fill="auto"/>
          </w:tcPr>
          <w:p w:rsidR="00785970" w:rsidRPr="006F6D80" w:rsidRDefault="006F6D80" w:rsidP="00334609">
            <w:pPr>
              <w:jc w:val="center"/>
              <w:rPr>
                <w:lang w:val="es-ES"/>
              </w:rPr>
            </w:pP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188" w:type="dxa"/>
            <w:gridSpan w:val="2"/>
            <w:tcBorders>
              <w:top w:val="nil"/>
              <w:left w:val="nil"/>
              <w:bottom w:val="nil"/>
              <w:right w:val="nil"/>
            </w:tcBorders>
            <w:shd w:val="clear" w:color="auto" w:fill="auto"/>
            <w:noWrap/>
            <w:vAlign w:val="bottom"/>
          </w:tcPr>
          <w:p w:rsidR="00785970" w:rsidRPr="006F6D80" w:rsidRDefault="005671DA" w:rsidP="00C06777">
            <w:pPr>
              <w:jc w:val="center"/>
              <w:rPr>
                <w:lang w:val="es-ES"/>
              </w:rPr>
            </w:pPr>
            <w:r w:rsidRPr="006F6D80">
              <w:rPr>
                <w:bdr w:val="nil"/>
                <w:lang w:val="es-ES"/>
              </w:rPr>
              <w:t>0.113</w:t>
            </w:r>
          </w:p>
        </w:tc>
        <w:tc>
          <w:tcPr>
            <w:tcW w:w="236" w:type="dxa"/>
            <w:tcBorders>
              <w:top w:val="nil"/>
              <w:left w:val="nil"/>
              <w:bottom w:val="nil"/>
              <w:right w:val="nil"/>
            </w:tcBorders>
            <w:shd w:val="clear" w:color="auto" w:fill="auto"/>
            <w:noWrap/>
          </w:tcPr>
          <w:p w:rsidR="00785970" w:rsidRPr="006F6D80" w:rsidRDefault="006F6D80" w:rsidP="00334609">
            <w:pPr>
              <w:rPr>
                <w:lang w:val="es-ES"/>
              </w:rPr>
            </w:pPr>
          </w:p>
        </w:tc>
        <w:tc>
          <w:tcPr>
            <w:tcW w:w="1470" w:type="dxa"/>
            <w:gridSpan w:val="2"/>
            <w:tcBorders>
              <w:top w:val="nil"/>
              <w:left w:val="nil"/>
              <w:bottom w:val="nil"/>
              <w:right w:val="nil"/>
            </w:tcBorders>
            <w:shd w:val="clear" w:color="auto" w:fill="auto"/>
            <w:vAlign w:val="bottom"/>
          </w:tcPr>
          <w:p w:rsidR="00785970" w:rsidRPr="006F6D80" w:rsidRDefault="005671DA" w:rsidP="00C06777">
            <w:pPr>
              <w:jc w:val="center"/>
              <w:rPr>
                <w:lang w:val="es-ES"/>
              </w:rPr>
            </w:pPr>
            <w:r w:rsidRPr="006F6D80">
              <w:rPr>
                <w:bdr w:val="nil"/>
                <w:lang w:val="es-ES"/>
              </w:rPr>
              <w:t>0.52</w:t>
            </w:r>
          </w:p>
        </w:tc>
        <w:tc>
          <w:tcPr>
            <w:tcW w:w="257" w:type="dxa"/>
            <w:tcBorders>
              <w:top w:val="nil"/>
              <w:left w:val="nil"/>
              <w:bottom w:val="nil"/>
              <w:right w:val="nil"/>
            </w:tcBorders>
          </w:tcPr>
          <w:p w:rsidR="00785970" w:rsidRPr="006F6D80" w:rsidRDefault="006F6D80" w:rsidP="00770DCD">
            <w:pPr>
              <w:jc w:val="center"/>
              <w:rPr>
                <w:lang w:val="es-ES"/>
              </w:rPr>
            </w:pPr>
          </w:p>
        </w:tc>
      </w:tr>
      <w:tr w:rsidR="00E36219" w:rsidRPr="006F6D80" w:rsidTr="00A40F28">
        <w:trPr>
          <w:gridAfter w:val="16"/>
          <w:wAfter w:w="9526" w:type="dxa"/>
          <w:trHeight w:val="198"/>
          <w:jc w:val="center"/>
        </w:trPr>
        <w:tc>
          <w:tcPr>
            <w:tcW w:w="239" w:type="dxa"/>
            <w:tcBorders>
              <w:top w:val="nil"/>
              <w:left w:val="nil"/>
              <w:bottom w:val="nil"/>
              <w:right w:val="nil"/>
            </w:tcBorders>
          </w:tcPr>
          <w:p w:rsidR="00D25660" w:rsidRPr="006F6D80" w:rsidRDefault="006F6D80" w:rsidP="00334609">
            <w:pPr>
              <w:jc w:val="center"/>
              <w:rPr>
                <w:b/>
                <w:caps/>
                <w:lang w:val="es-ES"/>
              </w:rPr>
            </w:pPr>
          </w:p>
        </w:tc>
      </w:tr>
      <w:tr w:rsidR="00E36219" w:rsidRPr="006F6D80" w:rsidTr="004F29DA">
        <w:trPr>
          <w:trHeight w:val="198"/>
          <w:jc w:val="center"/>
        </w:trPr>
        <w:tc>
          <w:tcPr>
            <w:tcW w:w="239" w:type="dxa"/>
            <w:tcBorders>
              <w:top w:val="nil"/>
              <w:left w:val="nil"/>
              <w:bottom w:val="nil"/>
              <w:right w:val="nil"/>
            </w:tcBorders>
          </w:tcPr>
          <w:p w:rsidR="004F103A" w:rsidRPr="006F6D80" w:rsidRDefault="006F6D80" w:rsidP="00A40F28">
            <w:pPr>
              <w:jc w:val="center"/>
              <w:rPr>
                <w:b/>
                <w:caps/>
                <w:lang w:val="es-ES"/>
              </w:rPr>
            </w:pPr>
          </w:p>
        </w:tc>
        <w:tc>
          <w:tcPr>
            <w:tcW w:w="270" w:type="dxa"/>
            <w:tcBorders>
              <w:top w:val="nil"/>
              <w:left w:val="nil"/>
              <w:bottom w:val="nil"/>
              <w:right w:val="nil"/>
            </w:tcBorders>
          </w:tcPr>
          <w:p w:rsidR="00A23FBC" w:rsidRPr="006F6D80" w:rsidRDefault="006F6D80" w:rsidP="00A66869">
            <w:pPr>
              <w:rPr>
                <w:lang w:val="es-ES"/>
              </w:rPr>
            </w:pPr>
          </w:p>
        </w:tc>
        <w:tc>
          <w:tcPr>
            <w:tcW w:w="1162" w:type="dxa"/>
            <w:tcBorders>
              <w:top w:val="nil"/>
              <w:left w:val="nil"/>
              <w:bottom w:val="single" w:sz="4" w:space="0" w:color="auto"/>
              <w:right w:val="nil"/>
            </w:tcBorders>
          </w:tcPr>
          <w:p w:rsidR="00A23FBC" w:rsidRPr="006F6D80" w:rsidRDefault="006F6D80" w:rsidP="00A66869">
            <w:pPr>
              <w:jc w:val="center"/>
              <w:rPr>
                <w:b/>
                <w:lang w:val="es-ES"/>
              </w:rPr>
            </w:pPr>
          </w:p>
        </w:tc>
        <w:tc>
          <w:tcPr>
            <w:tcW w:w="236" w:type="dxa"/>
            <w:tcBorders>
              <w:top w:val="nil"/>
              <w:left w:val="nil"/>
              <w:bottom w:val="nil"/>
              <w:right w:val="nil"/>
            </w:tcBorders>
          </w:tcPr>
          <w:p w:rsidR="00A23FBC" w:rsidRPr="006F6D80" w:rsidRDefault="006F6D80" w:rsidP="00A66869">
            <w:pPr>
              <w:jc w:val="center"/>
              <w:rPr>
                <w:b/>
                <w:bCs/>
                <w:lang w:val="es-ES"/>
              </w:rPr>
            </w:pPr>
          </w:p>
        </w:tc>
        <w:tc>
          <w:tcPr>
            <w:tcW w:w="1246" w:type="dxa"/>
            <w:gridSpan w:val="2"/>
            <w:tcBorders>
              <w:top w:val="nil"/>
              <w:left w:val="nil"/>
              <w:bottom w:val="single" w:sz="4" w:space="0" w:color="auto"/>
              <w:right w:val="nil"/>
            </w:tcBorders>
          </w:tcPr>
          <w:p w:rsidR="00A23FBC" w:rsidRPr="006F6D80" w:rsidRDefault="006F6D80" w:rsidP="00A66869">
            <w:pPr>
              <w:jc w:val="center"/>
              <w:rPr>
                <w:b/>
                <w:lang w:val="es-ES"/>
              </w:rPr>
            </w:pPr>
          </w:p>
        </w:tc>
        <w:tc>
          <w:tcPr>
            <w:tcW w:w="270" w:type="dxa"/>
            <w:tcBorders>
              <w:top w:val="nil"/>
              <w:left w:val="nil"/>
              <w:right w:val="nil"/>
            </w:tcBorders>
          </w:tcPr>
          <w:p w:rsidR="00A23FBC" w:rsidRPr="006F6D80" w:rsidRDefault="006F6D80" w:rsidP="00A66869">
            <w:pPr>
              <w:jc w:val="center"/>
              <w:rPr>
                <w:b/>
                <w:bCs/>
                <w:lang w:val="es-ES"/>
              </w:rPr>
            </w:pPr>
          </w:p>
        </w:tc>
        <w:tc>
          <w:tcPr>
            <w:tcW w:w="236" w:type="dxa"/>
            <w:tcBorders>
              <w:top w:val="nil"/>
              <w:left w:val="nil"/>
              <w:bottom w:val="nil"/>
              <w:right w:val="nil"/>
            </w:tcBorders>
          </w:tcPr>
          <w:p w:rsidR="00A23FBC" w:rsidRPr="006F6D80" w:rsidRDefault="006F6D80" w:rsidP="00A66869">
            <w:pPr>
              <w:rPr>
                <w:lang w:val="es-ES"/>
              </w:rPr>
            </w:pPr>
          </w:p>
        </w:tc>
        <w:tc>
          <w:tcPr>
            <w:tcW w:w="1188" w:type="dxa"/>
            <w:gridSpan w:val="3"/>
            <w:tcBorders>
              <w:top w:val="nil"/>
              <w:left w:val="nil"/>
              <w:bottom w:val="single" w:sz="4" w:space="0" w:color="auto"/>
              <w:right w:val="nil"/>
            </w:tcBorders>
          </w:tcPr>
          <w:p w:rsidR="00A23FBC" w:rsidRPr="006F6D80" w:rsidRDefault="006F6D80" w:rsidP="00A66869">
            <w:pPr>
              <w:jc w:val="center"/>
              <w:rPr>
                <w:b/>
                <w:lang w:val="es-ES"/>
              </w:rPr>
            </w:pPr>
          </w:p>
        </w:tc>
        <w:tc>
          <w:tcPr>
            <w:tcW w:w="236" w:type="dxa"/>
            <w:tcBorders>
              <w:top w:val="nil"/>
              <w:left w:val="nil"/>
              <w:bottom w:val="nil"/>
              <w:right w:val="nil"/>
            </w:tcBorders>
          </w:tcPr>
          <w:p w:rsidR="00A23FBC" w:rsidRPr="006F6D80" w:rsidRDefault="006F6D80" w:rsidP="00A66869">
            <w:pPr>
              <w:rPr>
                <w:lang w:val="es-ES"/>
              </w:rPr>
            </w:pPr>
          </w:p>
        </w:tc>
        <w:tc>
          <w:tcPr>
            <w:tcW w:w="1752" w:type="dxa"/>
            <w:gridSpan w:val="3"/>
            <w:tcBorders>
              <w:top w:val="nil"/>
              <w:left w:val="nil"/>
              <w:bottom w:val="single" w:sz="4" w:space="0" w:color="auto"/>
              <w:right w:val="nil"/>
            </w:tcBorders>
          </w:tcPr>
          <w:p w:rsidR="00A23FBC" w:rsidRPr="006F6D80" w:rsidRDefault="006F6D80" w:rsidP="00A66869">
            <w:pPr>
              <w:jc w:val="center"/>
              <w:rPr>
                <w:b/>
                <w:bCs/>
                <w:lang w:val="es-ES"/>
              </w:rPr>
            </w:pPr>
          </w:p>
        </w:tc>
        <w:tc>
          <w:tcPr>
            <w:tcW w:w="289" w:type="dxa"/>
            <w:gridSpan w:val="2"/>
            <w:tcBorders>
              <w:top w:val="nil"/>
              <w:left w:val="nil"/>
              <w:right w:val="nil"/>
            </w:tcBorders>
          </w:tcPr>
          <w:p w:rsidR="00A23FBC" w:rsidRPr="006F6D80" w:rsidRDefault="006F6D80" w:rsidP="00A66869">
            <w:pPr>
              <w:jc w:val="center"/>
              <w:rPr>
                <w:b/>
                <w:bCs/>
                <w:lang w:val="es-ES"/>
              </w:rPr>
            </w:pPr>
          </w:p>
        </w:tc>
      </w:tr>
    </w:tbl>
    <w:p w:rsidR="00472FB8" w:rsidRPr="006F6D80" w:rsidRDefault="005671DA" w:rsidP="00A23FBC">
      <w:pPr>
        <w:ind w:left="-1260" w:firstLine="1260"/>
        <w:rPr>
          <w:lang w:val="es-ES"/>
        </w:rPr>
      </w:pPr>
      <w:r w:rsidRPr="006F6D80">
        <w:rPr>
          <w:bdr w:val="nil"/>
          <w:vertAlign w:val="superscript"/>
          <w:lang w:val="es-ES"/>
        </w:rPr>
        <w:t xml:space="preserve">2 </w:t>
      </w:r>
      <w:r w:rsidRPr="006F6D80">
        <w:rPr>
          <w:bdr w:val="nil"/>
          <w:lang w:val="es-ES"/>
        </w:rPr>
        <w:t>CeI significa Comercial e Industrial.</w:t>
      </w:r>
    </w:p>
    <w:p w:rsidR="004F29DA" w:rsidRPr="006F6D80" w:rsidRDefault="006F6D80" w:rsidP="00B13855">
      <w:pPr>
        <w:pStyle w:val="Textoindependiente"/>
        <w:jc w:val="center"/>
        <w:rPr>
          <w:b/>
          <w:szCs w:val="24"/>
          <w:lang w:val="es-ES"/>
        </w:rPr>
      </w:pPr>
    </w:p>
    <w:p w:rsidR="0089053B" w:rsidRPr="006F6D80" w:rsidRDefault="006F6D80" w:rsidP="00A40F28">
      <w:pPr>
        <w:pStyle w:val="Textoindependiente"/>
        <w:jc w:val="both"/>
        <w:rPr>
          <w:bCs/>
          <w:szCs w:val="24"/>
          <w:lang w:val="es-ES"/>
        </w:rPr>
      </w:pPr>
    </w:p>
    <w:p w:rsidR="00A23FBC" w:rsidRPr="006F6D80" w:rsidRDefault="005671DA" w:rsidP="00A40F28">
      <w:pPr>
        <w:pStyle w:val="Textoindependiente"/>
        <w:jc w:val="both"/>
        <w:rPr>
          <w:b/>
          <w:bCs/>
          <w:szCs w:val="24"/>
          <w:lang w:val="es-ES"/>
        </w:rPr>
      </w:pPr>
      <w:r w:rsidRPr="006F6D80">
        <w:rPr>
          <w:b/>
          <w:bCs/>
          <w:szCs w:val="24"/>
          <w:bdr w:val="nil"/>
          <w:lang w:val="es-ES"/>
        </w:rPr>
        <w:t>Para mayor información sobre estas propuestas, puede comunicarse a la línea de Servicio de SDG&amp;E al 1-800-311-SDGE (7343).</w:t>
      </w:r>
    </w:p>
    <w:p w:rsidR="00A23FBC" w:rsidRPr="006F6D80" w:rsidRDefault="006F6D80" w:rsidP="00A40F28">
      <w:pPr>
        <w:pStyle w:val="Textoindependiente"/>
        <w:jc w:val="both"/>
        <w:rPr>
          <w:b/>
          <w:bCs/>
          <w:szCs w:val="24"/>
          <w:lang w:val="es-ES"/>
        </w:rPr>
      </w:pPr>
    </w:p>
    <w:p w:rsidR="00472FB8" w:rsidRPr="006F6D80" w:rsidRDefault="005671DA" w:rsidP="00A40F28">
      <w:pPr>
        <w:pStyle w:val="Textoindependiente"/>
        <w:jc w:val="both"/>
        <w:rPr>
          <w:b/>
          <w:bCs/>
          <w:szCs w:val="24"/>
          <w:lang w:val="es-ES"/>
        </w:rPr>
      </w:pPr>
      <w:r w:rsidRPr="006F6D80">
        <w:rPr>
          <w:b/>
          <w:bCs/>
          <w:szCs w:val="24"/>
          <w:bdr w:val="nil"/>
          <w:lang w:val="es-ES"/>
        </w:rPr>
        <w:t>PARA MÁS INFORMACIÓN</w:t>
      </w:r>
    </w:p>
    <w:p w:rsidR="00472FB8" w:rsidRPr="006F6D80" w:rsidRDefault="005671DA" w:rsidP="00A40F28">
      <w:pPr>
        <w:jc w:val="both"/>
        <w:rPr>
          <w:lang w:val="es-ES"/>
        </w:rPr>
      </w:pPr>
      <w:r w:rsidRPr="006F6D80">
        <w:rPr>
          <w:bdr w:val="nil"/>
          <w:lang w:val="es-ES"/>
        </w:rPr>
        <w:t xml:space="preserve">Puede solicitar mayor información u obtener una copia de la solicitud y los anexos relacionados escribiendo a: Jennifer Wright, San Diego Gas &amp; Electric Company, 8330 Century Park Court, San Diego, CA 92123. SDG&amp;E proporcionará una copia de esta solicitud </w:t>
      </w:r>
      <w:r w:rsidR="00AB6749" w:rsidRPr="006F6D80">
        <w:rPr>
          <w:bdr w:val="nil"/>
          <w:lang w:val="es-ES"/>
        </w:rPr>
        <w:t>bajo petición</w:t>
      </w:r>
      <w:r w:rsidRPr="006F6D80">
        <w:rPr>
          <w:bdr w:val="nil"/>
          <w:lang w:val="es-ES"/>
        </w:rPr>
        <w:t xml:space="preserve">. Se pueden revisar la solicitud y los anexos de SDG&amp;E en la Central Files Office de la CPUC, previa cita. Para más información, póngase en contacto con ellos escribiendo a </w:t>
      </w:r>
      <w:hyperlink r:id="rId8" w:history="1">
        <w:r w:rsidRPr="006F6D80">
          <w:rPr>
            <w:color w:val="0000FF"/>
            <w:u w:val="single"/>
            <w:bdr w:val="nil"/>
            <w:lang w:val="es-ES"/>
          </w:rPr>
          <w:t>aljcentralfilesid@cpuc.ca.gov</w:t>
        </w:r>
      </w:hyperlink>
      <w:r w:rsidRPr="006F6D80">
        <w:rPr>
          <w:bdr w:val="nil"/>
          <w:lang w:val="es-ES"/>
        </w:rPr>
        <w:t xml:space="preserve"> o llamando al (415) 703-2045. Una copia de esta solicitud puede inspeccionarse en las siguientes oficinas comerciales de SDG&amp;E:</w:t>
      </w:r>
    </w:p>
    <w:p w:rsidR="00472FB8" w:rsidRPr="006F6D80" w:rsidRDefault="006F6D80">
      <w:pPr>
        <w:rPr>
          <w:lang w:val="es-ES"/>
        </w:rPr>
      </w:pPr>
    </w:p>
    <w:tbl>
      <w:tblPr>
        <w:tblW w:w="0" w:type="auto"/>
        <w:tblLayout w:type="fixed"/>
        <w:tblLook w:val="0000" w:firstRow="0" w:lastRow="0" w:firstColumn="0" w:lastColumn="0" w:noHBand="0" w:noVBand="0"/>
      </w:tblPr>
      <w:tblGrid>
        <w:gridCol w:w="2952"/>
        <w:gridCol w:w="2952"/>
        <w:gridCol w:w="2952"/>
      </w:tblGrid>
      <w:tr w:rsidR="00E36219" w:rsidRPr="006F6D80">
        <w:tc>
          <w:tcPr>
            <w:tcW w:w="2952" w:type="dxa"/>
            <w:tcBorders>
              <w:top w:val="nil"/>
              <w:left w:val="nil"/>
              <w:bottom w:val="nil"/>
              <w:right w:val="nil"/>
            </w:tcBorders>
          </w:tcPr>
          <w:p w:rsidR="00472FB8" w:rsidRPr="006F6D80" w:rsidRDefault="005671DA">
            <w:pPr>
              <w:rPr>
                <w:lang w:val="es-ES"/>
              </w:rPr>
            </w:pPr>
            <w:r w:rsidRPr="006F6D80">
              <w:rPr>
                <w:bdr w:val="nil"/>
                <w:lang w:val="es-ES"/>
              </w:rPr>
              <w:t>436 H St.</w:t>
            </w:r>
          </w:p>
          <w:p w:rsidR="00472FB8" w:rsidRPr="006F6D80" w:rsidRDefault="005671DA">
            <w:pPr>
              <w:rPr>
                <w:lang w:val="es-ES"/>
              </w:rPr>
            </w:pPr>
            <w:r w:rsidRPr="006F6D80">
              <w:rPr>
                <w:bdr w:val="nil"/>
                <w:lang w:val="es-ES"/>
              </w:rPr>
              <w:t>Chula Vista, CA 91910</w:t>
            </w:r>
          </w:p>
          <w:p w:rsidR="00472FB8" w:rsidRPr="006F6D80" w:rsidRDefault="006F6D80">
            <w:pPr>
              <w:rPr>
                <w:lang w:val="es-ES"/>
              </w:rPr>
            </w:pPr>
          </w:p>
          <w:p w:rsidR="00472FB8" w:rsidRPr="006F6D80" w:rsidRDefault="005671DA">
            <w:pPr>
              <w:rPr>
                <w:lang w:val="es-ES"/>
              </w:rPr>
            </w:pPr>
            <w:r w:rsidRPr="006F6D80">
              <w:rPr>
                <w:bdr w:val="nil"/>
                <w:lang w:val="es-ES"/>
              </w:rPr>
              <w:t xml:space="preserve">2405 E. Plaza </w:t>
            </w:r>
            <w:proofErr w:type="spellStart"/>
            <w:r w:rsidRPr="006F6D80">
              <w:rPr>
                <w:bdr w:val="nil"/>
                <w:lang w:val="es-ES"/>
              </w:rPr>
              <w:t>Blvd</w:t>
            </w:r>
            <w:proofErr w:type="spellEnd"/>
            <w:r w:rsidRPr="006F6D80">
              <w:rPr>
                <w:bdr w:val="nil"/>
                <w:lang w:val="es-ES"/>
              </w:rPr>
              <w:t>.</w:t>
            </w:r>
          </w:p>
          <w:p w:rsidR="00472FB8" w:rsidRPr="006F6D80" w:rsidRDefault="005671DA">
            <w:pPr>
              <w:rPr>
                <w:lang w:val="es-ES"/>
              </w:rPr>
            </w:pPr>
            <w:proofErr w:type="spellStart"/>
            <w:r w:rsidRPr="006F6D80">
              <w:rPr>
                <w:bdr w:val="nil"/>
                <w:lang w:val="es-ES"/>
              </w:rPr>
              <w:t>National</w:t>
            </w:r>
            <w:proofErr w:type="spellEnd"/>
            <w:r w:rsidRPr="006F6D80">
              <w:rPr>
                <w:bdr w:val="nil"/>
                <w:lang w:val="es-ES"/>
              </w:rPr>
              <w:t xml:space="preserve"> City, CA 91950</w:t>
            </w:r>
          </w:p>
          <w:p w:rsidR="00472FB8" w:rsidRPr="006F6D80" w:rsidRDefault="006F6D80">
            <w:pPr>
              <w:rPr>
                <w:lang w:val="es-ES"/>
              </w:rPr>
            </w:pPr>
          </w:p>
          <w:p w:rsidR="00472FB8" w:rsidRPr="006F6D80" w:rsidRDefault="005671DA">
            <w:pPr>
              <w:rPr>
                <w:lang w:val="es-ES"/>
              </w:rPr>
            </w:pPr>
            <w:r w:rsidRPr="006F6D80">
              <w:rPr>
                <w:bdr w:val="nil"/>
                <w:lang w:val="es-ES"/>
              </w:rPr>
              <w:t xml:space="preserve">440 </w:t>
            </w:r>
            <w:proofErr w:type="spellStart"/>
            <w:r w:rsidRPr="006F6D80">
              <w:rPr>
                <w:bdr w:val="nil"/>
                <w:lang w:val="es-ES"/>
              </w:rPr>
              <w:t>Beech</w:t>
            </w:r>
            <w:proofErr w:type="spellEnd"/>
            <w:r w:rsidRPr="006F6D80">
              <w:rPr>
                <w:bdr w:val="nil"/>
                <w:lang w:val="es-ES"/>
              </w:rPr>
              <w:t xml:space="preserve"> St.</w:t>
            </w:r>
          </w:p>
          <w:p w:rsidR="00472FB8" w:rsidRPr="006F6D80" w:rsidRDefault="005671DA">
            <w:pPr>
              <w:rPr>
                <w:lang w:val="es-ES"/>
              </w:rPr>
            </w:pPr>
            <w:r w:rsidRPr="006F6D80">
              <w:rPr>
                <w:bdr w:val="nil"/>
                <w:lang w:val="es-ES"/>
              </w:rPr>
              <w:t>San Diego, CA 92101</w:t>
            </w:r>
          </w:p>
        </w:tc>
        <w:tc>
          <w:tcPr>
            <w:tcW w:w="2952" w:type="dxa"/>
            <w:tcBorders>
              <w:top w:val="nil"/>
              <w:left w:val="nil"/>
              <w:bottom w:val="nil"/>
              <w:right w:val="nil"/>
            </w:tcBorders>
          </w:tcPr>
          <w:p w:rsidR="00472FB8" w:rsidRPr="006F6D80" w:rsidRDefault="005671DA">
            <w:pPr>
              <w:rPr>
                <w:lang w:val="es-ES"/>
              </w:rPr>
            </w:pPr>
            <w:r w:rsidRPr="006F6D80">
              <w:rPr>
                <w:bdr w:val="nil"/>
                <w:lang w:val="es-ES"/>
              </w:rPr>
              <w:t>104 N. Johnson Ave.</w:t>
            </w:r>
          </w:p>
          <w:p w:rsidR="00472FB8" w:rsidRPr="006F6D80" w:rsidRDefault="005671DA">
            <w:pPr>
              <w:rPr>
                <w:lang w:val="es-ES"/>
              </w:rPr>
            </w:pPr>
            <w:r w:rsidRPr="006F6D80">
              <w:rPr>
                <w:bdr w:val="nil"/>
                <w:lang w:val="es-ES"/>
              </w:rPr>
              <w:t xml:space="preserve">El </w:t>
            </w:r>
            <w:proofErr w:type="spellStart"/>
            <w:r w:rsidRPr="006F6D80">
              <w:rPr>
                <w:bdr w:val="nil"/>
                <w:lang w:val="es-ES"/>
              </w:rPr>
              <w:t>Cajon</w:t>
            </w:r>
            <w:proofErr w:type="spellEnd"/>
            <w:r w:rsidRPr="006F6D80">
              <w:rPr>
                <w:bdr w:val="nil"/>
                <w:lang w:val="es-ES"/>
              </w:rPr>
              <w:t>, CA 92020</w:t>
            </w:r>
          </w:p>
          <w:p w:rsidR="00472FB8" w:rsidRPr="006F6D80" w:rsidRDefault="006F6D80">
            <w:pPr>
              <w:rPr>
                <w:lang w:val="es-ES"/>
              </w:rPr>
            </w:pPr>
          </w:p>
          <w:p w:rsidR="00472FB8" w:rsidRPr="006F6D80" w:rsidRDefault="005671DA">
            <w:pPr>
              <w:rPr>
                <w:lang w:val="es-ES"/>
              </w:rPr>
            </w:pPr>
            <w:r w:rsidRPr="006F6D80">
              <w:rPr>
                <w:bdr w:val="nil"/>
                <w:lang w:val="es-ES"/>
              </w:rPr>
              <w:t xml:space="preserve">336 </w:t>
            </w:r>
            <w:proofErr w:type="spellStart"/>
            <w:r w:rsidRPr="006F6D80">
              <w:rPr>
                <w:bdr w:val="nil"/>
                <w:lang w:val="es-ES"/>
              </w:rPr>
              <w:t>Euclid</w:t>
            </w:r>
            <w:proofErr w:type="spellEnd"/>
            <w:r w:rsidRPr="006F6D80">
              <w:rPr>
                <w:bdr w:val="nil"/>
                <w:lang w:val="es-ES"/>
              </w:rPr>
              <w:t xml:space="preserve"> Ave.</w:t>
            </w:r>
          </w:p>
          <w:p w:rsidR="00472FB8" w:rsidRPr="006F6D80" w:rsidRDefault="005671DA">
            <w:pPr>
              <w:rPr>
                <w:lang w:val="es-ES"/>
              </w:rPr>
            </w:pPr>
            <w:r w:rsidRPr="006F6D80">
              <w:rPr>
                <w:bdr w:val="nil"/>
                <w:lang w:val="es-ES"/>
              </w:rPr>
              <w:t>San Diego, CA 92114</w:t>
            </w:r>
          </w:p>
          <w:p w:rsidR="00472FB8" w:rsidRPr="006F6D80" w:rsidRDefault="006F6D80">
            <w:pPr>
              <w:rPr>
                <w:lang w:val="es-ES"/>
              </w:rPr>
            </w:pPr>
          </w:p>
          <w:p w:rsidR="00472FB8" w:rsidRPr="006F6D80" w:rsidRDefault="006F6D80">
            <w:pPr>
              <w:rPr>
                <w:lang w:val="es-ES"/>
              </w:rPr>
            </w:pPr>
          </w:p>
        </w:tc>
        <w:tc>
          <w:tcPr>
            <w:tcW w:w="2952" w:type="dxa"/>
            <w:tcBorders>
              <w:top w:val="nil"/>
              <w:left w:val="nil"/>
              <w:bottom w:val="nil"/>
              <w:right w:val="nil"/>
            </w:tcBorders>
          </w:tcPr>
          <w:p w:rsidR="00472FB8" w:rsidRPr="006F6D80" w:rsidRDefault="005671DA">
            <w:pPr>
              <w:rPr>
                <w:lang w:val="es-ES"/>
              </w:rPr>
            </w:pPr>
            <w:r w:rsidRPr="006F6D80">
              <w:rPr>
                <w:bdr w:val="nil"/>
                <w:lang w:val="es-ES"/>
              </w:rPr>
              <w:t xml:space="preserve">644 W. </w:t>
            </w:r>
            <w:proofErr w:type="spellStart"/>
            <w:r w:rsidRPr="006F6D80">
              <w:rPr>
                <w:bdr w:val="nil"/>
                <w:lang w:val="es-ES"/>
              </w:rPr>
              <w:t>Mission</w:t>
            </w:r>
            <w:proofErr w:type="spellEnd"/>
            <w:r w:rsidRPr="006F6D80">
              <w:rPr>
                <w:bdr w:val="nil"/>
                <w:lang w:val="es-ES"/>
              </w:rPr>
              <w:t xml:space="preserve"> Ave.</w:t>
            </w:r>
          </w:p>
          <w:p w:rsidR="00472FB8" w:rsidRPr="006F6D80" w:rsidRDefault="005671DA">
            <w:pPr>
              <w:rPr>
                <w:lang w:val="es-ES"/>
              </w:rPr>
            </w:pPr>
            <w:r w:rsidRPr="006F6D80">
              <w:rPr>
                <w:bdr w:val="nil"/>
                <w:lang w:val="es-ES"/>
              </w:rPr>
              <w:t>Escondido, CA 92025</w:t>
            </w:r>
          </w:p>
          <w:p w:rsidR="00472FB8" w:rsidRPr="006F6D80" w:rsidRDefault="006F6D80">
            <w:pPr>
              <w:rPr>
                <w:lang w:val="es-ES"/>
              </w:rPr>
            </w:pPr>
          </w:p>
          <w:p w:rsidR="00472FB8" w:rsidRPr="006F6D80" w:rsidRDefault="005671DA">
            <w:pPr>
              <w:rPr>
                <w:lang w:val="es-ES"/>
              </w:rPr>
            </w:pPr>
            <w:r w:rsidRPr="006F6D80">
              <w:rPr>
                <w:bdr w:val="nil"/>
                <w:lang w:val="es-ES"/>
              </w:rPr>
              <w:t>2604-B S. El Camino Real</w:t>
            </w:r>
          </w:p>
          <w:p w:rsidR="00472FB8" w:rsidRPr="006F6D80" w:rsidRDefault="005671DA">
            <w:pPr>
              <w:rPr>
                <w:lang w:val="es-ES"/>
              </w:rPr>
            </w:pPr>
            <w:r w:rsidRPr="006F6D80">
              <w:rPr>
                <w:bdr w:val="nil"/>
                <w:lang w:val="es-ES"/>
              </w:rPr>
              <w:t>Carlsbad, CA  92008</w:t>
            </w:r>
          </w:p>
        </w:tc>
      </w:tr>
    </w:tbl>
    <w:p w:rsidR="00472FB8" w:rsidRPr="006F6D80" w:rsidRDefault="006F6D80">
      <w:pPr>
        <w:rPr>
          <w:lang w:val="es-ES"/>
        </w:rPr>
      </w:pPr>
    </w:p>
    <w:p w:rsidR="00472FB8" w:rsidRPr="006F6D80" w:rsidRDefault="005671DA" w:rsidP="00A40F28">
      <w:pPr>
        <w:jc w:val="both"/>
        <w:rPr>
          <w:lang w:val="es-ES"/>
        </w:rPr>
      </w:pPr>
      <w:r w:rsidRPr="006F6D80">
        <w:rPr>
          <w:bdr w:val="nil"/>
          <w:lang w:val="es-ES"/>
        </w:rPr>
        <w:t xml:space="preserve">La solicitud y los anexos relacionados también puede encontrarlos electrónicamente en el sitio web de SDG&amp;E en </w:t>
      </w:r>
      <w:hyperlink r:id="rId9" w:history="1">
        <w:r w:rsidRPr="006F6D80">
          <w:rPr>
            <w:color w:val="0000FF"/>
            <w:u w:val="single"/>
            <w:bdr w:val="nil"/>
            <w:lang w:val="es-ES"/>
          </w:rPr>
          <w:t>www.sdge.com/regulatory/cpuc.shtml</w:t>
        </w:r>
      </w:hyperlink>
      <w:r w:rsidRPr="006F6D80">
        <w:rPr>
          <w:bdr w:val="nil"/>
          <w:lang w:val="es-ES"/>
        </w:rPr>
        <w:t>.</w:t>
      </w:r>
    </w:p>
    <w:p w:rsidR="00FB1785" w:rsidRPr="006F6D80" w:rsidRDefault="006F6D80" w:rsidP="00A40F28">
      <w:pPr>
        <w:jc w:val="both"/>
        <w:rPr>
          <w:lang w:val="es-ES"/>
        </w:rPr>
      </w:pPr>
    </w:p>
    <w:p w:rsidR="00472FB8" w:rsidRPr="006F6D80" w:rsidRDefault="005671DA" w:rsidP="00A40F28">
      <w:pPr>
        <w:jc w:val="both"/>
        <w:rPr>
          <w:lang w:val="es-ES"/>
        </w:rPr>
      </w:pPr>
      <w:r w:rsidRPr="006F6D80">
        <w:rPr>
          <w:bdr w:val="nil"/>
          <w:lang w:val="es-ES"/>
        </w:rPr>
        <w:t xml:space="preserve">Habrá copias de este encarte de factura para su consulta e impresión en el sitio web de SDG&amp;E en </w:t>
      </w:r>
      <w:hyperlink r:id="rId10" w:history="1">
        <w:r w:rsidRPr="006F6D80">
          <w:rPr>
            <w:color w:val="0000FF"/>
            <w:u w:val="single"/>
            <w:bdr w:val="nil"/>
            <w:lang w:val="es-ES"/>
          </w:rPr>
          <w:t>www.sdge.com/billinserts/regulatory.shtml</w:t>
        </w:r>
      </w:hyperlink>
      <w:r w:rsidRPr="006F6D80">
        <w:rPr>
          <w:bdr w:val="nil"/>
          <w:lang w:val="es-ES"/>
        </w:rPr>
        <w:t>.</w:t>
      </w:r>
    </w:p>
    <w:p w:rsidR="00472FB8" w:rsidRPr="006F6D80" w:rsidRDefault="006F6D80" w:rsidP="00A40F28">
      <w:pPr>
        <w:jc w:val="both"/>
        <w:rPr>
          <w:lang w:val="es-ES"/>
        </w:rPr>
      </w:pPr>
    </w:p>
    <w:p w:rsidR="00C66DFA" w:rsidRPr="006F6D80" w:rsidRDefault="006F6D80" w:rsidP="00FD4690">
      <w:pPr>
        <w:pStyle w:val="Textoindependiente"/>
        <w:rPr>
          <w:b/>
          <w:bCs/>
          <w:szCs w:val="24"/>
          <w:lang w:val="es-ES"/>
        </w:rPr>
      </w:pPr>
    </w:p>
    <w:p w:rsidR="00FD4690" w:rsidRPr="006F6D80" w:rsidRDefault="005671DA" w:rsidP="00FD4690">
      <w:pPr>
        <w:pStyle w:val="Textoindependiente"/>
        <w:rPr>
          <w:b/>
          <w:bCs/>
          <w:szCs w:val="24"/>
          <w:lang w:val="es-ES"/>
        </w:rPr>
      </w:pPr>
      <w:r w:rsidRPr="006F6D80">
        <w:rPr>
          <w:b/>
          <w:bCs/>
          <w:szCs w:val="24"/>
          <w:bdr w:val="nil"/>
          <w:lang w:val="es-ES"/>
        </w:rPr>
        <w:t xml:space="preserve">PROCESO DE LA CPUC </w:t>
      </w:r>
    </w:p>
    <w:p w:rsidR="00FD4690" w:rsidRPr="006F6D80" w:rsidRDefault="005671DA" w:rsidP="00FD4690">
      <w:pPr>
        <w:rPr>
          <w:lang w:val="es-ES"/>
        </w:rPr>
      </w:pPr>
      <w:r w:rsidRPr="006F6D80">
        <w:rPr>
          <w:bdr w:val="nil"/>
          <w:lang w:val="es-ES"/>
        </w:rPr>
        <w:t xml:space="preserve">La presente solicitud será asignada a un Juez de Derecho Administrativo (Juez) quien determinará cómo se recibirán las pruebas y otros documentos relacionados, necesarios para que la CPUC establezca un acta en la que basará su decisión. Las audiencias para la presentación de pruebas pueden llevarse a cabo en donde las partes que aparecen en el acta presentarán su testimonio y pueden estar sujetas a un contrainterrogatorio por otras de las partes. Estas audiencias para la presentación de pruebas están abiertas al público, pero sólo las partes que aparecen en el acta pueden participar. </w:t>
      </w:r>
    </w:p>
    <w:p w:rsidR="00FD4690" w:rsidRPr="006F6D80" w:rsidRDefault="006F6D80" w:rsidP="00FD4690">
      <w:pPr>
        <w:rPr>
          <w:lang w:val="es-ES"/>
        </w:rPr>
      </w:pPr>
    </w:p>
    <w:p w:rsidR="00FD4690" w:rsidRPr="006F6D80" w:rsidRDefault="005671DA" w:rsidP="00FD4690">
      <w:pPr>
        <w:rPr>
          <w:lang w:val="es-ES"/>
        </w:rPr>
      </w:pPr>
      <w:r w:rsidRPr="006F6D80">
        <w:rPr>
          <w:bdr w:val="nil"/>
          <w:lang w:val="es-ES"/>
        </w:rPr>
        <w:t xml:space="preserve">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 </w:t>
      </w:r>
    </w:p>
    <w:p w:rsidR="00E502E9" w:rsidRPr="006F6D80" w:rsidRDefault="006F6D80" w:rsidP="00FD4690">
      <w:pPr>
        <w:rPr>
          <w:lang w:val="es-ES"/>
        </w:rPr>
      </w:pPr>
    </w:p>
    <w:p w:rsidR="00FD4690" w:rsidRPr="006F6D80" w:rsidRDefault="005671DA" w:rsidP="00FD4690">
      <w:pPr>
        <w:rPr>
          <w:bdr w:val="nil"/>
          <w:lang w:val="es-ES"/>
        </w:rPr>
      </w:pPr>
      <w:r w:rsidRPr="006F6D80">
        <w:rPr>
          <w:bdr w:val="nil"/>
          <w:lang w:val="es-ES"/>
        </w:rPr>
        <w:t>La Oficina de Defensores del Contribuyente (ORA) puede examinar</w:t>
      </w:r>
      <w:r w:rsidR="00653C87" w:rsidRPr="006F6D80">
        <w:rPr>
          <w:bdr w:val="nil"/>
          <w:lang w:val="es-ES"/>
        </w:rPr>
        <w:t xml:space="preserve"> esta solicitud. </w:t>
      </w:r>
      <w:r w:rsidRPr="006F6D80">
        <w:rPr>
          <w:bdr w:val="nil"/>
          <w:lang w:val="es-ES"/>
        </w:rPr>
        <w:t xml:space="preserve">ORA es el defensor independiente del consumidor dentro de la CPUC con un mandato legislativo para representar a clientes de empresas de servicios públicos propiedad de inversionistas a fin de obtener la tarifa más baja posible por un servicio, acorde con los niveles de </w:t>
      </w:r>
      <w:r w:rsidR="00653C87" w:rsidRPr="006F6D80">
        <w:rPr>
          <w:bdr w:val="nil"/>
          <w:lang w:val="es-ES"/>
        </w:rPr>
        <w:t>un servicio confiable y seguro.</w:t>
      </w:r>
      <w:r w:rsidRPr="006F6D80">
        <w:rPr>
          <w:bdr w:val="nil"/>
          <w:lang w:val="es-ES"/>
        </w:rPr>
        <w:t xml:space="preserve"> ORA cuenta con un personal multidisciplinario con pericia en economía, finanz</w:t>
      </w:r>
      <w:r w:rsidR="00653C87" w:rsidRPr="006F6D80">
        <w:rPr>
          <w:bdr w:val="nil"/>
          <w:lang w:val="es-ES"/>
        </w:rPr>
        <w:t xml:space="preserve">as, contabilidad e ingeniería. </w:t>
      </w:r>
      <w:r w:rsidRPr="006F6D80">
        <w:rPr>
          <w:bdr w:val="nil"/>
          <w:lang w:val="es-ES"/>
        </w:rPr>
        <w:t xml:space="preserve">Para más información sobre </w:t>
      </w:r>
      <w:proofErr w:type="gramStart"/>
      <w:r w:rsidRPr="006F6D80">
        <w:rPr>
          <w:bdr w:val="nil"/>
          <w:lang w:val="es-ES"/>
        </w:rPr>
        <w:t>ORA</w:t>
      </w:r>
      <w:proofErr w:type="gramEnd"/>
      <w:r w:rsidRPr="006F6D80">
        <w:rPr>
          <w:bdr w:val="nil"/>
          <w:lang w:val="es-ES"/>
        </w:rPr>
        <w:t xml:space="preserve">, por favor llame al (415) 703-1584, envíe un mensaje por correo electrónico a </w:t>
      </w:r>
      <w:hyperlink r:id="rId11" w:history="1">
        <w:r w:rsidRPr="006F6D80">
          <w:rPr>
            <w:color w:val="0000FF"/>
            <w:u w:val="single"/>
            <w:bdr w:val="nil"/>
            <w:lang w:val="es-ES"/>
          </w:rPr>
          <w:t>ora@cpuc.ca.gov</w:t>
        </w:r>
      </w:hyperlink>
      <w:r w:rsidRPr="006F6D80">
        <w:rPr>
          <w:bdr w:val="nil"/>
          <w:lang w:val="es-ES"/>
        </w:rPr>
        <w:t xml:space="preserve"> o visite el sitio web de ORA en </w:t>
      </w:r>
      <w:hyperlink r:id="rId12" w:history="1">
        <w:r w:rsidRPr="006F6D80">
          <w:rPr>
            <w:color w:val="0000FF"/>
            <w:u w:val="single"/>
            <w:bdr w:val="nil"/>
            <w:lang w:val="es-ES"/>
          </w:rPr>
          <w:t>www.ora.ca.gov</w:t>
        </w:r>
      </w:hyperlink>
      <w:r w:rsidRPr="006F6D80">
        <w:rPr>
          <w:bdr w:val="nil"/>
          <w:lang w:val="es-ES"/>
        </w:rPr>
        <w:t>.</w:t>
      </w:r>
    </w:p>
    <w:p w:rsidR="00FD4690" w:rsidRPr="006F6D80" w:rsidRDefault="006F6D80" w:rsidP="00FD4690">
      <w:pPr>
        <w:rPr>
          <w:lang w:val="es-ES"/>
        </w:rPr>
      </w:pPr>
    </w:p>
    <w:p w:rsidR="00FD4690" w:rsidRPr="006F6D80" w:rsidRDefault="005671DA" w:rsidP="00FD4690">
      <w:pPr>
        <w:rPr>
          <w:b/>
          <w:lang w:val="es-ES"/>
        </w:rPr>
      </w:pPr>
      <w:r w:rsidRPr="006F6D80">
        <w:rPr>
          <w:b/>
          <w:bCs/>
          <w:bdr w:val="nil"/>
          <w:lang w:val="es-ES"/>
        </w:rPr>
        <w:t>MANTÉNGASE INFORMADO</w:t>
      </w:r>
    </w:p>
    <w:p w:rsidR="00737AAE" w:rsidRPr="006F6D80" w:rsidRDefault="005671DA" w:rsidP="00737AAE">
      <w:pPr>
        <w:rPr>
          <w:lang w:val="es-ES"/>
        </w:rPr>
      </w:pPr>
      <w:r w:rsidRPr="006F6D80">
        <w:rPr>
          <w:bdr w:val="nil"/>
          <w:lang w:val="es-ES"/>
        </w:rPr>
        <w:t>Si desea seguir este procedimiento, o cualquier otro asunto presentado ante la CPUC, puede utilizar el servicio de su</w:t>
      </w:r>
      <w:r w:rsidR="00653C87" w:rsidRPr="006F6D80">
        <w:rPr>
          <w:bdr w:val="nil"/>
          <w:lang w:val="es-ES"/>
        </w:rPr>
        <w:t xml:space="preserve">scripción gratuito de la CPUC. </w:t>
      </w:r>
      <w:r w:rsidRPr="006F6D80">
        <w:rPr>
          <w:bdr w:val="nil"/>
          <w:lang w:val="es-ES"/>
        </w:rPr>
        <w:t xml:space="preserve">Suscríbase en: </w:t>
      </w:r>
      <w:hyperlink r:id="rId13" w:history="1">
        <w:r w:rsidRPr="006F6D80">
          <w:rPr>
            <w:color w:val="0000FF"/>
            <w:u w:val="single"/>
            <w:bdr w:val="nil"/>
            <w:lang w:val="es-ES"/>
          </w:rPr>
          <w:t>http://subscribecpuc.cpuc.ca.gov/</w:t>
        </w:r>
      </w:hyperlink>
      <w:r w:rsidRPr="006F6D80">
        <w:rPr>
          <w:bdr w:val="nil"/>
          <w:lang w:val="es-ES"/>
        </w:rPr>
        <w:t>.</w:t>
      </w:r>
    </w:p>
    <w:p w:rsidR="00737AAE" w:rsidRPr="006F6D80" w:rsidRDefault="006F6D80" w:rsidP="00737AAE">
      <w:pPr>
        <w:rPr>
          <w:lang w:val="es-ES"/>
        </w:rPr>
      </w:pPr>
    </w:p>
    <w:p w:rsidR="00737AAE" w:rsidRPr="006F6D80" w:rsidRDefault="005671DA" w:rsidP="00737AAE">
      <w:pPr>
        <w:rPr>
          <w:lang w:val="es-ES"/>
        </w:rPr>
      </w:pPr>
      <w:r w:rsidRPr="006F6D80">
        <w:rPr>
          <w:bdr w:val="nil"/>
          <w:lang w:val="es-ES"/>
        </w:rPr>
        <w:t xml:space="preserve">Si quiere obtener información sobre cómo puede participar en el procedimiento, o si tiene comentarios informales acerca de la solicitud, o preguntas sobre los procesos de la CPUC, puede entrar a la página web de la Oficina del Asesor Público (PAO) de la CPUC en </w:t>
      </w:r>
      <w:hyperlink r:id="rId14" w:history="1">
        <w:r w:rsidRPr="006F6D80">
          <w:rPr>
            <w:color w:val="0000FF"/>
            <w:u w:val="single"/>
            <w:bdr w:val="nil"/>
            <w:lang w:val="es-ES"/>
          </w:rPr>
          <w:t>http://www.cpuc.ca.gov/pao/</w:t>
        </w:r>
      </w:hyperlink>
      <w:r w:rsidRPr="006F6D80">
        <w:rPr>
          <w:bdr w:val="nil"/>
          <w:lang w:val="es-ES"/>
        </w:rPr>
        <w:t xml:space="preserve">.  También puede ponerse en contacto con la PAO de la siguiente manera:  </w:t>
      </w:r>
    </w:p>
    <w:p w:rsidR="00737AAE" w:rsidRPr="006F6D80" w:rsidRDefault="006F6D80" w:rsidP="00737AAE">
      <w:pPr>
        <w:rPr>
          <w:lang w:val="es-ES"/>
        </w:rPr>
      </w:pPr>
    </w:p>
    <w:p w:rsidR="00B6666C" w:rsidRPr="006F6D80" w:rsidRDefault="005671DA" w:rsidP="00737AAE">
      <w:pPr>
        <w:rPr>
          <w:lang w:val="es-ES"/>
        </w:rPr>
      </w:pPr>
      <w:r w:rsidRPr="006F6D80">
        <w:rPr>
          <w:bdr w:val="nil"/>
          <w:lang w:val="es-ES"/>
        </w:rPr>
        <w:t xml:space="preserve">Envíe un mensaje por correo electrónico a: </w:t>
      </w:r>
      <w:hyperlink r:id="rId15" w:history="1">
        <w:r w:rsidR="00653C87" w:rsidRPr="006F6D80">
          <w:rPr>
            <w:rStyle w:val="Hipervnculo"/>
            <w:lang w:val="es-ES"/>
          </w:rPr>
          <w:t>public.advisor@cpuc.ca.gov</w:t>
        </w:r>
      </w:hyperlink>
      <w:r w:rsidRPr="006F6D80">
        <w:rPr>
          <w:bdr w:val="nil"/>
          <w:lang w:val="es-ES"/>
        </w:rPr>
        <w:t xml:space="preserve"> </w:t>
      </w:r>
    </w:p>
    <w:p w:rsidR="00737AAE" w:rsidRPr="006F6D80" w:rsidRDefault="005671DA" w:rsidP="00737AAE">
      <w:pPr>
        <w:rPr>
          <w:lang w:val="es-ES"/>
        </w:rPr>
      </w:pPr>
      <w:r w:rsidRPr="006F6D80">
        <w:rPr>
          <w:lang w:val="es-ES"/>
        </w:rPr>
        <w:t xml:space="preserve">  </w:t>
      </w:r>
    </w:p>
    <w:p w:rsidR="00737AAE" w:rsidRPr="006F6D80" w:rsidRDefault="005671DA" w:rsidP="00737AAE">
      <w:pPr>
        <w:rPr>
          <w:lang w:val="es-ES"/>
        </w:rPr>
      </w:pPr>
      <w:r w:rsidRPr="006F6D80">
        <w:rPr>
          <w:bdr w:val="nil"/>
          <w:lang w:val="es-ES"/>
        </w:rPr>
        <w:t>Escriba a:</w:t>
      </w:r>
      <w:r w:rsidRPr="006F6D80">
        <w:rPr>
          <w:bdr w:val="nil"/>
          <w:lang w:val="es-ES"/>
        </w:rPr>
        <w:tab/>
        <w:t xml:space="preserve">CPUC </w:t>
      </w:r>
    </w:p>
    <w:p w:rsidR="00737AAE" w:rsidRPr="006F6D80" w:rsidRDefault="005671DA" w:rsidP="00737AAE">
      <w:pPr>
        <w:rPr>
          <w:lang w:val="es-ES"/>
        </w:rPr>
      </w:pPr>
      <w:r w:rsidRPr="006F6D80">
        <w:rPr>
          <w:bdr w:val="nil"/>
          <w:lang w:val="es-ES"/>
        </w:rPr>
        <w:t xml:space="preserve">            </w:t>
      </w:r>
      <w:r w:rsidR="00891453" w:rsidRPr="006F6D80">
        <w:rPr>
          <w:bdr w:val="nil"/>
          <w:lang w:val="es-ES"/>
        </w:rPr>
        <w:tab/>
      </w:r>
      <w:proofErr w:type="spellStart"/>
      <w:r w:rsidRPr="006F6D80">
        <w:rPr>
          <w:bdr w:val="nil"/>
          <w:lang w:val="es-ES"/>
        </w:rPr>
        <w:t>Public</w:t>
      </w:r>
      <w:proofErr w:type="spellEnd"/>
      <w:r w:rsidRPr="006F6D80">
        <w:rPr>
          <w:bdr w:val="nil"/>
          <w:lang w:val="es-ES"/>
        </w:rPr>
        <w:t xml:space="preserve"> </w:t>
      </w:r>
      <w:proofErr w:type="spellStart"/>
      <w:r w:rsidRPr="006F6D80">
        <w:rPr>
          <w:bdr w:val="nil"/>
          <w:lang w:val="es-ES"/>
        </w:rPr>
        <w:t>Advisor’s</w:t>
      </w:r>
      <w:proofErr w:type="spellEnd"/>
      <w:r w:rsidRPr="006F6D80">
        <w:rPr>
          <w:bdr w:val="nil"/>
          <w:lang w:val="es-ES"/>
        </w:rPr>
        <w:t xml:space="preserve"> Office</w:t>
      </w:r>
    </w:p>
    <w:p w:rsidR="00737AAE" w:rsidRPr="006F6D80" w:rsidRDefault="005671DA" w:rsidP="00891453">
      <w:pPr>
        <w:ind w:left="720" w:firstLine="720"/>
        <w:rPr>
          <w:lang w:val="es-ES"/>
        </w:rPr>
      </w:pPr>
      <w:r w:rsidRPr="006F6D80">
        <w:rPr>
          <w:bdr w:val="nil"/>
          <w:lang w:val="es-ES"/>
        </w:rPr>
        <w:t xml:space="preserve">505 Van Ness </w:t>
      </w:r>
      <w:proofErr w:type="spellStart"/>
      <w:r w:rsidRPr="006F6D80">
        <w:rPr>
          <w:bdr w:val="nil"/>
          <w:lang w:val="es-ES"/>
        </w:rPr>
        <w:t>Avenue</w:t>
      </w:r>
      <w:proofErr w:type="spellEnd"/>
    </w:p>
    <w:p w:rsidR="00737AAE" w:rsidRPr="006F6D80" w:rsidRDefault="005671DA" w:rsidP="00737AAE">
      <w:pPr>
        <w:rPr>
          <w:lang w:val="es-ES"/>
        </w:rPr>
      </w:pPr>
      <w:r w:rsidRPr="006F6D80">
        <w:rPr>
          <w:bdr w:val="nil"/>
          <w:lang w:val="es-ES"/>
        </w:rPr>
        <w:tab/>
      </w:r>
      <w:r w:rsidR="00891453" w:rsidRPr="006F6D80">
        <w:rPr>
          <w:bdr w:val="nil"/>
          <w:lang w:val="es-ES"/>
        </w:rPr>
        <w:tab/>
      </w:r>
      <w:r w:rsidRPr="006F6D80">
        <w:rPr>
          <w:bdr w:val="nil"/>
          <w:lang w:val="es-ES"/>
        </w:rPr>
        <w:t>San Francisco, CA 94102</w:t>
      </w:r>
    </w:p>
    <w:p w:rsidR="00737AAE" w:rsidRPr="006F6D80" w:rsidRDefault="005671DA" w:rsidP="00737AAE">
      <w:pPr>
        <w:rPr>
          <w:lang w:val="es-ES"/>
        </w:rPr>
      </w:pPr>
      <w:r w:rsidRPr="006F6D80">
        <w:rPr>
          <w:bdr w:val="nil"/>
          <w:lang w:val="es-ES"/>
        </w:rPr>
        <w:t xml:space="preserve">Llame al:  </w:t>
      </w:r>
      <w:r w:rsidRPr="006F6D80">
        <w:rPr>
          <w:bdr w:val="nil"/>
          <w:lang w:val="es-ES"/>
        </w:rPr>
        <w:tab/>
        <w:t>1-866-849-8390 (sin costo) o al 1-415-703-2074</w:t>
      </w:r>
    </w:p>
    <w:p w:rsidR="00737AAE" w:rsidRPr="006F6D80" w:rsidRDefault="005671DA" w:rsidP="00737AAE">
      <w:pPr>
        <w:pStyle w:val="Textoindependiente"/>
        <w:jc w:val="both"/>
        <w:rPr>
          <w:szCs w:val="24"/>
          <w:lang w:val="es-ES"/>
        </w:rPr>
      </w:pPr>
      <w:r w:rsidRPr="006F6D80">
        <w:rPr>
          <w:szCs w:val="24"/>
          <w:bdr w:val="nil"/>
          <w:lang w:val="es-ES"/>
        </w:rPr>
        <w:tab/>
      </w:r>
      <w:r w:rsidR="00891453" w:rsidRPr="006F6D80">
        <w:rPr>
          <w:szCs w:val="24"/>
          <w:bdr w:val="nil"/>
          <w:lang w:val="es-ES"/>
        </w:rPr>
        <w:tab/>
      </w:r>
      <w:r w:rsidRPr="006F6D80">
        <w:rPr>
          <w:szCs w:val="24"/>
          <w:bdr w:val="nil"/>
          <w:lang w:val="es-ES"/>
        </w:rPr>
        <w:t>TTY 1-866-836-7825 (sin costo) o 1-415-703-5282</w:t>
      </w:r>
    </w:p>
    <w:p w:rsidR="00737AAE" w:rsidRPr="006F6D80" w:rsidRDefault="006F6D80" w:rsidP="00737AAE">
      <w:pPr>
        <w:pStyle w:val="Textoindependiente"/>
        <w:jc w:val="both"/>
        <w:rPr>
          <w:szCs w:val="24"/>
          <w:lang w:val="es-ES"/>
        </w:rPr>
      </w:pPr>
    </w:p>
    <w:p w:rsidR="00737AAE" w:rsidRPr="006F6D80" w:rsidRDefault="005671DA" w:rsidP="00737AAE">
      <w:pPr>
        <w:pStyle w:val="Textoindependiente"/>
        <w:jc w:val="both"/>
        <w:rPr>
          <w:szCs w:val="24"/>
          <w:lang w:val="es-ES"/>
        </w:rPr>
      </w:pPr>
      <w:r w:rsidRPr="006F6D80">
        <w:rPr>
          <w:szCs w:val="24"/>
          <w:bdr w:val="nil"/>
          <w:lang w:val="es-ES"/>
        </w:rPr>
        <w:t xml:space="preserve">Por favor haga referencia a la 2017 SB 350 </w:t>
      </w:r>
      <w:proofErr w:type="spellStart"/>
      <w:r w:rsidRPr="006F6D80">
        <w:rPr>
          <w:szCs w:val="24"/>
          <w:bdr w:val="nil"/>
          <w:lang w:val="es-ES"/>
        </w:rPr>
        <w:t>Transportation</w:t>
      </w:r>
      <w:proofErr w:type="spellEnd"/>
      <w:r w:rsidRPr="006F6D80">
        <w:rPr>
          <w:szCs w:val="24"/>
          <w:bdr w:val="nil"/>
          <w:lang w:val="es-ES"/>
        </w:rPr>
        <w:t xml:space="preserve"> </w:t>
      </w:r>
      <w:proofErr w:type="spellStart"/>
      <w:r w:rsidRPr="006F6D80">
        <w:rPr>
          <w:szCs w:val="24"/>
          <w:bdr w:val="nil"/>
          <w:lang w:val="es-ES"/>
        </w:rPr>
        <w:t>Electrification</w:t>
      </w:r>
      <w:proofErr w:type="spellEnd"/>
      <w:r w:rsidRPr="006F6D80">
        <w:rPr>
          <w:szCs w:val="24"/>
          <w:bdr w:val="nil"/>
          <w:lang w:val="es-ES"/>
        </w:rPr>
        <w:t xml:space="preserve"> </w:t>
      </w:r>
      <w:proofErr w:type="spellStart"/>
      <w:r w:rsidRPr="006F6D80">
        <w:rPr>
          <w:szCs w:val="24"/>
          <w:bdr w:val="nil"/>
          <w:lang w:val="es-ES"/>
        </w:rPr>
        <w:t>Application</w:t>
      </w:r>
      <w:proofErr w:type="spellEnd"/>
      <w:r w:rsidRPr="006F6D80">
        <w:rPr>
          <w:szCs w:val="24"/>
          <w:bdr w:val="nil"/>
          <w:lang w:val="es-ES"/>
        </w:rPr>
        <w:t xml:space="preserve"> No. </w:t>
      </w:r>
      <w:bookmarkStart w:id="0" w:name="_GoBack"/>
      <w:bookmarkEnd w:id="0"/>
      <w:r w:rsidRPr="006F6D80">
        <w:rPr>
          <w:szCs w:val="24"/>
          <w:bdr w:val="nil"/>
          <w:lang w:val="es-ES"/>
        </w:rPr>
        <w:t>A.17-01-020 de SDG&amp;E en cualesquiera comunicaciones que sostenga con la CPUC en relación con este asunto. Todos los comentarios públicos se volverán parte del expediente de correspondencia pública de este procedimiento y se pondrán a disposición del Juez asignado, los Comisionados y el personal pertinente de la CPUC para su revisión.</w:t>
      </w:r>
    </w:p>
    <w:p w:rsidR="00472FB8" w:rsidRPr="006F6D80" w:rsidRDefault="006F6D80" w:rsidP="00737AAE">
      <w:pPr>
        <w:rPr>
          <w:lang w:val="es-ES"/>
        </w:rPr>
      </w:pPr>
    </w:p>
    <w:sectPr w:rsidR="00472FB8" w:rsidRPr="006F6D80" w:rsidSect="00A40F28">
      <w:pgSz w:w="12240" w:h="15840"/>
      <w:pgMar w:top="1008" w:right="1728" w:bottom="100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B1CC1"/>
    <w:multiLevelType w:val="hybridMultilevel"/>
    <w:tmpl w:val="C08C2BCA"/>
    <w:lvl w:ilvl="0" w:tplc="D81A173C">
      <w:start w:val="1"/>
      <w:numFmt w:val="decimal"/>
      <w:lvlText w:val="%1."/>
      <w:lvlJc w:val="left"/>
      <w:pPr>
        <w:ind w:left="720" w:hanging="360"/>
      </w:pPr>
      <w:rPr>
        <w:rFonts w:hint="default"/>
      </w:rPr>
    </w:lvl>
    <w:lvl w:ilvl="1" w:tplc="AE4ADB8E" w:tentative="1">
      <w:start w:val="1"/>
      <w:numFmt w:val="lowerLetter"/>
      <w:lvlText w:val="%2."/>
      <w:lvlJc w:val="left"/>
      <w:pPr>
        <w:ind w:left="1440" w:hanging="360"/>
      </w:pPr>
    </w:lvl>
    <w:lvl w:ilvl="2" w:tplc="720A740A" w:tentative="1">
      <w:start w:val="1"/>
      <w:numFmt w:val="lowerRoman"/>
      <w:lvlText w:val="%3."/>
      <w:lvlJc w:val="right"/>
      <w:pPr>
        <w:ind w:left="2160" w:hanging="180"/>
      </w:pPr>
    </w:lvl>
    <w:lvl w:ilvl="3" w:tplc="1D3280C2" w:tentative="1">
      <w:start w:val="1"/>
      <w:numFmt w:val="decimal"/>
      <w:lvlText w:val="%4."/>
      <w:lvlJc w:val="left"/>
      <w:pPr>
        <w:ind w:left="2880" w:hanging="360"/>
      </w:pPr>
    </w:lvl>
    <w:lvl w:ilvl="4" w:tplc="021E7DF4" w:tentative="1">
      <w:start w:val="1"/>
      <w:numFmt w:val="lowerLetter"/>
      <w:lvlText w:val="%5."/>
      <w:lvlJc w:val="left"/>
      <w:pPr>
        <w:ind w:left="3600" w:hanging="360"/>
      </w:pPr>
    </w:lvl>
    <w:lvl w:ilvl="5" w:tplc="65201AD2" w:tentative="1">
      <w:start w:val="1"/>
      <w:numFmt w:val="lowerRoman"/>
      <w:lvlText w:val="%6."/>
      <w:lvlJc w:val="right"/>
      <w:pPr>
        <w:ind w:left="4320" w:hanging="180"/>
      </w:pPr>
    </w:lvl>
    <w:lvl w:ilvl="6" w:tplc="573E35E2" w:tentative="1">
      <w:start w:val="1"/>
      <w:numFmt w:val="decimal"/>
      <w:lvlText w:val="%7."/>
      <w:lvlJc w:val="left"/>
      <w:pPr>
        <w:ind w:left="5040" w:hanging="360"/>
      </w:pPr>
    </w:lvl>
    <w:lvl w:ilvl="7" w:tplc="A670C6C6" w:tentative="1">
      <w:start w:val="1"/>
      <w:numFmt w:val="lowerLetter"/>
      <w:lvlText w:val="%8."/>
      <w:lvlJc w:val="left"/>
      <w:pPr>
        <w:ind w:left="5760" w:hanging="360"/>
      </w:pPr>
    </w:lvl>
    <w:lvl w:ilvl="8" w:tplc="1A66343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19"/>
    <w:rsid w:val="000B032E"/>
    <w:rsid w:val="00266F06"/>
    <w:rsid w:val="002B1F74"/>
    <w:rsid w:val="005671DA"/>
    <w:rsid w:val="005D1985"/>
    <w:rsid w:val="006452AB"/>
    <w:rsid w:val="00653C87"/>
    <w:rsid w:val="006F6D80"/>
    <w:rsid w:val="007F1DE6"/>
    <w:rsid w:val="00891453"/>
    <w:rsid w:val="00A00015"/>
    <w:rsid w:val="00AB6749"/>
    <w:rsid w:val="00B11460"/>
    <w:rsid w:val="00B45D0E"/>
    <w:rsid w:val="00C6428C"/>
    <w:rsid w:val="00D73AA1"/>
    <w:rsid w:val="00DA4258"/>
    <w:rsid w:val="00E36219"/>
    <w:rsid w:val="00E8021D"/>
    <w:rsid w:val="00E84DC9"/>
    <w:rsid w:val="00F3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independiente">
    <w:name w:val="Body Text"/>
    <w:basedOn w:val="Normal"/>
    <w:rPr>
      <w:szCs w:val="20"/>
    </w:rPr>
  </w:style>
  <w:style w:type="paragraph" w:styleId="Textonotapie">
    <w:name w:val="footnote text"/>
    <w:basedOn w:val="Normal"/>
    <w:link w:val="TextonotapieCar"/>
    <w:rsid w:val="007450E0"/>
    <w:rPr>
      <w:sz w:val="20"/>
      <w:szCs w:val="20"/>
    </w:rPr>
  </w:style>
  <w:style w:type="character" w:customStyle="1" w:styleId="TextonotapieCar">
    <w:name w:val="Texto nota pie Car"/>
    <w:basedOn w:val="Fuentedeprrafopredeter"/>
    <w:link w:val="Textonotapie"/>
    <w:rsid w:val="007450E0"/>
  </w:style>
  <w:style w:type="character" w:styleId="Refdenotaalpie">
    <w:name w:val="footnote reference"/>
    <w:rsid w:val="007450E0"/>
    <w:rPr>
      <w:vertAlign w:val="superscript"/>
    </w:rPr>
  </w:style>
  <w:style w:type="character" w:customStyle="1" w:styleId="FootnoteTextChar1">
    <w:name w:val="Footnote Text Char1"/>
    <w:rsid w:val="005C2D7E"/>
  </w:style>
  <w:style w:type="character" w:styleId="Textoennegrita">
    <w:name w:val="Strong"/>
    <w:qFormat/>
    <w:rsid w:val="00A30BD0"/>
    <w:rPr>
      <w:b/>
      <w:bCs/>
    </w:rPr>
  </w:style>
  <w:style w:type="paragraph" w:styleId="Encabezado">
    <w:name w:val="header"/>
    <w:basedOn w:val="Normal"/>
    <w:link w:val="EncabezadoCar"/>
    <w:uiPriority w:val="99"/>
    <w:rsid w:val="00DE0334"/>
    <w:pPr>
      <w:tabs>
        <w:tab w:val="center" w:pos="4680"/>
        <w:tab w:val="right" w:pos="9360"/>
      </w:tabs>
    </w:pPr>
  </w:style>
  <w:style w:type="character" w:customStyle="1" w:styleId="EncabezadoCar">
    <w:name w:val="Encabezado Car"/>
    <w:link w:val="Encabezado"/>
    <w:uiPriority w:val="99"/>
    <w:rsid w:val="00DE0334"/>
    <w:rPr>
      <w:sz w:val="24"/>
      <w:szCs w:val="24"/>
    </w:rPr>
  </w:style>
  <w:style w:type="paragraph" w:styleId="Piedepgina">
    <w:name w:val="footer"/>
    <w:basedOn w:val="Normal"/>
    <w:link w:val="PiedepginaCar"/>
    <w:rsid w:val="00DE0334"/>
    <w:pPr>
      <w:tabs>
        <w:tab w:val="center" w:pos="4680"/>
        <w:tab w:val="right" w:pos="9360"/>
      </w:tabs>
    </w:pPr>
  </w:style>
  <w:style w:type="character" w:customStyle="1" w:styleId="PiedepginaCar">
    <w:name w:val="Pie de página Car"/>
    <w:link w:val="Piedepgina"/>
    <w:rsid w:val="00DE0334"/>
    <w:rPr>
      <w:sz w:val="24"/>
      <w:szCs w:val="24"/>
    </w:rPr>
  </w:style>
  <w:style w:type="paragraph" w:styleId="Revisin">
    <w:name w:val="Revision"/>
    <w:hidden/>
    <w:uiPriority w:val="99"/>
    <w:semiHidden/>
    <w:rsid w:val="001E15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independiente">
    <w:name w:val="Body Text"/>
    <w:basedOn w:val="Normal"/>
    <w:rPr>
      <w:szCs w:val="20"/>
    </w:rPr>
  </w:style>
  <w:style w:type="paragraph" w:styleId="Textonotapie">
    <w:name w:val="footnote text"/>
    <w:basedOn w:val="Normal"/>
    <w:link w:val="TextonotapieCar"/>
    <w:rsid w:val="007450E0"/>
    <w:rPr>
      <w:sz w:val="20"/>
      <w:szCs w:val="20"/>
    </w:rPr>
  </w:style>
  <w:style w:type="character" w:customStyle="1" w:styleId="TextonotapieCar">
    <w:name w:val="Texto nota pie Car"/>
    <w:basedOn w:val="Fuentedeprrafopredeter"/>
    <w:link w:val="Textonotapie"/>
    <w:rsid w:val="007450E0"/>
  </w:style>
  <w:style w:type="character" w:styleId="Refdenotaalpie">
    <w:name w:val="footnote reference"/>
    <w:rsid w:val="007450E0"/>
    <w:rPr>
      <w:vertAlign w:val="superscript"/>
    </w:rPr>
  </w:style>
  <w:style w:type="character" w:customStyle="1" w:styleId="FootnoteTextChar1">
    <w:name w:val="Footnote Text Char1"/>
    <w:rsid w:val="005C2D7E"/>
  </w:style>
  <w:style w:type="character" w:styleId="Textoennegrita">
    <w:name w:val="Strong"/>
    <w:qFormat/>
    <w:rsid w:val="00A30BD0"/>
    <w:rPr>
      <w:b/>
      <w:bCs/>
    </w:rPr>
  </w:style>
  <w:style w:type="paragraph" w:styleId="Encabezado">
    <w:name w:val="header"/>
    <w:basedOn w:val="Normal"/>
    <w:link w:val="EncabezadoCar"/>
    <w:uiPriority w:val="99"/>
    <w:rsid w:val="00DE0334"/>
    <w:pPr>
      <w:tabs>
        <w:tab w:val="center" w:pos="4680"/>
        <w:tab w:val="right" w:pos="9360"/>
      </w:tabs>
    </w:pPr>
  </w:style>
  <w:style w:type="character" w:customStyle="1" w:styleId="EncabezadoCar">
    <w:name w:val="Encabezado Car"/>
    <w:link w:val="Encabezado"/>
    <w:uiPriority w:val="99"/>
    <w:rsid w:val="00DE0334"/>
    <w:rPr>
      <w:sz w:val="24"/>
      <w:szCs w:val="24"/>
    </w:rPr>
  </w:style>
  <w:style w:type="paragraph" w:styleId="Piedepgina">
    <w:name w:val="footer"/>
    <w:basedOn w:val="Normal"/>
    <w:link w:val="PiedepginaCar"/>
    <w:rsid w:val="00DE0334"/>
    <w:pPr>
      <w:tabs>
        <w:tab w:val="center" w:pos="4680"/>
        <w:tab w:val="right" w:pos="9360"/>
      </w:tabs>
    </w:pPr>
  </w:style>
  <w:style w:type="character" w:customStyle="1" w:styleId="PiedepginaCar">
    <w:name w:val="Pie de página Car"/>
    <w:link w:val="Piedepgina"/>
    <w:rsid w:val="00DE0334"/>
    <w:rPr>
      <w:sz w:val="24"/>
      <w:szCs w:val="24"/>
    </w:rPr>
  </w:style>
  <w:style w:type="paragraph" w:styleId="Revisin">
    <w:name w:val="Revision"/>
    <w:hidden/>
    <w:uiPriority w:val="99"/>
    <w:semiHidden/>
    <w:rsid w:val="001E15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jcentralfilesid@cpuc.ca.gov" TargetMode="External"/><Relationship Id="rId13" Type="http://schemas.openxmlformats.org/officeDocument/2006/relationships/hyperlink" Target="http://subscribecpuc.cpuc.ca.gov/"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ora.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a@cpuc.ca.gov" TargetMode="External"/><Relationship Id="rId5" Type="http://schemas.microsoft.com/office/2007/relationships/stylesWithEffects" Target="stylesWithEffects.xml"/><Relationship Id="rId15" Type="http://schemas.openxmlformats.org/officeDocument/2006/relationships/hyperlink" Target="mailto:public.advisor@cpuc.ca.gov" TargetMode="External"/><Relationship Id="rId10" Type="http://schemas.openxmlformats.org/officeDocument/2006/relationships/hyperlink" Target="http://www.sdge.com/billinserts/regulatory.shtml" TargetMode="External"/><Relationship Id="rId4" Type="http://schemas.openxmlformats.org/officeDocument/2006/relationships/styles" Target="styles.xml"/><Relationship Id="rId9" Type="http://schemas.openxmlformats.org/officeDocument/2006/relationships/hyperlink" Target="http://www.sdge.com/regulatory/cpuc.shtml" TargetMode="External"/><Relationship Id="rId14" Type="http://schemas.openxmlformats.org/officeDocument/2006/relationships/hyperlink" Target="http://www.cpuc.ca.gov/p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147B-E5F2-44F7-8539-061CEADCA234}">
  <ds:schemaRefs>
    <ds:schemaRef ds:uri="http://schemas.openxmlformats.org/officeDocument/2006/bibliography"/>
  </ds:schemaRefs>
</ds:datastoreItem>
</file>

<file path=customXml/itemProps2.xml><?xml version="1.0" encoding="utf-8"?>
<ds:datastoreItem xmlns:ds="http://schemas.openxmlformats.org/officeDocument/2006/customXml" ds:itemID="{08D7FEBB-D549-4569-9B57-02BB28C5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1540</Words>
  <Characters>9009</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Para mas detalles llame al 1-800-311-7343</vt:lpstr>
      <vt:lpstr>Para mas detalles llame al 1-800-311-7343</vt:lpstr>
    </vt:vector>
  </TitlesOfParts>
  <Company>Sempra Energy Utilities</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mas detalles llame al 1-800-311-7343</dc:title>
  <dc:creator>Kari Kloberdanz</dc:creator>
  <cp:lastModifiedBy>Silvia</cp:lastModifiedBy>
  <cp:revision>3</cp:revision>
  <cp:lastPrinted>2016-12-17T00:52:00Z</cp:lastPrinted>
  <dcterms:created xsi:type="dcterms:W3CDTF">2017-02-01T07:40:00Z</dcterms:created>
  <dcterms:modified xsi:type="dcterms:W3CDTF">2017-02-01T17:22:00Z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ABAAmJ+7jnJ2eOWQzQWIAT2SIh/QpaDvDAeCzcuCtEx3ZioYnMJ0LxspkYdZArC1+7jD</vt:lpwstr>
  </property>
  <property fmtid="{D5CDD505-2E9C-101B-9397-08002B2CF9AE}" pid="3" name="MAIL_MSG_ID1">
    <vt:lpwstr>oFAAuCENMj9rVEKKCjI45HPK5e2Qpx3sJLcQja5m9fiZbeB96tuKsW7g9c8x9/ZZw263fGxvZxAaZaoA
z4I5TU5KnXhqKGopYHkq0+QrAlbFe8KJgsPFSajmUjeTLVGUH2sTEvhCSksQ86vzRjIHYd3jfOV3
aml4PYKH698Ypj/NoRZwmYyYwuE5qTez9BUxXukmGtG32Dt4bE5IHV2pfoXEo3tVUr/PN9yUIMwm
3oqbZVHBvA/2QT9Iu</vt:lpwstr>
  </property>
  <property fmtid="{D5CDD505-2E9C-101B-9397-08002B2CF9AE}" pid="4" name="MAIL_MSG_ID2">
    <vt:lpwstr>ltP1IoRSlKC93iMTAegHOjoOVROMQxTGDJJgWwYyFfONWMRYkTXuO7Yf2CD
bHyx3Ych41dUnMn2gtLi0tBXHDyxHzmrRkaWR4rL2KoKHXO2</vt:lpwstr>
  </property>
  <property fmtid="{D5CDD505-2E9C-101B-9397-08002B2CF9AE}" pid="5" name="RESPONSE_SENDER_NAME">
    <vt:lpwstr>sAAAE9kkUq3pEoIDj4NBZIY8bBF9jxOoqu62aFkwCteBKmY=</vt:lpwstr>
  </property>
  <property fmtid="{D5CDD505-2E9C-101B-9397-08002B2CF9AE}" pid="6" name="_NewReviewCycle">
    <vt:lpwstr/>
  </property>
</Properties>
</file>