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982D0" w14:textId="77777777" w:rsidR="00900008" w:rsidRPr="00900008" w:rsidRDefault="00BF13C0" w:rsidP="00900008">
      <w:pPr>
        <w:pStyle w:val="Header"/>
        <w:jc w:val="center"/>
        <w:rPr>
          <w:b/>
        </w:rPr>
      </w:pPr>
      <w:bookmarkStart w:id="0" w:name="_GoBack"/>
      <w:bookmarkEnd w:id="0"/>
      <w:r>
        <w:rPr>
          <w:b/>
          <w:bCs/>
          <w:bdr w:val="nil"/>
          <w:lang w:val="es-ES"/>
        </w:rPr>
        <w:t>Para más detalles, llame al 1-800-311-7343</w:t>
      </w:r>
    </w:p>
    <w:p w14:paraId="234C2002" w14:textId="77777777" w:rsidR="00292EC9" w:rsidRPr="00E32ED6" w:rsidRDefault="000354BB" w:rsidP="00292EC9">
      <w:pPr>
        <w:spacing w:after="0"/>
        <w:rPr>
          <w:rFonts w:ascii="Times New Roman" w:hAnsi="Times New Roman"/>
          <w:b/>
          <w:lang w:val="es-ES"/>
        </w:rPr>
      </w:pPr>
    </w:p>
    <w:p w14:paraId="3A74BA47" w14:textId="77777777" w:rsidR="00D073D8" w:rsidRPr="00BC7248" w:rsidRDefault="00BF13C0" w:rsidP="001309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val="es-ES"/>
        </w:rPr>
        <w:t xml:space="preserve">SAN DIEGO GAS AND ELECTRIC COMPANY </w:t>
      </w:r>
    </w:p>
    <w:p w14:paraId="2B1B0F8F" w14:textId="77777777" w:rsidR="00992D29" w:rsidRDefault="00BF13C0" w:rsidP="00BC0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val="es-ES"/>
        </w:rPr>
        <w:t>AVISO DE PRESENTACIÓN DE SOLICITUD QUE AFECTA LAS TARIFAS ELÉCTRICAS</w:t>
      </w:r>
    </w:p>
    <w:p w14:paraId="4830ABA7" w14:textId="77777777" w:rsidR="00C12B3A" w:rsidRPr="00BC7248" w:rsidRDefault="00BF13C0" w:rsidP="00BC06D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val="es-ES"/>
        </w:rPr>
        <w:t>SOLICITUD DE EMPRESAS DE SERVICIOS PÚBLICOS CONJUNTAS QUE REQUIERE LA APROBACIÓN DE UNA NUEVA METODOLOGÍA PARA LA DISTRIBUCIÓN DEL PORTAFOLIO, NÚM. A.</w:t>
      </w:r>
      <w:r>
        <w:rPr>
          <w:rFonts w:ascii="Calibri" w:eastAsia="Calibri" w:hAnsi="Calibri" w:cs="Calibri"/>
          <w:sz w:val="28"/>
          <w:szCs w:val="28"/>
          <w:bdr w:val="nil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val="es-ES"/>
        </w:rPr>
        <w:t>17-04-018</w:t>
      </w:r>
    </w:p>
    <w:p w14:paraId="0E36032F" w14:textId="77777777" w:rsidR="00C12B3A" w:rsidRPr="00BC7248" w:rsidRDefault="000354BB" w:rsidP="00C12B3A">
      <w:pPr>
        <w:spacing w:after="0"/>
        <w:rPr>
          <w:rFonts w:ascii="Times New Roman" w:hAnsi="Times New Roman"/>
          <w:b/>
        </w:rPr>
      </w:pPr>
    </w:p>
    <w:p w14:paraId="4924C990" w14:textId="77777777" w:rsidR="00C12B3A" w:rsidRPr="00BC7248" w:rsidRDefault="00BF13C0" w:rsidP="00C12B3A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il"/>
          <w:lang w:val="es-ES"/>
        </w:rPr>
        <w:t>RESUMEN</w:t>
      </w:r>
    </w:p>
    <w:p w14:paraId="23556897" w14:textId="77777777" w:rsidR="006D15C6" w:rsidRDefault="00BF13C0" w:rsidP="00EC1D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>El 25 de abril de 2017, San Diego Gas &amp; Electric Company (SDG&amp;E</w:t>
      </w:r>
      <w:r w:rsidRPr="00DD23C3">
        <w:rPr>
          <w:rFonts w:ascii="Times New Roman" w:eastAsia="Calibri" w:hAnsi="Times New Roman" w:cs="Times New Roman"/>
          <w:sz w:val="24"/>
          <w:szCs w:val="24"/>
          <w:bdr w:val="nil"/>
          <w:vertAlign w:val="superscript"/>
          <w:lang w:val="es-ES"/>
        </w:rPr>
        <w:t>®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>) presentó una solicitud ante la Comisión de Servicios Públicos de California (CPUC) en su propio nombre y en el de Pacific Gas and Electric Company (PG&amp;E) y Southern California Edison Company (SCE) (</w:t>
      </w:r>
      <w:r w:rsidR="002E2A6C"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Empresas 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de </w:t>
      </w:r>
      <w:r w:rsidR="002E2A6C"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>Servicios Públicos Conjuntas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>) con el objeto de obtener la aprobación para poner en práctica la metodología para la distribución de</w:t>
      </w:r>
      <w:r w:rsidR="00DD23C3"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>l portafolio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 </w:t>
      </w:r>
      <w:r w:rsidRPr="002E2A6C">
        <w:rPr>
          <w:rFonts w:ascii="Times New Roman" w:eastAsia="Calibri" w:hAnsi="Times New Roman" w:cs="Times New Roman"/>
          <w:i/>
          <w:sz w:val="24"/>
          <w:szCs w:val="24"/>
          <w:bdr w:val="nil"/>
          <w:lang w:val="es-ES"/>
        </w:rPr>
        <w:t>Portfolio Allocation Methodology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 </w:t>
      </w:r>
      <w:r w:rsidR="002E2A6C"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>(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PAM). La solicitud propone una nueva metodología </w:t>
      </w:r>
      <w:r w:rsidR="002E2A6C"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en relación con 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los costos </w:t>
      </w:r>
      <w:r w:rsidR="002E2A6C"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y beneficios de la 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>generación eléctrica para todos los clientes. De aprobarse, esta solicitud no cambiará el monto global de los ingresos recaudados de los clientes de SDG&amp;E. Sin embargo, esta petición</w:t>
      </w:r>
      <w:r w:rsidR="002E2A6C"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>,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 a la larga</w:t>
      </w:r>
      <w:r w:rsidR="002E2A6C"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>,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 afectará las tarifas para ciertas clases de clientes de SDG&amp;E. La fecha de realización y el impacto a las tarifas no se han determinado en este momento.</w:t>
      </w:r>
    </w:p>
    <w:p w14:paraId="1E9A2314" w14:textId="77777777" w:rsidR="00EC1D0A" w:rsidRPr="00383C3B" w:rsidRDefault="000354BB" w:rsidP="00EC1D0A">
      <w:pPr>
        <w:spacing w:after="0"/>
        <w:rPr>
          <w:rFonts w:ascii="Times New Roman" w:hAnsi="Times New Roman"/>
          <w:sz w:val="24"/>
          <w:szCs w:val="24"/>
        </w:rPr>
      </w:pPr>
    </w:p>
    <w:p w14:paraId="1A406EEA" w14:textId="77777777" w:rsidR="00905D66" w:rsidRPr="00BC7248" w:rsidRDefault="00BF13C0" w:rsidP="00905D6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il"/>
          <w:lang w:val="es-ES"/>
        </w:rPr>
        <w:t>ACERCA DE LA SOLICITUD</w:t>
      </w:r>
    </w:p>
    <w:p w14:paraId="34EBC6C6" w14:textId="77777777" w:rsidR="00686476" w:rsidRDefault="00BF13C0" w:rsidP="00150AB6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La actual metodología distribuye </w:t>
      </w:r>
      <w:r w:rsidR="00EB1626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entre todos los clientes de las empresas de servicios públicos 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los costos de </w:t>
      </w:r>
      <w:r w:rsidR="00AA2383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adquisición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 de ciertos recursos de producción de energía. Esto incluye a quienes dejan el servicio en paquete para recibir electricidad de un proveedor alternativo (por ejemplo, un </w:t>
      </w:r>
      <w:r w:rsidR="007C4716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Proveedor 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de </w:t>
      </w:r>
      <w:r w:rsidR="007C4716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Servicio Eléctrico 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o un </w:t>
      </w:r>
      <w:r w:rsidR="00B25DD4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programa de agregación comunitaria electiva</w:t>
      </w:r>
      <w:r w:rsidR="007C4716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 </w:t>
      </w:r>
      <w:r w:rsidRPr="00B25DD4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Community Choice Aggregator</w:t>
      </w:r>
      <w:r w:rsidR="00B25DD4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. Estos clientes, conocidos como clientes de carga saliente (</w:t>
      </w:r>
      <w:r w:rsidRPr="00EB1626">
        <w:rPr>
          <w:rFonts w:ascii="Times New Roman" w:eastAsia="Times New Roman" w:hAnsi="Times New Roman" w:cs="Times New Roman"/>
          <w:i/>
          <w:sz w:val="24"/>
          <w:szCs w:val="24"/>
          <w:bdr w:val="nil"/>
          <w:lang w:val="es-ES"/>
        </w:rPr>
        <w:t>departing load customers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), actualmente pagan estos costos por medio de un ajuste por el principio de indiferencia de cargos eléctricos (</w:t>
      </w:r>
      <w:r w:rsidRPr="00EB1626">
        <w:rPr>
          <w:rFonts w:ascii="Times New Roman" w:eastAsia="Times New Roman" w:hAnsi="Times New Roman" w:cs="Times New Roman"/>
          <w:i/>
          <w:sz w:val="24"/>
          <w:szCs w:val="24"/>
          <w:bdr w:val="nil"/>
          <w:lang w:val="es-ES"/>
        </w:rPr>
        <w:t>Power Charge Indifference Adjustment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, PCIA) y un cargo por transición a la competencia (</w:t>
      </w:r>
      <w:r w:rsidRPr="00EB1626">
        <w:rPr>
          <w:rFonts w:ascii="Times New Roman" w:eastAsia="Times New Roman" w:hAnsi="Times New Roman" w:cs="Times New Roman"/>
          <w:i/>
          <w:sz w:val="24"/>
          <w:szCs w:val="24"/>
          <w:bdr w:val="nil"/>
          <w:lang w:val="es-ES"/>
        </w:rPr>
        <w:t>Competition Transition Charge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, CTC)</w:t>
      </w:r>
      <w:r w:rsidR="00B25DD4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 como parte de sus tarifas. Conforme a la PAM, las </w:t>
      </w:r>
      <w:r w:rsidR="00EB1626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Empresas 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de </w:t>
      </w:r>
      <w:r w:rsidR="00EB1626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Servicios Públicos Conjuntas 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proponen que la metodología actual para determinar a quién se asignan estos costos se reemplace por una nueva metodología que establecería nuevas tarifas por cargo para la distribución de</w:t>
      </w:r>
      <w:r w:rsidR="00B25DD4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l portafolio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 (</w:t>
      </w:r>
      <w:r w:rsidRPr="007D23C3">
        <w:rPr>
          <w:rFonts w:ascii="Times New Roman" w:eastAsia="Times New Roman" w:hAnsi="Times New Roman" w:cs="Times New Roman"/>
          <w:i/>
          <w:sz w:val="24"/>
          <w:szCs w:val="24"/>
          <w:bdr w:val="nil"/>
          <w:lang w:val="es-ES"/>
        </w:rPr>
        <w:t>Portfolio Allocation Charge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, PAC) y CTC. </w:t>
      </w:r>
    </w:p>
    <w:p w14:paraId="54356382" w14:textId="77777777" w:rsidR="00150AB6" w:rsidRDefault="00BF13C0" w:rsidP="00150AB6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De acuerdo con la PAM, todos los clientes de carga saliente y de servicios en paquete pagarán una porción equitativa de los costos de mercado reales del portafolio de generación de la empresa de servicios públicos con base en cuánto se </w:t>
      </w:r>
      <w:r w:rsidR="007D23C3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adquirió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 en su nombre. A todos estos clientes se les asignará </w:t>
      </w:r>
      <w:r w:rsidR="00AD71E7"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también 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 xml:space="preserve">una porción equitativa de los beneficios asociados con estos recursos. La PAM asignará estos costos con base en resultados de mercado reales para proteger en forma más efectiva a los clientes de incrementos o modificaciones en los costos como resultado de carga saliente. </w:t>
      </w:r>
    </w:p>
    <w:p w14:paraId="1F375A4E" w14:textId="77777777" w:rsidR="006C332E" w:rsidRDefault="00BF13C0" w:rsidP="00BB6CE5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lastRenderedPageBreak/>
        <w:t xml:space="preserve">Si la CPUC aprueba esta solicitud, las tarifas eléctricas para ciertas clases de clientes se verán afectadas. Sin embargo, el monto global de los ingresos recaudados de los clientes de SDG&amp;E para estos recursos de generación no va a cambiar. La fecha de realización y la magnitud de los cambios a ciertas clases de clientes se desconocen por el momento, ya que se espera que la PAM se implemente hasta 2019, como pronto. Los cambios en las tarifas se </w:t>
      </w:r>
      <w:r w:rsidR="00B50054"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>aplicarán</w:t>
      </w:r>
      <w:r>
        <w:rPr>
          <w:rFonts w:ascii="Times New Roman" w:eastAsia="Calibri" w:hAnsi="Times New Roman" w:cs="Times New Roman"/>
          <w:sz w:val="24"/>
          <w:szCs w:val="24"/>
          <w:bdr w:val="nil"/>
          <w:lang w:val="es-ES"/>
        </w:rPr>
        <w:t xml:space="preserve"> a través de futuros procedimientos de establecimiento de tarifas y los impactos detallados en las tarifas se notificarán en ese momento.</w:t>
      </w:r>
    </w:p>
    <w:p w14:paraId="29902147" w14:textId="77777777" w:rsidR="006C332E" w:rsidRDefault="000354BB" w:rsidP="008F01E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96A73" w14:textId="77777777" w:rsidR="00900008" w:rsidRDefault="000354BB" w:rsidP="0090000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16558676" w14:textId="77777777" w:rsidR="00900008" w:rsidRPr="00900008" w:rsidRDefault="00BF13C0" w:rsidP="0090000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bdr w:val="nil"/>
          <w:lang w:val="es-ES"/>
        </w:rPr>
        <w:t>PARA MÁS INFORMACIÓN</w:t>
      </w:r>
    </w:p>
    <w:p w14:paraId="6A1417AF" w14:textId="77777777" w:rsidR="00900008" w:rsidRPr="00900008" w:rsidRDefault="000354BB" w:rsidP="009000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DD84F8" w14:textId="77777777" w:rsidR="00900008" w:rsidRPr="00900008" w:rsidRDefault="00BF13C0" w:rsidP="009000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il"/>
          <w:lang w:val="es-ES"/>
        </w:rPr>
        <w:t>Para mayor información sobre estas propuestas, puede comunicarse a la línea de Servicio al Cliente de SDG&amp;E al 1-800-311-SDGE (7343).</w:t>
      </w:r>
    </w:p>
    <w:p w14:paraId="1042E341" w14:textId="77777777" w:rsidR="00900008" w:rsidRPr="00900008" w:rsidRDefault="00BF13C0" w:rsidP="009000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dr w:val="nil"/>
          <w:lang w:val="es-ES"/>
        </w:rPr>
        <w:t>Puede solicitar mayor información u obtener una copia de la solicitud y los anexos relacionados escribiendo a: D. Niehaus, San Diego Gas &amp; Electric Company, 8330 Century Park Court, CP32D, San Diego, CA 92123. La solicitud y los anexos de SDG&amp;E también pueden examinarse en la Central Files Office de la CPUC en San Francisco, previa cita. Para más información, sírvase ponerse en contacto con ellos escribiendo a aljcentralfilesid@cpuc.ca.gov o llamando al (415) 703-2045. Una copia de esta solicitud también puede inspeccionarse en las siguientes oficinas comerciales de SDG&amp;E:</w:t>
      </w:r>
    </w:p>
    <w:p w14:paraId="71150130" w14:textId="77777777" w:rsidR="00900008" w:rsidRPr="00900008" w:rsidRDefault="000354BB" w:rsidP="0090000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677198" w14:paraId="5C1CD5F6" w14:textId="77777777" w:rsidTr="00975482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DDB80B4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436 H St.</w:t>
            </w:r>
          </w:p>
          <w:p w14:paraId="78E55360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Chula Vista, CA 91910</w:t>
            </w:r>
          </w:p>
          <w:p w14:paraId="10BC8FDA" w14:textId="77777777" w:rsidR="00900008" w:rsidRPr="00900008" w:rsidRDefault="000354BB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E748FB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2405 Plaza Blvd.</w:t>
            </w:r>
          </w:p>
          <w:p w14:paraId="3FE79429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National City, CA 91950</w:t>
            </w:r>
          </w:p>
          <w:p w14:paraId="322BAD9B" w14:textId="77777777" w:rsidR="00900008" w:rsidRPr="00900008" w:rsidRDefault="000354BB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0AFDC70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104 N Johnson Ave.</w:t>
            </w:r>
          </w:p>
          <w:p w14:paraId="05A89952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El Cajon, CA 92020</w:t>
            </w:r>
          </w:p>
          <w:p w14:paraId="300E9018" w14:textId="77777777" w:rsidR="00900008" w:rsidRPr="00900008" w:rsidRDefault="000354BB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BAB020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336 Euclid Ave.</w:t>
            </w:r>
          </w:p>
          <w:p w14:paraId="4A03996F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San Diego, CA 92114</w:t>
            </w:r>
          </w:p>
          <w:p w14:paraId="0722210D" w14:textId="77777777" w:rsidR="00900008" w:rsidRPr="00900008" w:rsidRDefault="000354BB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35AAE83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644 W Mission Ave.</w:t>
            </w:r>
          </w:p>
          <w:p w14:paraId="08E5B9AD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Escondido, CA 92025</w:t>
            </w:r>
          </w:p>
          <w:p w14:paraId="7010CC68" w14:textId="77777777" w:rsidR="00900008" w:rsidRPr="00900008" w:rsidRDefault="000354BB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4F7E9237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440 Beech St.</w:t>
            </w:r>
          </w:p>
          <w:p w14:paraId="45BC1921" w14:textId="77777777" w:rsidR="00900008" w:rsidRPr="00900008" w:rsidRDefault="00BF13C0" w:rsidP="00900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es-ES"/>
              </w:rPr>
              <w:t>San Diego, CA 92101</w:t>
            </w:r>
          </w:p>
        </w:tc>
      </w:tr>
    </w:tbl>
    <w:p w14:paraId="59492970" w14:textId="77777777" w:rsidR="00900008" w:rsidRPr="00900008" w:rsidRDefault="000354BB" w:rsidP="009000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6C79D2E" w14:textId="77777777" w:rsidR="00900008" w:rsidRPr="00900008" w:rsidRDefault="00BF13C0" w:rsidP="009000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bdr w:val="nil"/>
          <w:lang w:val="es-ES"/>
        </w:rPr>
        <w:t xml:space="preserve">Hay copias de esta solicitud en el sitio web de SDG&amp;E en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bdr w:val="nil"/>
            <w:lang w:val="es-ES"/>
          </w:rPr>
          <w:t>www.sdge.com/regulatory/cpuc.shtml</w:t>
        </w:r>
      </w:hyperlink>
      <w:r>
        <w:rPr>
          <w:rFonts w:ascii="Times New Roman" w:eastAsia="Times New Roman" w:hAnsi="Times New Roman" w:cs="Times New Roman"/>
          <w:sz w:val="20"/>
          <w:szCs w:val="20"/>
          <w:bdr w:val="nil"/>
          <w:lang w:val="es-ES"/>
        </w:rPr>
        <w:t>.</w:t>
      </w:r>
    </w:p>
    <w:p w14:paraId="12E5D258" w14:textId="77777777" w:rsidR="00900008" w:rsidRPr="00900008" w:rsidRDefault="000354BB" w:rsidP="009000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C32B46" w14:textId="77777777" w:rsidR="00900008" w:rsidRPr="00900008" w:rsidRDefault="00BF13C0" w:rsidP="009000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dr w:val="nil"/>
          <w:lang w:val="es-ES"/>
        </w:rPr>
        <w:t xml:space="preserve">Habrá copias de este encarte para su consulta e impresión en el sitio web de SDG&amp;E en </w:t>
      </w:r>
      <w:bookmarkStart w:id="1" w:name="OLE_LINK1"/>
      <w:bookmarkStart w:id="2" w:name="OLE_LINK2"/>
      <w:r w:rsidRPr="0090000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fldChar w:fldCharType="begin"/>
      </w:r>
      <w:r w:rsidRPr="0090000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instrText xml:space="preserve"> HYPERLINK "http://www.sdge.com/billinserts/regulatory.shtml" </w:instrText>
      </w:r>
      <w:r w:rsidRPr="0090000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bdr w:val="nil"/>
          <w:lang w:val="es-ES"/>
        </w:rPr>
        <w:t>www.sdge.com/billinserts/regulatory.shtml</w:t>
      </w:r>
      <w:bookmarkEnd w:id="1"/>
      <w:bookmarkEnd w:id="2"/>
      <w:r w:rsidRPr="0090000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fldChar w:fldCharType="end"/>
      </w:r>
      <w:r>
        <w:rPr>
          <w:rFonts w:ascii="Times New Roman" w:eastAsia="Times New Roman" w:hAnsi="Times New Roman" w:cs="Times New Roman"/>
          <w:bdr w:val="nil"/>
          <w:lang w:val="es-ES"/>
        </w:rPr>
        <w:t>.</w:t>
      </w:r>
    </w:p>
    <w:p w14:paraId="7B5FE3D5" w14:textId="77777777" w:rsidR="00900008" w:rsidRPr="00E8294B" w:rsidRDefault="000354BB" w:rsidP="00D20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4668E" w14:textId="77777777" w:rsidR="00C12B3A" w:rsidRPr="00E25532" w:rsidRDefault="000354BB" w:rsidP="00C12B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F18F3" w14:textId="77777777" w:rsidR="00C12B3A" w:rsidRPr="00E45B82" w:rsidRDefault="00BF13C0" w:rsidP="00C12B3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il"/>
          <w:lang w:val="es-ES"/>
        </w:rPr>
        <w:t>PROCESO DE LA CPUC</w:t>
      </w:r>
    </w:p>
    <w:p w14:paraId="42FCE111" w14:textId="77777777" w:rsidR="00E25532" w:rsidRPr="00E25532" w:rsidRDefault="00BF13C0" w:rsidP="00E2553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La presente solicitud será asignada a un Juez de Derecho Administrativo (Juez) quien determinará cómo se recibirán las pruebas y otros documentos relacionados, necesarios para que la CPUC establezca un acta en la que basará su decisión. Las Audiencias para la Presentación de Pruebas (EH) pueden llevarse a cabo en donde las partes que aparecen en el acta presentarán su testimonio y pueden estar sujetas a un contrainterrogatorio por otras de las partes. Estas EH están abiertas al público, pero sólo las partes que aparecen en el acta pueden participar. </w:t>
      </w:r>
    </w:p>
    <w:p w14:paraId="7A532B41" w14:textId="77777777" w:rsidR="00E25532" w:rsidRPr="00E25532" w:rsidRDefault="000354BB" w:rsidP="00E25532">
      <w:pPr>
        <w:pStyle w:val="NoSpacing"/>
        <w:rPr>
          <w:rFonts w:ascii="Times New Roman" w:hAnsi="Times New Roman"/>
          <w:sz w:val="24"/>
          <w:szCs w:val="24"/>
        </w:rPr>
      </w:pPr>
    </w:p>
    <w:p w14:paraId="63AF53E6" w14:textId="77777777" w:rsidR="00E25532" w:rsidRPr="00E25532" w:rsidRDefault="00BF13C0" w:rsidP="00E2553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t>Después de considerar todas las propuestas y pruebas presentadas durante el proceso formal de las audiencias, el Juez asignado emitirá una propuesta de decisión que tal vez adopte la solicitud tal como se propone, la modifique o la deniegue. Cualquier Comisionado de la CPUC puede proponer una decisión alterna. La decisión propuesta y cual</w:t>
      </w:r>
      <w:r w:rsidR="00EF0B06">
        <w:rPr>
          <w:rFonts w:ascii="Times New Roman" w:hAnsi="Times New Roman"/>
          <w:sz w:val="24"/>
          <w:szCs w:val="24"/>
          <w:bdr w:val="nil"/>
          <w:lang w:val="es-ES"/>
        </w:rPr>
        <w:t>es</w:t>
      </w:r>
      <w:r>
        <w:rPr>
          <w:rFonts w:ascii="Times New Roman" w:hAnsi="Times New Roman"/>
          <w:sz w:val="24"/>
          <w:szCs w:val="24"/>
          <w:bdr w:val="nil"/>
          <w:lang w:val="es-ES"/>
        </w:rPr>
        <w:t>quier</w:t>
      </w:r>
      <w:r w:rsidR="00EF0B06">
        <w:rPr>
          <w:rFonts w:ascii="Times New Roman" w:hAnsi="Times New Roman"/>
          <w:sz w:val="24"/>
          <w:szCs w:val="24"/>
          <w:bdr w:val="nil"/>
          <w:lang w:val="es-ES"/>
        </w:rPr>
        <w:t>a</w:t>
      </w:r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 decisi</w:t>
      </w:r>
      <w:r w:rsidR="00EF0B06">
        <w:rPr>
          <w:rFonts w:ascii="Times New Roman" w:hAnsi="Times New Roman"/>
          <w:sz w:val="24"/>
          <w:szCs w:val="24"/>
          <w:bdr w:val="nil"/>
          <w:lang w:val="es-ES"/>
        </w:rPr>
        <w:t>ones</w:t>
      </w:r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 alterna</w:t>
      </w:r>
      <w:r w:rsidR="00EF0B06">
        <w:rPr>
          <w:rFonts w:ascii="Times New Roman" w:hAnsi="Times New Roman"/>
          <w:sz w:val="24"/>
          <w:szCs w:val="24"/>
          <w:bdr w:val="nil"/>
          <w:lang w:val="es-ES"/>
        </w:rPr>
        <w:t>s</w:t>
      </w:r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 se discutirán y someterán a voto en una Reunión de Votación de la CPUC, que se programe. </w:t>
      </w:r>
    </w:p>
    <w:p w14:paraId="58327EFC" w14:textId="77777777" w:rsidR="00E25532" w:rsidRPr="00E25532" w:rsidRDefault="000354BB" w:rsidP="00E25532">
      <w:pPr>
        <w:pStyle w:val="NoSpacing"/>
        <w:rPr>
          <w:rFonts w:ascii="Times New Roman" w:hAnsi="Times New Roman"/>
          <w:sz w:val="24"/>
          <w:szCs w:val="24"/>
        </w:rPr>
      </w:pPr>
    </w:p>
    <w:p w14:paraId="243E80FC" w14:textId="77777777" w:rsidR="00E4757D" w:rsidRPr="00E8294B" w:rsidRDefault="00BF13C0" w:rsidP="00E2553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lastRenderedPageBreak/>
        <w:t xml:space="preserve">La Oficina de Defensores del Contribuyente (ORA) puede examinar esta solicitud en nombre de los clientes de SDG&amp;E. ORA es el defensor independiente del consumidor dentro de la CPUC con un mandato legislativo para representar a clientes de empresas de servicios públicos propiedad de inversionistas a fin de obtener la tarifa más baja posible por un servicio, acorde con los niveles de un servicio confiable y seguro. ORA cuenta con un personal multidisciplinario con pericia en economía, finanzas, contabilidad e ingeniería. Para más información sobre ORA, por favor llame al (415) 703-1584, envíe un mensaje por correo electrónico a </w:t>
      </w:r>
      <w:hyperlink r:id="rId11" w:history="1">
        <w:r>
          <w:rPr>
            <w:rFonts w:ascii="Times New Roman" w:hAnsi="Times New Roman"/>
            <w:b/>
            <w:bCs/>
            <w:sz w:val="24"/>
            <w:szCs w:val="24"/>
            <w:u w:val="single"/>
            <w:bdr w:val="nil"/>
            <w:lang w:val="es-ES"/>
          </w:rPr>
          <w:t>ora@cpuc.ca.gov</w:t>
        </w:r>
      </w:hyperlink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 o visite el sitio web de ORA en </w:t>
      </w:r>
      <w:hyperlink r:id="rId12" w:history="1">
        <w:r>
          <w:rPr>
            <w:rFonts w:ascii="Times New Roman" w:hAnsi="Times New Roman"/>
            <w:b/>
            <w:bCs/>
            <w:sz w:val="24"/>
            <w:szCs w:val="24"/>
            <w:u w:val="single"/>
            <w:bdr w:val="nil"/>
            <w:lang w:val="es-ES"/>
          </w:rPr>
          <w:t>www.ora.ca.gov/</w:t>
        </w:r>
      </w:hyperlink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. </w:t>
      </w:r>
    </w:p>
    <w:p w14:paraId="0CE70B8E" w14:textId="77777777" w:rsidR="00C12B3A" w:rsidRPr="00E25532" w:rsidRDefault="000354BB" w:rsidP="00C12B3A">
      <w:pPr>
        <w:pStyle w:val="NoSpacing"/>
        <w:rPr>
          <w:rFonts w:ascii="Times New Roman" w:hAnsi="Times New Roman"/>
          <w:sz w:val="24"/>
          <w:szCs w:val="24"/>
        </w:rPr>
      </w:pPr>
    </w:p>
    <w:p w14:paraId="16B30F6B" w14:textId="77777777" w:rsidR="00C12B3A" w:rsidRPr="00E45B82" w:rsidRDefault="00BF13C0" w:rsidP="00C12B3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bdr w:val="nil"/>
          <w:lang w:val="es-ES"/>
        </w:rPr>
        <w:t>MANTÉNGASE INFORMADO</w:t>
      </w:r>
    </w:p>
    <w:p w14:paraId="6E6344A0" w14:textId="77777777" w:rsidR="00F9135A" w:rsidRPr="00E8294B" w:rsidRDefault="00BF13C0" w:rsidP="00F913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Si desea seguir este procedimiento, o cualquier otro asunto presentado ante la CPUC, puede utilizar el servicio de suscripción gratuito de la CPUC. Suscríbase en: </w:t>
      </w:r>
      <w:hyperlink r:id="rId13" w:history="1">
        <w:r>
          <w:rPr>
            <w:rFonts w:ascii="Times New Roman" w:hAnsi="Times New Roman"/>
            <w:b/>
            <w:bCs/>
            <w:sz w:val="24"/>
            <w:szCs w:val="24"/>
            <w:u w:val="single"/>
            <w:bdr w:val="nil"/>
            <w:lang w:val="es-ES"/>
          </w:rPr>
          <w:t>http://subscribecpuc.cpuc.ca.gov/</w:t>
        </w:r>
      </w:hyperlink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. </w:t>
      </w:r>
    </w:p>
    <w:p w14:paraId="714C9646" w14:textId="77777777" w:rsidR="005C22D4" w:rsidRDefault="000354BB" w:rsidP="00F9135A">
      <w:pPr>
        <w:pStyle w:val="NoSpacing"/>
        <w:rPr>
          <w:rFonts w:ascii="Times New Roman" w:hAnsi="Times New Roman"/>
          <w:sz w:val="24"/>
          <w:szCs w:val="24"/>
        </w:rPr>
      </w:pPr>
    </w:p>
    <w:p w14:paraId="222DE7DA" w14:textId="77777777" w:rsidR="00F9135A" w:rsidRDefault="00BF13C0" w:rsidP="00F913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Si quiere obtener información sobre cómo puede participar en este procedimiento o presentar comentarios públicos, o si tiene preguntas acerca de cualesquiera procesos de la CPUC, puede entrar a la página web de la Oficina del Asesor Público (PAO) de la CPUC en </w:t>
      </w:r>
      <w:hyperlink r:id="rId14" w:history="1">
        <w:r w:rsidR="005C5C37" w:rsidRPr="005C5C37">
          <w:rPr>
            <w:rFonts w:ascii="Times New Roman" w:eastAsia="Calibri" w:hAnsi="Times New Roman"/>
            <w:b/>
            <w:sz w:val="24"/>
            <w:szCs w:val="24"/>
            <w:u w:val="single"/>
          </w:rPr>
          <w:t>www.cpuc.ca.gov/pao/</w:t>
        </w:r>
      </w:hyperlink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.  También puede ponerse en contacto con la PAO de la siguiente manera: </w:t>
      </w:r>
    </w:p>
    <w:p w14:paraId="562469BD" w14:textId="77777777" w:rsidR="00B512D4" w:rsidRPr="00E8294B" w:rsidRDefault="000354BB" w:rsidP="00F9135A">
      <w:pPr>
        <w:pStyle w:val="NoSpacing"/>
        <w:rPr>
          <w:rFonts w:ascii="Times New Roman" w:hAnsi="Times New Roman"/>
          <w:sz w:val="24"/>
          <w:szCs w:val="24"/>
        </w:rPr>
      </w:pPr>
    </w:p>
    <w:p w14:paraId="4DF965CE" w14:textId="77777777" w:rsidR="00B512D4" w:rsidRDefault="00BF13C0" w:rsidP="00B512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Envíe un mensaje por correo electrónico a: </w:t>
      </w:r>
      <w:hyperlink r:id="rId15" w:history="1">
        <w:r w:rsidR="005C5C37" w:rsidRPr="005C5C37">
          <w:rPr>
            <w:rFonts w:ascii="Times New Roman" w:eastAsia="Calibri" w:hAnsi="Times New Roman"/>
            <w:b/>
            <w:sz w:val="24"/>
            <w:szCs w:val="24"/>
            <w:u w:val="single"/>
          </w:rPr>
          <w:t>public.advisor@cpuc.ca.gov</w:t>
        </w:r>
      </w:hyperlink>
      <w:r>
        <w:rPr>
          <w:rFonts w:ascii="Times New Roman" w:hAnsi="Times New Roman"/>
          <w:sz w:val="24"/>
          <w:szCs w:val="24"/>
          <w:bdr w:val="nil"/>
          <w:lang w:val="es-ES"/>
        </w:rPr>
        <w:t xml:space="preserve"> </w:t>
      </w:r>
    </w:p>
    <w:p w14:paraId="73C36A1F" w14:textId="77777777" w:rsidR="00B512D4" w:rsidRDefault="000354BB" w:rsidP="00B512D4">
      <w:pPr>
        <w:pStyle w:val="NoSpacing"/>
        <w:rPr>
          <w:rFonts w:ascii="Times New Roman" w:hAnsi="Times New Roman"/>
          <w:sz w:val="24"/>
          <w:szCs w:val="24"/>
        </w:rPr>
      </w:pPr>
    </w:p>
    <w:p w14:paraId="2ACB22BF" w14:textId="77777777" w:rsidR="00B512D4" w:rsidRPr="00E8294B" w:rsidRDefault="00BF13C0" w:rsidP="00B512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t>Escriba a:</w:t>
      </w:r>
      <w:r>
        <w:rPr>
          <w:rFonts w:ascii="Times New Roman" w:hAnsi="Times New Roman"/>
          <w:sz w:val="24"/>
          <w:szCs w:val="24"/>
          <w:bdr w:val="nil"/>
          <w:lang w:val="es-ES"/>
        </w:rPr>
        <w:tab/>
        <w:t xml:space="preserve">CPUC </w:t>
      </w:r>
    </w:p>
    <w:p w14:paraId="4E00BA0D" w14:textId="77777777" w:rsidR="00B512D4" w:rsidRPr="00E8294B" w:rsidRDefault="00BF13C0" w:rsidP="00B512D4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t>Public Advisor’s Office</w:t>
      </w:r>
    </w:p>
    <w:p w14:paraId="0CEE5533" w14:textId="77777777" w:rsidR="00B512D4" w:rsidRPr="00E8294B" w:rsidRDefault="00BF13C0" w:rsidP="00B512D4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t>505 Van Ness Ave.</w:t>
      </w:r>
    </w:p>
    <w:p w14:paraId="2E473C27" w14:textId="77777777" w:rsidR="00B512D4" w:rsidRPr="00E8294B" w:rsidRDefault="00BF13C0" w:rsidP="00B512D4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t>San Francisco, CA 94102</w:t>
      </w:r>
    </w:p>
    <w:p w14:paraId="7DDB679A" w14:textId="77777777" w:rsidR="00B512D4" w:rsidRPr="00E8294B" w:rsidRDefault="000354BB" w:rsidP="00B512D4">
      <w:pPr>
        <w:pStyle w:val="NoSpacing"/>
        <w:rPr>
          <w:rFonts w:ascii="Times New Roman" w:hAnsi="Times New Roman"/>
          <w:sz w:val="24"/>
          <w:szCs w:val="24"/>
        </w:rPr>
      </w:pPr>
    </w:p>
    <w:p w14:paraId="65226B11" w14:textId="77777777" w:rsidR="00F9135A" w:rsidRPr="00E8294B" w:rsidRDefault="000354BB" w:rsidP="00F9135A">
      <w:pPr>
        <w:pStyle w:val="NoSpacing"/>
        <w:rPr>
          <w:rFonts w:ascii="Times New Roman" w:hAnsi="Times New Roman"/>
          <w:sz w:val="24"/>
          <w:szCs w:val="24"/>
        </w:rPr>
      </w:pPr>
    </w:p>
    <w:p w14:paraId="74724935" w14:textId="77777777" w:rsidR="00E25532" w:rsidRPr="00E8294B" w:rsidRDefault="00BF13C0" w:rsidP="00E2553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il"/>
          <w:lang w:val="es-ES"/>
        </w:rPr>
        <w:t>Llame</w:t>
      </w:r>
      <w:r w:rsidR="005C5C37">
        <w:rPr>
          <w:rFonts w:ascii="Times New Roman" w:hAnsi="Times New Roman"/>
          <w:sz w:val="24"/>
          <w:szCs w:val="24"/>
          <w:bdr w:val="nil"/>
          <w:lang w:val="es-ES"/>
        </w:rPr>
        <w:t xml:space="preserve"> al</w:t>
      </w:r>
      <w:r>
        <w:rPr>
          <w:rFonts w:ascii="Times New Roman" w:hAnsi="Times New Roman"/>
          <w:sz w:val="24"/>
          <w:szCs w:val="24"/>
          <w:bdr w:val="nil"/>
          <w:lang w:val="es-ES"/>
        </w:rPr>
        <w:t>: 1-866-849-8390 (sin costo) o al 1-415-703-2074</w:t>
      </w:r>
    </w:p>
    <w:p w14:paraId="5F6F74E2" w14:textId="77777777" w:rsidR="00E25532" w:rsidRPr="00E8294B" w:rsidRDefault="00BF13C0" w:rsidP="00E2553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>TTY</w:t>
      </w:r>
      <w:r>
        <w:rPr>
          <w:rFonts w:ascii="Times New Roman" w:eastAsia="Times New Roman" w:hAnsi="Times New Roman" w:cs="Times New Roman"/>
          <w:sz w:val="24"/>
          <w:szCs w:val="24"/>
          <w:bdr w:val="nil"/>
          <w:lang w:val="es-ES"/>
        </w:rPr>
        <w:tab/>
        <w:t>1-866-836-7825 (sin costo) o 1-415-703-5282</w:t>
      </w:r>
    </w:p>
    <w:p w14:paraId="51E3DB0A" w14:textId="77777777" w:rsidR="00E25532" w:rsidRPr="00E8294B" w:rsidRDefault="000354BB" w:rsidP="00E25532">
      <w:pPr>
        <w:pStyle w:val="NoSpacing"/>
        <w:rPr>
          <w:rFonts w:ascii="Times New Roman" w:hAnsi="Times New Roman"/>
          <w:sz w:val="24"/>
          <w:szCs w:val="24"/>
        </w:rPr>
      </w:pPr>
    </w:p>
    <w:p w14:paraId="2D56FFC7" w14:textId="77777777" w:rsidR="00E25532" w:rsidRPr="00E8294B" w:rsidRDefault="000354BB" w:rsidP="00E25532">
      <w:pPr>
        <w:pStyle w:val="NoSpacing"/>
        <w:rPr>
          <w:rFonts w:ascii="Times New Roman" w:hAnsi="Times New Roman"/>
          <w:sz w:val="24"/>
          <w:szCs w:val="24"/>
        </w:rPr>
      </w:pPr>
    </w:p>
    <w:p w14:paraId="7D9F3368" w14:textId="77777777" w:rsidR="00F9135A" w:rsidRPr="00E25532" w:rsidRDefault="00BF13C0" w:rsidP="00AD5694">
      <w:pPr>
        <w:pStyle w:val="BodyText"/>
        <w:rPr>
          <w:szCs w:val="24"/>
        </w:rPr>
      </w:pPr>
      <w:r>
        <w:rPr>
          <w:szCs w:val="24"/>
          <w:bdr w:val="nil"/>
          <w:lang w:val="es-ES"/>
        </w:rPr>
        <w:t xml:space="preserve">Por favor haga referencia a la </w:t>
      </w:r>
      <w:r w:rsidRPr="0000212E">
        <w:rPr>
          <w:szCs w:val="24"/>
          <w:bdr w:val="nil"/>
          <w:lang w:val="es-ES"/>
        </w:rPr>
        <w:t>solicitud</w:t>
      </w:r>
      <w:r w:rsidR="005C5C37" w:rsidRPr="0000212E">
        <w:rPr>
          <w:szCs w:val="24"/>
          <w:bdr w:val="nil"/>
          <w:lang w:val="es-ES"/>
        </w:rPr>
        <w:t xml:space="preserve"> PAM de las Empresas de Servicios Públicos Conjuntas número A.17-04-018</w:t>
      </w:r>
      <w:r w:rsidR="005C5C37" w:rsidRPr="005C5C37">
        <w:rPr>
          <w:b/>
          <w:szCs w:val="24"/>
          <w:bdr w:val="nil"/>
          <w:lang w:val="es-ES"/>
        </w:rPr>
        <w:t xml:space="preserve"> (</w:t>
      </w:r>
      <w:r w:rsidRPr="005C5C37">
        <w:rPr>
          <w:b/>
          <w:bCs/>
          <w:szCs w:val="24"/>
          <w:bdr w:val="nil"/>
          <w:lang w:val="es-ES"/>
        </w:rPr>
        <w:t>Joint Utilities’ PAM application number No. A.17-04-018</w:t>
      </w:r>
      <w:r w:rsidR="005C5C37" w:rsidRPr="005C5C37">
        <w:rPr>
          <w:b/>
          <w:bCs/>
          <w:szCs w:val="24"/>
          <w:bdr w:val="nil"/>
          <w:lang w:val="es-ES"/>
        </w:rPr>
        <w:t>)</w:t>
      </w:r>
      <w:r>
        <w:rPr>
          <w:szCs w:val="24"/>
          <w:bdr w:val="nil"/>
          <w:lang w:val="es-ES"/>
        </w:rPr>
        <w:t xml:space="preserve"> en cualesquiera comunicaciones que sostenga con la CPUC en relación con este asunto. Todos los comentarios públicos se volverán parte del expediente de correspondencia pública de este procedimiento y se pondrán a disposición del Juez asignado, los Comisionados y el personal pertinente de la CPUC para su revisión.</w:t>
      </w:r>
    </w:p>
    <w:sectPr w:rsidR="00F9135A" w:rsidRPr="00E25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001E"/>
    <w:multiLevelType w:val="hybridMultilevel"/>
    <w:tmpl w:val="D0946C3E"/>
    <w:lvl w:ilvl="0" w:tplc="03D2C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F16B058" w:tentative="1">
      <w:start w:val="1"/>
      <w:numFmt w:val="lowerLetter"/>
      <w:lvlText w:val="%2."/>
      <w:lvlJc w:val="left"/>
      <w:pPr>
        <w:ind w:left="1440" w:hanging="360"/>
      </w:pPr>
    </w:lvl>
    <w:lvl w:ilvl="2" w:tplc="C2327C68" w:tentative="1">
      <w:start w:val="1"/>
      <w:numFmt w:val="lowerRoman"/>
      <w:lvlText w:val="%3."/>
      <w:lvlJc w:val="right"/>
      <w:pPr>
        <w:ind w:left="2160" w:hanging="180"/>
      </w:pPr>
    </w:lvl>
    <w:lvl w:ilvl="3" w:tplc="178C9782" w:tentative="1">
      <w:start w:val="1"/>
      <w:numFmt w:val="decimal"/>
      <w:lvlText w:val="%4."/>
      <w:lvlJc w:val="left"/>
      <w:pPr>
        <w:ind w:left="2880" w:hanging="360"/>
      </w:pPr>
    </w:lvl>
    <w:lvl w:ilvl="4" w:tplc="C358AE8A" w:tentative="1">
      <w:start w:val="1"/>
      <w:numFmt w:val="lowerLetter"/>
      <w:lvlText w:val="%5."/>
      <w:lvlJc w:val="left"/>
      <w:pPr>
        <w:ind w:left="3600" w:hanging="360"/>
      </w:pPr>
    </w:lvl>
    <w:lvl w:ilvl="5" w:tplc="5B8A2614" w:tentative="1">
      <w:start w:val="1"/>
      <w:numFmt w:val="lowerRoman"/>
      <w:lvlText w:val="%6."/>
      <w:lvlJc w:val="right"/>
      <w:pPr>
        <w:ind w:left="4320" w:hanging="180"/>
      </w:pPr>
    </w:lvl>
    <w:lvl w:ilvl="6" w:tplc="466E6912" w:tentative="1">
      <w:start w:val="1"/>
      <w:numFmt w:val="decimal"/>
      <w:lvlText w:val="%7."/>
      <w:lvlJc w:val="left"/>
      <w:pPr>
        <w:ind w:left="5040" w:hanging="360"/>
      </w:pPr>
    </w:lvl>
    <w:lvl w:ilvl="7" w:tplc="49387D24" w:tentative="1">
      <w:start w:val="1"/>
      <w:numFmt w:val="lowerLetter"/>
      <w:lvlText w:val="%8."/>
      <w:lvlJc w:val="left"/>
      <w:pPr>
        <w:ind w:left="5760" w:hanging="360"/>
      </w:pPr>
    </w:lvl>
    <w:lvl w:ilvl="8" w:tplc="2F820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72710"/>
    <w:multiLevelType w:val="hybridMultilevel"/>
    <w:tmpl w:val="3F5861F0"/>
    <w:lvl w:ilvl="0" w:tplc="18A4D2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7A191E" w:tentative="1">
      <w:start w:val="1"/>
      <w:numFmt w:val="lowerLetter"/>
      <w:lvlText w:val="%2."/>
      <w:lvlJc w:val="left"/>
      <w:pPr>
        <w:ind w:left="1440" w:hanging="360"/>
      </w:pPr>
    </w:lvl>
    <w:lvl w:ilvl="2" w:tplc="05AE3DF6" w:tentative="1">
      <w:start w:val="1"/>
      <w:numFmt w:val="lowerRoman"/>
      <w:lvlText w:val="%3."/>
      <w:lvlJc w:val="right"/>
      <w:pPr>
        <w:ind w:left="2160" w:hanging="180"/>
      </w:pPr>
    </w:lvl>
    <w:lvl w:ilvl="3" w:tplc="67406CCE" w:tentative="1">
      <w:start w:val="1"/>
      <w:numFmt w:val="decimal"/>
      <w:lvlText w:val="%4."/>
      <w:lvlJc w:val="left"/>
      <w:pPr>
        <w:ind w:left="2880" w:hanging="360"/>
      </w:pPr>
    </w:lvl>
    <w:lvl w:ilvl="4" w:tplc="B84CC492" w:tentative="1">
      <w:start w:val="1"/>
      <w:numFmt w:val="lowerLetter"/>
      <w:lvlText w:val="%5."/>
      <w:lvlJc w:val="left"/>
      <w:pPr>
        <w:ind w:left="3600" w:hanging="360"/>
      </w:pPr>
    </w:lvl>
    <w:lvl w:ilvl="5" w:tplc="9E0EEC22" w:tentative="1">
      <w:start w:val="1"/>
      <w:numFmt w:val="lowerRoman"/>
      <w:lvlText w:val="%6."/>
      <w:lvlJc w:val="right"/>
      <w:pPr>
        <w:ind w:left="4320" w:hanging="180"/>
      </w:pPr>
    </w:lvl>
    <w:lvl w:ilvl="6" w:tplc="74F8CA82" w:tentative="1">
      <w:start w:val="1"/>
      <w:numFmt w:val="decimal"/>
      <w:lvlText w:val="%7."/>
      <w:lvlJc w:val="left"/>
      <w:pPr>
        <w:ind w:left="5040" w:hanging="360"/>
      </w:pPr>
    </w:lvl>
    <w:lvl w:ilvl="7" w:tplc="8B18AAB4" w:tentative="1">
      <w:start w:val="1"/>
      <w:numFmt w:val="lowerLetter"/>
      <w:lvlText w:val="%8."/>
      <w:lvlJc w:val="left"/>
      <w:pPr>
        <w:ind w:left="5760" w:hanging="360"/>
      </w:pPr>
    </w:lvl>
    <w:lvl w:ilvl="8" w:tplc="35C8A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20066"/>
    <w:multiLevelType w:val="hybridMultilevel"/>
    <w:tmpl w:val="0F90504E"/>
    <w:lvl w:ilvl="0" w:tplc="2B3290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7EE2D8" w:tentative="1">
      <w:start w:val="1"/>
      <w:numFmt w:val="lowerLetter"/>
      <w:lvlText w:val="%2."/>
      <w:lvlJc w:val="left"/>
      <w:pPr>
        <w:ind w:left="1440" w:hanging="360"/>
      </w:pPr>
    </w:lvl>
    <w:lvl w:ilvl="2" w:tplc="FFE4656C" w:tentative="1">
      <w:start w:val="1"/>
      <w:numFmt w:val="lowerRoman"/>
      <w:lvlText w:val="%3."/>
      <w:lvlJc w:val="right"/>
      <w:pPr>
        <w:ind w:left="2160" w:hanging="180"/>
      </w:pPr>
    </w:lvl>
    <w:lvl w:ilvl="3" w:tplc="65B6840E" w:tentative="1">
      <w:start w:val="1"/>
      <w:numFmt w:val="decimal"/>
      <w:lvlText w:val="%4."/>
      <w:lvlJc w:val="left"/>
      <w:pPr>
        <w:ind w:left="2880" w:hanging="360"/>
      </w:pPr>
    </w:lvl>
    <w:lvl w:ilvl="4" w:tplc="93803E26" w:tentative="1">
      <w:start w:val="1"/>
      <w:numFmt w:val="lowerLetter"/>
      <w:lvlText w:val="%5."/>
      <w:lvlJc w:val="left"/>
      <w:pPr>
        <w:ind w:left="3600" w:hanging="360"/>
      </w:pPr>
    </w:lvl>
    <w:lvl w:ilvl="5" w:tplc="BEC63E5C" w:tentative="1">
      <w:start w:val="1"/>
      <w:numFmt w:val="lowerRoman"/>
      <w:lvlText w:val="%6."/>
      <w:lvlJc w:val="right"/>
      <w:pPr>
        <w:ind w:left="4320" w:hanging="180"/>
      </w:pPr>
    </w:lvl>
    <w:lvl w:ilvl="6" w:tplc="CA0CD38C" w:tentative="1">
      <w:start w:val="1"/>
      <w:numFmt w:val="decimal"/>
      <w:lvlText w:val="%7."/>
      <w:lvlJc w:val="left"/>
      <w:pPr>
        <w:ind w:left="5040" w:hanging="360"/>
      </w:pPr>
    </w:lvl>
    <w:lvl w:ilvl="7" w:tplc="30DE3C1A" w:tentative="1">
      <w:start w:val="1"/>
      <w:numFmt w:val="lowerLetter"/>
      <w:lvlText w:val="%8."/>
      <w:lvlJc w:val="left"/>
      <w:pPr>
        <w:ind w:left="5760" w:hanging="360"/>
      </w:pPr>
    </w:lvl>
    <w:lvl w:ilvl="8" w:tplc="0A8A92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98"/>
    <w:rsid w:val="0000212E"/>
    <w:rsid w:val="000354BB"/>
    <w:rsid w:val="002C5D1B"/>
    <w:rsid w:val="002E2A6C"/>
    <w:rsid w:val="00515D65"/>
    <w:rsid w:val="005C5C37"/>
    <w:rsid w:val="00677198"/>
    <w:rsid w:val="00696ACD"/>
    <w:rsid w:val="007C4716"/>
    <w:rsid w:val="007D23C3"/>
    <w:rsid w:val="008D3741"/>
    <w:rsid w:val="00AA2383"/>
    <w:rsid w:val="00AD71E7"/>
    <w:rsid w:val="00B25DD4"/>
    <w:rsid w:val="00B50054"/>
    <w:rsid w:val="00B55C5D"/>
    <w:rsid w:val="00BF13C0"/>
    <w:rsid w:val="00DD23C3"/>
    <w:rsid w:val="00EB1626"/>
    <w:rsid w:val="00EE0BCA"/>
    <w:rsid w:val="00E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6C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B3A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C12B3A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C12B3A"/>
    <w:pPr>
      <w:spacing w:after="0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C12B3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2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5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56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CA1A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1AEF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32FBB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332FBB"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rsid w:val="0090000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000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subscribecpuc.cpuc.ca.gov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ra.ca.go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ora@cpuc.ca.gov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public.advisor@cpuc.ca.gov" TargetMode="External"/><Relationship Id="rId10" Type="http://schemas.openxmlformats.org/officeDocument/2006/relationships/hyperlink" Target="http://www.sdge.com/regulatory/cpuc.s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uc.ca.gov/p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42BB1D3E8B04D96B6ADF4FED85B02" ma:contentTypeVersion="2" ma:contentTypeDescription="Create a new document." ma:contentTypeScope="" ma:versionID="9d2ea4352067168db59f3821c2c60f55">
  <xsd:schema xmlns:xsd="http://www.w3.org/2001/XMLSchema" xmlns:xs="http://www.w3.org/2001/XMLSchema" xmlns:p="http://schemas.microsoft.com/office/2006/metadata/properties" xmlns:ns2="ec52a836-0bb4-4d79-aa0d-20b4805e15e2" targetNamespace="http://schemas.microsoft.com/office/2006/metadata/properties" ma:root="true" ma:fieldsID="1a792970c0004d012511b75cdd7f11fb" ns2:_="">
    <xsd:import namespace="ec52a836-0bb4-4d79-aa0d-20b4805e15e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a836-0bb4-4d79-aa0d-20b4805e15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52a836-0bb4-4d79-aa0d-20b4805e15e2">LIMSO365-1108843622-47</_dlc_DocId>
    <_dlc_DocIdUrl xmlns="ec52a836-0bb4-4d79-aa0d-20b4805e15e2">
      <Url>https://edisonintl.sharepoint.com/teams/LIMS O365/CTWS/PRAA/_layouts/15/DocIdRedir.aspx?ID=LIMSO365-1108843622-47</Url>
      <Description>LIMSO365-1108843622-47</Description>
    </_dlc_DocIdUrl>
    <SharedWithUsers xmlns="ec52a836-0bb4-4d79-aa0d-20b4805e15e2">
      <UserInfo>
        <DisplayName>Janet Combs</DisplayName>
        <AccountId>149</AccountId>
        <AccountType/>
      </UserInfo>
      <UserInfo>
        <DisplayName>Russell Archer</DisplayName>
        <AccountId>146</AccountId>
        <AccountType/>
      </UserInfo>
      <UserInfo>
        <DisplayName>Desiree Wong</DisplayName>
        <AccountId>296</AccountId>
        <AccountType/>
      </UserInfo>
      <UserInfo>
        <DisplayName>Akbar 1 Jazayeri</DisplayName>
        <AccountId>2709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4E76-BB8E-4CEF-9BC2-C351A4B7A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720C0-06FC-4C5B-BF28-308FFFA2F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a836-0bb4-4d79-aa0d-20b4805e1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066F8-44BF-4F44-8638-86F8326AE7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CFD048-9462-46E1-A6CD-EA56C3C9398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52a836-0bb4-4d79-aa0d-20b4805e15e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3BA5692-D441-42C0-89AD-E988DA22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Southern California Edison</Company>
  <LinksUpToDate>false</LinksUpToDate>
  <CharactersWithSpaces>8056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Tobias</dc:creator>
  <cp:keywords/>
  <dc:description/>
  <cp:lastModifiedBy>Tilos, Mary Ann</cp:lastModifiedBy>
  <cp:revision>2</cp:revision>
  <cp:lastPrinted>2017-03-17T00:45:00Z</cp:lastPrinted>
  <dcterms:created xsi:type="dcterms:W3CDTF">2017-05-08T16:34:00Z</dcterms:created>
  <dcterms:modified xsi:type="dcterms:W3CDTF">2017-05-08T16:34:00Z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Classification">
    <vt:lpwstr>111;#Internal|d834bae3-81b3-4c89-8cc8-8934e89bc132</vt:lpwstr>
  </property>
  <property fmtid="{D5CDD505-2E9C-101B-9397-08002B2CF9AE}" pid="3" name="ContentTypeId">
    <vt:lpwstr>0x01010051842BB1D3E8B04D96B6ADF4FED85B02</vt:lpwstr>
  </property>
  <property fmtid="{D5CDD505-2E9C-101B-9397-08002B2CF9AE}" pid="4" name="ItemRetentionFormula">
    <vt:lpwstr/>
  </property>
  <property fmtid="{D5CDD505-2E9C-101B-9397-08002B2CF9AE}" pid="5" name="LegalGroup">
    <vt:lpwstr>125;#Customer and Tariff|a3f66442-53c4-47c4-b270-3394636d4e48</vt:lpwstr>
  </property>
  <property fmtid="{D5CDD505-2E9C-101B-9397-08002B2CF9AE}" pid="6" name="Physical File">
    <vt:lpwstr>No</vt:lpwstr>
  </property>
  <property fmtid="{D5CDD505-2E9C-101B-9397-08002B2CF9AE}" pid="7" name="TaxKeyword">
    <vt:lpwstr/>
  </property>
  <property fmtid="{D5CDD505-2E9C-101B-9397-08002B2CF9AE}" pid="8" name="_dlc_DocIdItemGuid">
    <vt:lpwstr>a085d133-93fc-4616-bf7a-d9daac5e027c</vt:lpwstr>
  </property>
  <property fmtid="{D5CDD505-2E9C-101B-9397-08002B2CF9AE}" pid="9" name="_dlc_policyId">
    <vt:lpwstr/>
  </property>
</Properties>
</file>