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941" w:rsidRDefault="00EB2941" w:rsidP="002436C1">
      <w:pPr>
        <w:pStyle w:val="TableFigureCaption"/>
      </w:pPr>
    </w:p>
    <w:p w:rsidR="002A6B02" w:rsidRDefault="002A6B02"/>
    <w:p w:rsidR="002A6B02" w:rsidRDefault="002A6B02" w:rsidP="00AB380F">
      <w:pPr>
        <w:tabs>
          <w:tab w:val="left" w:pos="8550"/>
        </w:tabs>
      </w:pPr>
    </w:p>
    <w:p w:rsidR="002A6B02" w:rsidRDefault="002A6B02"/>
    <w:p w:rsidR="002A6B02" w:rsidRDefault="002A6B02" w:rsidP="00AB380F"/>
    <w:p w:rsidR="002A6B02" w:rsidRDefault="002A6B02"/>
    <w:p w:rsidR="002A6B02" w:rsidRDefault="002A6B02"/>
    <w:p w:rsidR="002A6B02" w:rsidRDefault="007E27B1">
      <w:r>
        <w:rPr>
          <w:noProof/>
        </w:rPr>
        <mc:AlternateContent>
          <mc:Choice Requires="wps">
            <w:drawing>
              <wp:anchor distT="0" distB="0" distL="114300" distR="114300" simplePos="0" relativeHeight="251679744" behindDoc="0" locked="0" layoutInCell="1" allowOverlap="1">
                <wp:simplePos x="0" y="0"/>
                <wp:positionH relativeFrom="column">
                  <wp:posOffset>-4663440</wp:posOffset>
                </wp:positionH>
                <wp:positionV relativeFrom="paragraph">
                  <wp:posOffset>189230</wp:posOffset>
                </wp:positionV>
                <wp:extent cx="699770" cy="33864550"/>
                <wp:effectExtent l="13335" t="12700" r="10795" b="1270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770" cy="33864550"/>
                        </a:xfrm>
                        <a:prstGeom prst="straightConnector1">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367.2pt;margin-top:14.9pt;width:55.1pt;height:266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f0gIAAA4GAAAOAAAAZHJzL2Uyb0RvYy54bWysVN9vmzAQfp+0/8HinQKBAEFNqpSQ7WE/&#10;KrXTnl3bBGtgI9sJqab97zubhDadNE1TeUD22ff5u7vv7vrm2LXowJTmUiy96Cr0EBNEUi52S+/b&#10;w9bPPaQNFhS3UrCl98S0d7N6/+566As2k41sKVMIQIQuhn7pNcb0RRBo0rAO6yvZMwGHtVQdNrBV&#10;u4AqPAB61wazMEyDQSraK0mY1mDdjIfeyuHXNSPma11rZlC79ICbcX/l/o/2H6yucbFTuG84OdHA&#10;/8Giw1zAoxPUBhuM9or/AdVxoqSWtbkisgtkXXPCXAwQTRS+iua+wT1zsUBydD+lSb8dLPlyuFOI&#10;U6hd5iGBO6jRem+kexrNUpugodcF3CvFnbIhkqO47z9J8kMjIcsGix1ztx+eenCOrEdw4WI3uodn&#10;HofPksIdDA+4bB1r1aG65f1H62jBISPo6MrzNJWHHQ0iYEwXiyyDIhI4iuM8TeZzV8AAFxbIuvdK&#10;mw9Mdsgulp42CvNdY0opBEhBqvERfPikjaX57GCdhdzytnWKaAUagNIsC0NHS8uWU3tq7zlxsrJV&#10;6IBBVuY4orb7DsIbbVFov1FdYAcNjvYz3wnCkbhAV3IvqCPRMEyr09pg3o5rIN0KS4M5eY+RwO5o&#10;YOnskC4nvZ+LcFHlVZ74ySyt/CTcbPz1tkz8dBtl8028KctN9MvGFyVFwyllwoZ4boMo+TeZnRpy&#10;FPDUCFMyg0t0FzCQvWS63s7DLIlzP8vmsZ/EVejf5tvSX5dRmmbVbXlbvWJauej125CdUmlZyb1h&#10;6r6hA6LcimiWxwuYYpTD2IjzMA0X0Cm43cG8I0Z5SEnznZvG9YDVrMWY6juWHRPChEnc0UuZzP+i&#10;Elzgtm/wCDBdhOpP2C6VE9sxsWdN2N1U1VOunlMPKGe9uFa13Tn2+aOkT3fq3MIwdJzTaUDaqfZy&#10;D+uXY3z1GwAA//8DAFBLAwQUAAYACAAAACEAlrPWaOYAAAANAQAADwAAAGRycy9kb3ducmV2Lnht&#10;bEyPy07DMBBF90j8gzVIbFDqxA2hDXGqFolFVYHUtB/gxm4S1Y8odtrA1zOsYDmao3vPLVaT0eSq&#10;Bt85yyGZxUCUrZ3sbMPheHiPFkB8EFYK7azi8KU8rMr7u0Lk0t3sXl2r0BAMsT4XHNoQ+pxSX7fK&#10;CD9zvbL4O7vBiIDn0FA5iBuGG01ZHGfUiM5iQyt69daq+lKNhkN6Gc+7env4/tTbarP5eEr26yTh&#10;/PFhWr8CCWoKfzD86qM6lOh0cqOVnmgO0cs8TZHlwJa4AYkoYykDcuLwPM/YAmhZ0P8ryh8AAAD/&#10;/wMAUEsBAi0AFAAGAAgAAAAhALaDOJL+AAAA4QEAABMAAAAAAAAAAAAAAAAAAAAAAFtDb250ZW50&#10;X1R5cGVzXS54bWxQSwECLQAUAAYACAAAACEAOP0h/9YAAACUAQAACwAAAAAAAAAAAAAAAAAvAQAA&#10;X3JlbHMvLnJlbHNQSwECLQAUAAYACAAAACEAvhCAX9ICAAAOBgAADgAAAAAAAAAAAAAAAAAuAgAA&#10;ZHJzL2Uyb0RvYy54bWxQSwECLQAUAAYACAAAACEAlrPWaOYAAAANAQAADwAAAAAAAAAAAAAAAAAs&#10;BQAAZHJzL2Rvd25yZXYueG1sUEsFBgAAAAAEAAQA8wAAAD8GAAAAAA==&#10;" strokecolor="black [3213]" strokeweight="1pt">
                <v:shadow color="#3f3151 [1607]" opacity=".5" offset="1pt"/>
              </v:shape>
            </w:pict>
          </mc:Fallback>
        </mc:AlternateContent>
      </w:r>
    </w:p>
    <w:p w:rsidR="002A6B02" w:rsidRDefault="002A6B02"/>
    <w:p w:rsidR="002A6B02" w:rsidRDefault="002A6B02"/>
    <w:p w:rsidR="002A6B02" w:rsidRDefault="002A6B02"/>
    <w:p w:rsidR="002A6B02" w:rsidRDefault="002A6B02"/>
    <w:p w:rsidR="002A6B02" w:rsidRDefault="002A6B02"/>
    <w:p w:rsidR="00CF7B44" w:rsidRDefault="00CF7B44"/>
    <w:p w:rsidR="002A6B02" w:rsidRDefault="002A6B02"/>
    <w:p w:rsidR="008B39F4" w:rsidRPr="008B39F4" w:rsidRDefault="00322266" w:rsidP="00D53A09">
      <w:pPr>
        <w:pStyle w:val="ProposalTitle"/>
      </w:pPr>
      <w:r w:rsidRPr="00322266">
        <w:t xml:space="preserve">2013 </w:t>
      </w:r>
      <w:r w:rsidR="00F07149">
        <w:t>Load Impact Evaluation of</w:t>
      </w:r>
      <w:r w:rsidRPr="00322266">
        <w:t xml:space="preserve"> San Diego Gas &amp; Electric Company’s Opt-in Peak Time Rebate Program</w:t>
      </w:r>
    </w:p>
    <w:p w:rsidR="008B39F4" w:rsidRPr="008B39F4" w:rsidRDefault="008B39F4" w:rsidP="008B39F4">
      <w:pPr>
        <w:tabs>
          <w:tab w:val="left" w:pos="-1440"/>
          <w:tab w:val="left" w:pos="-720"/>
        </w:tabs>
        <w:spacing w:after="0" w:line="240" w:lineRule="atLeast"/>
        <w:ind w:right="-180"/>
        <w:jc w:val="right"/>
        <w:rPr>
          <w:rFonts w:ascii="Calibri" w:eastAsia="Times New Roman" w:hAnsi="Calibri" w:cs="Times New Roman"/>
          <w:b/>
          <w:bCs/>
          <w:sz w:val="23"/>
          <w:szCs w:val="23"/>
        </w:rPr>
      </w:pPr>
      <w:r w:rsidRPr="008B39F4">
        <w:rPr>
          <w:rFonts w:ascii="Calibri" w:eastAsia="Times New Roman" w:hAnsi="Calibri" w:cs="Times New Roman"/>
          <w:b/>
          <w:bCs/>
          <w:sz w:val="23"/>
          <w:szCs w:val="23"/>
        </w:rPr>
        <w:t>Submitted to</w:t>
      </w:r>
      <w:r w:rsidR="001E1F4C">
        <w:rPr>
          <w:rFonts w:ascii="Calibri" w:eastAsia="Times New Roman" w:hAnsi="Calibri" w:cs="Times New Roman"/>
          <w:b/>
          <w:bCs/>
          <w:sz w:val="23"/>
          <w:szCs w:val="23"/>
        </w:rPr>
        <w:t>:</w:t>
      </w:r>
      <w:r w:rsidRPr="008B39F4">
        <w:rPr>
          <w:rFonts w:ascii="Calibri" w:eastAsia="Times New Roman" w:hAnsi="Calibri" w:cs="Times New Roman"/>
          <w:b/>
          <w:bCs/>
          <w:sz w:val="23"/>
          <w:szCs w:val="23"/>
        </w:rPr>
        <w:t xml:space="preserve"> </w:t>
      </w:r>
      <w:r w:rsidR="00322266">
        <w:rPr>
          <w:rFonts w:ascii="Calibri" w:eastAsia="Times New Roman" w:hAnsi="Calibri" w:cs="Times New Roman"/>
          <w:b/>
          <w:bCs/>
          <w:sz w:val="23"/>
          <w:szCs w:val="23"/>
        </w:rPr>
        <w:t>San Diego Gas &amp; Electric Co.</w:t>
      </w:r>
    </w:p>
    <w:p w:rsidR="008B39F4" w:rsidRPr="008B39F4" w:rsidRDefault="008B39F4" w:rsidP="008B39F4">
      <w:pPr>
        <w:tabs>
          <w:tab w:val="left" w:pos="-1440"/>
          <w:tab w:val="left" w:pos="-720"/>
        </w:tabs>
        <w:spacing w:after="0" w:line="240" w:lineRule="atLeast"/>
        <w:ind w:right="-180"/>
        <w:jc w:val="right"/>
        <w:rPr>
          <w:rFonts w:ascii="Calibri" w:eastAsia="Times New Roman" w:hAnsi="Calibri" w:cs="Times New Roman"/>
          <w:b/>
          <w:bCs/>
          <w:sz w:val="23"/>
          <w:szCs w:val="23"/>
        </w:rPr>
      </w:pPr>
      <w:r w:rsidRPr="008B39F4">
        <w:rPr>
          <w:rFonts w:ascii="Calibri" w:eastAsia="Times New Roman" w:hAnsi="Calibri" w:cs="Times New Roman"/>
          <w:b/>
          <w:bCs/>
          <w:sz w:val="23"/>
          <w:szCs w:val="23"/>
        </w:rPr>
        <w:t>Submitted By</w:t>
      </w:r>
      <w:r w:rsidR="001E1F4C">
        <w:rPr>
          <w:rFonts w:ascii="Calibri" w:eastAsia="Times New Roman" w:hAnsi="Calibri" w:cs="Times New Roman"/>
          <w:b/>
          <w:bCs/>
          <w:sz w:val="23"/>
          <w:szCs w:val="23"/>
        </w:rPr>
        <w:t>:</w:t>
      </w:r>
      <w:r w:rsidRPr="008B39F4">
        <w:rPr>
          <w:rFonts w:ascii="Calibri" w:eastAsia="Times New Roman" w:hAnsi="Calibri" w:cs="Times New Roman"/>
          <w:b/>
          <w:bCs/>
          <w:sz w:val="23"/>
          <w:szCs w:val="23"/>
        </w:rPr>
        <w:t xml:space="preserve"> Nexant </w:t>
      </w:r>
    </w:p>
    <w:p w:rsidR="008B39F4" w:rsidRPr="008B39F4" w:rsidRDefault="00230E4D" w:rsidP="008B39F4">
      <w:pPr>
        <w:tabs>
          <w:tab w:val="left" w:pos="-1440"/>
          <w:tab w:val="left" w:pos="-720"/>
        </w:tabs>
        <w:spacing w:after="0" w:line="240" w:lineRule="atLeast"/>
        <w:ind w:right="-180"/>
        <w:jc w:val="right"/>
        <w:rPr>
          <w:rFonts w:ascii="Calibri" w:eastAsia="Times New Roman" w:hAnsi="Calibri" w:cs="Times New Roman"/>
          <w:color w:val="221E1F"/>
          <w:sz w:val="23"/>
          <w:szCs w:val="23"/>
        </w:rPr>
      </w:pPr>
      <w:r>
        <w:rPr>
          <w:rFonts w:ascii="Calibri" w:eastAsia="Times New Roman" w:hAnsi="Calibri" w:cs="Times New Roman"/>
          <w:color w:val="221E1F"/>
          <w:sz w:val="23"/>
          <w:szCs w:val="23"/>
        </w:rPr>
        <w:t>April 1</w:t>
      </w:r>
      <w:r w:rsidR="00F07149">
        <w:rPr>
          <w:rFonts w:ascii="Calibri" w:eastAsia="Times New Roman" w:hAnsi="Calibri" w:cs="Times New Roman"/>
          <w:color w:val="221E1F"/>
          <w:sz w:val="23"/>
          <w:szCs w:val="23"/>
        </w:rPr>
        <w:t>,</w:t>
      </w:r>
      <w:r w:rsidR="00322266">
        <w:rPr>
          <w:rFonts w:ascii="Calibri" w:eastAsia="Times New Roman" w:hAnsi="Calibri" w:cs="Times New Roman"/>
          <w:color w:val="221E1F"/>
          <w:sz w:val="23"/>
          <w:szCs w:val="23"/>
        </w:rPr>
        <w:t xml:space="preserve"> 2014</w:t>
      </w:r>
    </w:p>
    <w:p w:rsidR="008B39F4" w:rsidRPr="008B39F4" w:rsidRDefault="008B39F4" w:rsidP="008B39F4">
      <w:pPr>
        <w:tabs>
          <w:tab w:val="left" w:pos="-1440"/>
          <w:tab w:val="left" w:pos="-720"/>
        </w:tabs>
        <w:spacing w:after="0" w:line="240" w:lineRule="atLeast"/>
        <w:rPr>
          <w:rFonts w:ascii="Times New Roman" w:eastAsia="Times New Roman" w:hAnsi="Times New Roman" w:cs="Times New Roman"/>
          <w:sz w:val="24"/>
          <w:szCs w:val="20"/>
        </w:rPr>
      </w:pPr>
    </w:p>
    <w:p w:rsidR="008B39F4" w:rsidRPr="008B39F4" w:rsidRDefault="008B39F4" w:rsidP="008B39F4">
      <w:pPr>
        <w:tabs>
          <w:tab w:val="left" w:pos="-1440"/>
          <w:tab w:val="left" w:pos="-720"/>
        </w:tabs>
        <w:spacing w:after="0" w:line="240" w:lineRule="atLeast"/>
        <w:rPr>
          <w:rFonts w:ascii="Times New Roman" w:eastAsia="Times New Roman" w:hAnsi="Times New Roman" w:cs="Times New Roman"/>
          <w:sz w:val="24"/>
          <w:szCs w:val="20"/>
        </w:rPr>
      </w:pPr>
    </w:p>
    <w:p w:rsidR="008B39F4" w:rsidRPr="008B39F4" w:rsidRDefault="008B39F4" w:rsidP="008B39F4">
      <w:pPr>
        <w:tabs>
          <w:tab w:val="left" w:pos="-1440"/>
          <w:tab w:val="left" w:pos="-720"/>
        </w:tabs>
        <w:spacing w:after="0" w:line="240" w:lineRule="atLeast"/>
        <w:rPr>
          <w:rFonts w:ascii="Calibri" w:eastAsia="Times New Roman" w:hAnsi="Calibri" w:cs="Calibri"/>
          <w:b/>
          <w:sz w:val="28"/>
          <w:szCs w:val="28"/>
        </w:rPr>
      </w:pPr>
    </w:p>
    <w:p w:rsidR="008B39F4" w:rsidRPr="008B39F4" w:rsidRDefault="008B39F4" w:rsidP="008B39F4">
      <w:pPr>
        <w:tabs>
          <w:tab w:val="left" w:pos="-1440"/>
          <w:tab w:val="left" w:pos="-720"/>
        </w:tabs>
        <w:spacing w:after="0" w:line="240" w:lineRule="atLeast"/>
        <w:rPr>
          <w:rFonts w:ascii="Calibri" w:eastAsia="Times New Roman" w:hAnsi="Calibri" w:cs="Calibri"/>
          <w:b/>
          <w:sz w:val="28"/>
          <w:szCs w:val="28"/>
        </w:rPr>
      </w:pPr>
      <w:r w:rsidRPr="008B39F4">
        <w:rPr>
          <w:rFonts w:ascii="Calibri" w:eastAsia="Times New Roman" w:hAnsi="Calibri" w:cs="Calibri"/>
          <w:b/>
          <w:sz w:val="28"/>
          <w:szCs w:val="28"/>
        </w:rPr>
        <w:t>Prepared by:</w:t>
      </w:r>
    </w:p>
    <w:p w:rsidR="008B39F4" w:rsidRPr="008B39F4" w:rsidRDefault="00322266" w:rsidP="008B39F4">
      <w:pPr>
        <w:tabs>
          <w:tab w:val="left" w:pos="-1440"/>
          <w:tab w:val="left" w:pos="-720"/>
        </w:tabs>
        <w:spacing w:after="0" w:line="240" w:lineRule="atLeast"/>
        <w:rPr>
          <w:rFonts w:ascii="Times New Roman" w:eastAsia="Times New Roman" w:hAnsi="Times New Roman" w:cs="Times New Roman"/>
          <w:sz w:val="24"/>
          <w:szCs w:val="20"/>
        </w:rPr>
      </w:pPr>
      <w:r>
        <w:rPr>
          <w:rFonts w:ascii="Calibri" w:eastAsia="Times New Roman" w:hAnsi="Calibri" w:cs="Calibri"/>
          <w:b/>
          <w:sz w:val="23"/>
          <w:szCs w:val="23"/>
        </w:rPr>
        <w:t>Stephen George, Senior Vice President</w:t>
      </w:r>
    </w:p>
    <w:p w:rsidR="008B39F4" w:rsidRDefault="00322266" w:rsidP="008B39F4">
      <w:pPr>
        <w:tabs>
          <w:tab w:val="left" w:pos="-1440"/>
          <w:tab w:val="left" w:pos="-720"/>
        </w:tabs>
        <w:spacing w:after="0" w:line="240" w:lineRule="atLeast"/>
        <w:rPr>
          <w:rFonts w:ascii="Calibri" w:eastAsia="Times New Roman" w:hAnsi="Calibri" w:cs="Calibri"/>
          <w:b/>
          <w:sz w:val="23"/>
          <w:szCs w:val="23"/>
        </w:rPr>
      </w:pPr>
      <w:r>
        <w:rPr>
          <w:rFonts w:ascii="Calibri" w:eastAsia="Times New Roman" w:hAnsi="Calibri" w:cs="Calibri"/>
          <w:b/>
          <w:sz w:val="23"/>
          <w:szCs w:val="23"/>
        </w:rPr>
        <w:t>Josh Schellenberg, Managing Consultant</w:t>
      </w:r>
    </w:p>
    <w:p w:rsidR="00322266" w:rsidRDefault="00322266" w:rsidP="008B39F4">
      <w:pPr>
        <w:tabs>
          <w:tab w:val="left" w:pos="-1440"/>
          <w:tab w:val="left" w:pos="-720"/>
        </w:tabs>
        <w:spacing w:after="0" w:line="240" w:lineRule="atLeast"/>
        <w:rPr>
          <w:rFonts w:ascii="Calibri" w:eastAsia="Times New Roman" w:hAnsi="Calibri" w:cs="Calibri"/>
          <w:b/>
          <w:sz w:val="23"/>
          <w:szCs w:val="23"/>
        </w:rPr>
      </w:pPr>
      <w:r>
        <w:rPr>
          <w:rFonts w:ascii="Calibri" w:eastAsia="Times New Roman" w:hAnsi="Calibri" w:cs="Calibri"/>
          <w:b/>
          <w:sz w:val="23"/>
          <w:szCs w:val="23"/>
        </w:rPr>
        <w:t>Jeeheh Oh, Project Analyst</w:t>
      </w:r>
    </w:p>
    <w:p w:rsidR="001D7A4E" w:rsidRDefault="001D7A4E" w:rsidP="008B39F4">
      <w:pPr>
        <w:tabs>
          <w:tab w:val="left" w:pos="-1440"/>
          <w:tab w:val="left" w:pos="-720"/>
        </w:tabs>
        <w:spacing w:after="0" w:line="240" w:lineRule="atLeast"/>
        <w:rPr>
          <w:rFonts w:ascii="Calibri" w:eastAsia="Times New Roman" w:hAnsi="Calibri" w:cs="Calibri"/>
          <w:b/>
          <w:sz w:val="23"/>
          <w:szCs w:val="23"/>
        </w:rPr>
      </w:pPr>
      <w:r>
        <w:rPr>
          <w:rFonts w:ascii="Calibri" w:eastAsia="Times New Roman" w:hAnsi="Calibri" w:cs="Calibri"/>
          <w:b/>
          <w:sz w:val="23"/>
          <w:szCs w:val="23"/>
        </w:rPr>
        <w:t>Marshall Blundell, Analyst</w:t>
      </w:r>
    </w:p>
    <w:p w:rsidR="002A6B02" w:rsidRDefault="007E27B1" w:rsidP="00322266">
      <w:pPr>
        <w:tabs>
          <w:tab w:val="left" w:pos="-1440"/>
          <w:tab w:val="left" w:pos="-720"/>
        </w:tabs>
        <w:spacing w:after="0" w:line="240" w:lineRule="atLeast"/>
      </w:pPr>
      <w:r>
        <w:rPr>
          <w:rFonts w:ascii="Times New Roman" w:eastAsia="Times New Roman" w:hAnsi="Times New Roman" w:cs="Times New Roman"/>
          <w:noProof/>
          <w:sz w:val="24"/>
          <w:szCs w:val="20"/>
        </w:rPr>
        <mc:AlternateContent>
          <mc:Choice Requires="wps">
            <w:drawing>
              <wp:anchor distT="4294967295" distB="4294967295" distL="114300" distR="114300" simplePos="0" relativeHeight="251681792" behindDoc="0" locked="0" layoutInCell="1" allowOverlap="1">
                <wp:simplePos x="0" y="0"/>
                <wp:positionH relativeFrom="column">
                  <wp:posOffset>2480945</wp:posOffset>
                </wp:positionH>
                <wp:positionV relativeFrom="paragraph">
                  <wp:posOffset>3809999</wp:posOffset>
                </wp:positionV>
                <wp:extent cx="7772400" cy="0"/>
                <wp:effectExtent l="0" t="57150" r="0" b="5715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95.35pt;margin-top:300pt;width:612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c7qQIAAKIFAAAOAAAAZHJzL2Uyb0RvYy54bWysVFFv0zAQfkfiP1h+z5IUt2mipdNoGoQ0&#10;YGLwA9zEaSwcO9hu04H475ydtmu3FwTkIbJ957vv7vt81zf7TqAd04YrmeP4KsKIyUrVXG5y/PVL&#10;GcwxMpbKmgolWY4fmcE3i9evroc+YxPVKlEzjSCINNnQ57i1ts/C0FQt66i5Uj2TYGyU7qiFrd6E&#10;taYDRO9EOImiWTgoXfdaVcwYOC1GI174+E3DKvupaQyzSOQYsFn/1/6/dv9wcU2zjaZ9y6sDDPoX&#10;KDrKJSQ9hSqopWir+YtQHa+0MqqxV5XqQtU0vGK+Bqgmjp5V89DSnvlaoDmmP7XJ/L+w1cfdvUa8&#10;Bu5mGEnaAUefoWtUbgRD8dQ1aOhNBn4P/b12JZr+TlXfDJJq2YIbu9VaDS2jNcCKnX94ccFtDFxF&#10;6+GDqiE83Vrle7VvdOcCQhfQ3lPyeKKE7S2q4DBJkgmJgLnqaAtpdrzYa2PfMdUht8ixBtw+MN3d&#10;GeuA0Ozo4vJIVXIhPONCXhyA43gCaeGqszkAnsCfaZSu5qs5CchktgpIVBTBbbkkwayMk2nxplgu&#10;i/iXyxuTrOV1zaRLcxRTTP6MrIOsRxmc5GSU4LUL5yAZvVkvhUY7CmIu/efbDZYnt/AShm8C1PKs&#10;pBia+naSBuVsngSkJNMgTaJ5EMXp23QWkZQU5WVJd1yyfy8JDTlOp5OpZ+kM9LPaIv+9rI1mHbcw&#10;LgTvcjw/OdHMqW8la0+tpVyM67NWOPhPrQC6j0R7rTp5jjJfq/oRpKoVyAlEB4MNFq3SPzAaYEjk&#10;2HzfUs0wEu8lyD2NCXFTxW/INJnARp9b1ucWKisIlWOL0bhc2nESbXvNNy1kin1jpLqFJ9JwL2H3&#10;fEZUh4cFg8BXchhabtKc773X02hd/AYAAP//AwBQSwMEFAAGAAgAAAAhABDoxIHfAAAADAEAAA8A&#10;AABkcnMvZG93bnJldi54bWxMj91Kw0AQhe8F32EZwRuxu1WJGrMpUhCLCMVUe73NjkkwO5tmt0l8&#10;e6cg6OWc+Tg/2WJyrRiwD40nDfOZAoFUettQpeF983R5ByJEQ9a0nlDDNwZY5KcnmUmtH+kNhyJW&#10;gk0opEZDHWOXShnKGp0JM98h8e/T985EPvtK2t6MbO5aeaVUIp1piBNq0+GyxvKrODgNY7ketpvX&#10;Z7m+2K487Vf7ZfHxovX52fT4ACLiFP9gONbn6pBzp50/kA2i1XB9r24Z1ZAoxaOORDK/YWn3K8k8&#10;k/9H5D8AAAD//wMAUEsBAi0AFAAGAAgAAAAhALaDOJL+AAAA4QEAABMAAAAAAAAAAAAAAAAAAAAA&#10;AFtDb250ZW50X1R5cGVzXS54bWxQSwECLQAUAAYACAAAACEAOP0h/9YAAACUAQAACwAAAAAAAAAA&#10;AAAAAAAvAQAAX3JlbHMvLnJlbHNQSwECLQAUAAYACAAAACEA9L6nO6kCAACiBQAADgAAAAAAAAAA&#10;AAAAAAAuAgAAZHJzL2Uyb0RvYy54bWxQSwECLQAUAAYACAAAACEAEOjEgd8AAAAMAQAADwAAAAAA&#10;AAAAAAAAAAADBQAAZHJzL2Rvd25yZXYueG1sUEsFBgAAAAAEAAQA8wAAAA8GAAAAAA==&#10;" filled="f" stroked="f"/>
            </w:pict>
          </mc:Fallback>
        </mc:AlternateContent>
      </w:r>
    </w:p>
    <w:p w:rsidR="00AB380F" w:rsidRPr="00ED253C" w:rsidRDefault="00AB380F" w:rsidP="00AB380F">
      <w:pPr>
        <w:pStyle w:val="PreparedForCompany"/>
        <w:jc w:val="left"/>
      </w:pPr>
    </w:p>
    <w:p w:rsidR="002A6B02" w:rsidRDefault="002A6B02" w:rsidP="00AB380F">
      <w:pPr>
        <w:spacing w:before="240"/>
        <w:ind w:left="-990"/>
        <w:rPr>
          <w:b/>
          <w:color w:val="433B67"/>
          <w:sz w:val="28"/>
          <w:szCs w:val="28"/>
        </w:rPr>
        <w:sectPr w:rsidR="002A6B02" w:rsidSect="00A40B9A">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pgNumType w:fmt="lowerRoman" w:start="1"/>
          <w:cols w:space="720"/>
          <w:titlePg/>
          <w:docGrid w:linePitch="360"/>
        </w:sectPr>
      </w:pPr>
    </w:p>
    <w:bookmarkStart w:id="0" w:name="_Toc268073344" w:displacedByCustomXml="next"/>
    <w:sdt>
      <w:sdtPr>
        <w:rPr>
          <w:rFonts w:eastAsiaTheme="minorHAnsi" w:cstheme="minorBidi"/>
          <w:b w:val="0"/>
          <w:color w:val="auto"/>
          <w:sz w:val="22"/>
          <w:szCs w:val="22"/>
        </w:rPr>
        <w:id w:val="1780305"/>
        <w:docPartObj>
          <w:docPartGallery w:val="Table of Contents"/>
          <w:docPartUnique/>
        </w:docPartObj>
      </w:sdtPr>
      <w:sdtEndPr>
        <w:rPr>
          <w:rFonts w:eastAsiaTheme="minorEastAsia"/>
        </w:rPr>
      </w:sdtEndPr>
      <w:sdtContent>
        <w:p w:rsidR="002F58AD" w:rsidRDefault="002F58AD" w:rsidP="002F58AD">
          <w:pPr>
            <w:pStyle w:val="TableofContents"/>
            <w:ind w:left="0"/>
          </w:pPr>
          <w:r w:rsidRPr="002F58AD">
            <w:rPr>
              <w:rFonts w:ascii="Arial Black" w:hAnsi="Arial Black"/>
            </w:rPr>
            <w:t>Table of Contents</w:t>
          </w:r>
        </w:p>
        <w:p w:rsidR="0068064A" w:rsidRDefault="00DE4B63">
          <w:pPr>
            <w:pStyle w:val="TOC1"/>
            <w:rPr>
              <w:sz w:val="22"/>
            </w:rPr>
          </w:pPr>
          <w:r>
            <w:rPr>
              <w:rFonts w:ascii="Verdana" w:hAnsi="Verdana"/>
              <w:sz w:val="18"/>
            </w:rPr>
            <w:fldChar w:fldCharType="begin"/>
          </w:r>
          <w:r w:rsidR="002F58AD">
            <w:instrText xml:space="preserve"> TOC \o "1-3" \h \z \t "Appendix Heading 1,2,Appendix Heading 2,3,Appendix Heading 3,4" </w:instrText>
          </w:r>
          <w:r>
            <w:rPr>
              <w:rFonts w:ascii="Verdana" w:hAnsi="Verdana"/>
              <w:sz w:val="18"/>
            </w:rPr>
            <w:fldChar w:fldCharType="separate"/>
          </w:r>
          <w:hyperlink w:anchor="_Toc383447556" w:history="1">
            <w:r w:rsidR="0068064A" w:rsidRPr="00CB26A2">
              <w:rPr>
                <w:rStyle w:val="Hyperlink"/>
              </w:rPr>
              <w:t>1</w:t>
            </w:r>
            <w:r w:rsidR="0068064A">
              <w:rPr>
                <w:sz w:val="22"/>
              </w:rPr>
              <w:tab/>
            </w:r>
            <w:r w:rsidR="0068064A" w:rsidRPr="00CB26A2">
              <w:rPr>
                <w:rStyle w:val="Hyperlink"/>
              </w:rPr>
              <w:t>Executive Summary</w:t>
            </w:r>
            <w:r w:rsidR="0068064A">
              <w:rPr>
                <w:webHidden/>
              </w:rPr>
              <w:tab/>
            </w:r>
            <w:r w:rsidR="0068064A">
              <w:rPr>
                <w:webHidden/>
              </w:rPr>
              <w:fldChar w:fldCharType="begin"/>
            </w:r>
            <w:r w:rsidR="0068064A">
              <w:rPr>
                <w:webHidden/>
              </w:rPr>
              <w:instrText xml:space="preserve"> PAGEREF _Toc383447556 \h </w:instrText>
            </w:r>
            <w:r w:rsidR="0068064A">
              <w:rPr>
                <w:webHidden/>
              </w:rPr>
            </w:r>
            <w:r w:rsidR="0068064A">
              <w:rPr>
                <w:webHidden/>
              </w:rPr>
              <w:fldChar w:fldCharType="separate"/>
            </w:r>
            <w:r w:rsidR="00BA4580">
              <w:rPr>
                <w:webHidden/>
              </w:rPr>
              <w:t>1</w:t>
            </w:r>
            <w:r w:rsidR="0068064A">
              <w:rPr>
                <w:webHidden/>
              </w:rPr>
              <w:fldChar w:fldCharType="end"/>
            </w:r>
          </w:hyperlink>
        </w:p>
        <w:p w:rsidR="0068064A" w:rsidRDefault="0068064A">
          <w:pPr>
            <w:pStyle w:val="TOC2"/>
            <w:rPr>
              <w:sz w:val="22"/>
            </w:rPr>
          </w:pPr>
          <w:hyperlink w:anchor="_Toc383447557" w:history="1">
            <w:r w:rsidRPr="00CB26A2">
              <w:rPr>
                <w:rStyle w:val="Hyperlink"/>
              </w:rPr>
              <w:t>1.1</w:t>
            </w:r>
            <w:r>
              <w:rPr>
                <w:sz w:val="22"/>
              </w:rPr>
              <w:tab/>
            </w:r>
            <w:r w:rsidRPr="00CB26A2">
              <w:rPr>
                <w:rStyle w:val="Hyperlink"/>
              </w:rPr>
              <w:t>Ex Post Evaluation Summary</w:t>
            </w:r>
            <w:r>
              <w:rPr>
                <w:webHidden/>
              </w:rPr>
              <w:tab/>
            </w:r>
            <w:r>
              <w:rPr>
                <w:webHidden/>
              </w:rPr>
              <w:fldChar w:fldCharType="begin"/>
            </w:r>
            <w:r>
              <w:rPr>
                <w:webHidden/>
              </w:rPr>
              <w:instrText xml:space="preserve"> PAGEREF _Toc383447557 \h </w:instrText>
            </w:r>
            <w:r>
              <w:rPr>
                <w:webHidden/>
              </w:rPr>
            </w:r>
            <w:r>
              <w:rPr>
                <w:webHidden/>
              </w:rPr>
              <w:fldChar w:fldCharType="separate"/>
            </w:r>
            <w:r w:rsidR="00BA4580">
              <w:rPr>
                <w:webHidden/>
              </w:rPr>
              <w:t>1</w:t>
            </w:r>
            <w:r>
              <w:rPr>
                <w:webHidden/>
              </w:rPr>
              <w:fldChar w:fldCharType="end"/>
            </w:r>
          </w:hyperlink>
        </w:p>
        <w:p w:rsidR="0068064A" w:rsidRDefault="0068064A">
          <w:pPr>
            <w:pStyle w:val="TOC2"/>
            <w:rPr>
              <w:sz w:val="22"/>
            </w:rPr>
          </w:pPr>
          <w:hyperlink w:anchor="_Toc383447558" w:history="1">
            <w:r w:rsidRPr="00CB26A2">
              <w:rPr>
                <w:rStyle w:val="Hyperlink"/>
              </w:rPr>
              <w:t>1.2</w:t>
            </w:r>
            <w:r>
              <w:rPr>
                <w:sz w:val="22"/>
              </w:rPr>
              <w:tab/>
            </w:r>
            <w:r w:rsidRPr="00CB26A2">
              <w:rPr>
                <w:rStyle w:val="Hyperlink"/>
              </w:rPr>
              <w:t>Ex Ante Evaluation Summary</w:t>
            </w:r>
            <w:r>
              <w:rPr>
                <w:webHidden/>
              </w:rPr>
              <w:tab/>
            </w:r>
            <w:r>
              <w:rPr>
                <w:webHidden/>
              </w:rPr>
              <w:fldChar w:fldCharType="begin"/>
            </w:r>
            <w:r>
              <w:rPr>
                <w:webHidden/>
              </w:rPr>
              <w:instrText xml:space="preserve"> PAGEREF _Toc383447558 \h </w:instrText>
            </w:r>
            <w:r>
              <w:rPr>
                <w:webHidden/>
              </w:rPr>
            </w:r>
            <w:r>
              <w:rPr>
                <w:webHidden/>
              </w:rPr>
              <w:fldChar w:fldCharType="separate"/>
            </w:r>
            <w:r w:rsidR="00BA4580">
              <w:rPr>
                <w:webHidden/>
              </w:rPr>
              <w:t>2</w:t>
            </w:r>
            <w:r>
              <w:rPr>
                <w:webHidden/>
              </w:rPr>
              <w:fldChar w:fldCharType="end"/>
            </w:r>
          </w:hyperlink>
        </w:p>
        <w:p w:rsidR="0068064A" w:rsidRDefault="0068064A">
          <w:pPr>
            <w:pStyle w:val="TOC1"/>
            <w:rPr>
              <w:sz w:val="22"/>
            </w:rPr>
          </w:pPr>
          <w:hyperlink w:anchor="_Toc383447559" w:history="1">
            <w:r w:rsidRPr="00CB26A2">
              <w:rPr>
                <w:rStyle w:val="Hyperlink"/>
              </w:rPr>
              <w:t>2</w:t>
            </w:r>
            <w:r>
              <w:rPr>
                <w:sz w:val="22"/>
              </w:rPr>
              <w:tab/>
            </w:r>
            <w:r w:rsidRPr="00CB26A2">
              <w:rPr>
                <w:rStyle w:val="Hyperlink"/>
              </w:rPr>
              <w:t>Introduction</w:t>
            </w:r>
            <w:r>
              <w:rPr>
                <w:webHidden/>
              </w:rPr>
              <w:tab/>
            </w:r>
            <w:r>
              <w:rPr>
                <w:webHidden/>
              </w:rPr>
              <w:fldChar w:fldCharType="begin"/>
            </w:r>
            <w:r>
              <w:rPr>
                <w:webHidden/>
              </w:rPr>
              <w:instrText xml:space="preserve"> PAGEREF _Toc383447559 \h </w:instrText>
            </w:r>
            <w:r>
              <w:rPr>
                <w:webHidden/>
              </w:rPr>
            </w:r>
            <w:r>
              <w:rPr>
                <w:webHidden/>
              </w:rPr>
              <w:fldChar w:fldCharType="separate"/>
            </w:r>
            <w:r w:rsidR="00BA4580">
              <w:rPr>
                <w:webHidden/>
              </w:rPr>
              <w:t>3</w:t>
            </w:r>
            <w:r>
              <w:rPr>
                <w:webHidden/>
              </w:rPr>
              <w:fldChar w:fldCharType="end"/>
            </w:r>
          </w:hyperlink>
        </w:p>
        <w:p w:rsidR="0068064A" w:rsidRDefault="0068064A">
          <w:pPr>
            <w:pStyle w:val="TOC2"/>
            <w:rPr>
              <w:sz w:val="22"/>
            </w:rPr>
          </w:pPr>
          <w:hyperlink w:anchor="_Toc383447560" w:history="1">
            <w:r w:rsidRPr="00CB26A2">
              <w:rPr>
                <w:rStyle w:val="Hyperlink"/>
              </w:rPr>
              <w:t>2.1</w:t>
            </w:r>
            <w:r>
              <w:rPr>
                <w:sz w:val="22"/>
              </w:rPr>
              <w:tab/>
            </w:r>
            <w:r w:rsidRPr="00CB26A2">
              <w:rPr>
                <w:rStyle w:val="Hyperlink"/>
              </w:rPr>
              <w:t>Evaluation Objectives</w:t>
            </w:r>
            <w:r>
              <w:rPr>
                <w:webHidden/>
              </w:rPr>
              <w:tab/>
            </w:r>
            <w:r>
              <w:rPr>
                <w:webHidden/>
              </w:rPr>
              <w:fldChar w:fldCharType="begin"/>
            </w:r>
            <w:r>
              <w:rPr>
                <w:webHidden/>
              </w:rPr>
              <w:instrText xml:space="preserve"> PAGEREF _Toc383447560 \h </w:instrText>
            </w:r>
            <w:r>
              <w:rPr>
                <w:webHidden/>
              </w:rPr>
            </w:r>
            <w:r>
              <w:rPr>
                <w:webHidden/>
              </w:rPr>
              <w:fldChar w:fldCharType="separate"/>
            </w:r>
            <w:r w:rsidR="00BA4580">
              <w:rPr>
                <w:webHidden/>
              </w:rPr>
              <w:t>3</w:t>
            </w:r>
            <w:r>
              <w:rPr>
                <w:webHidden/>
              </w:rPr>
              <w:fldChar w:fldCharType="end"/>
            </w:r>
          </w:hyperlink>
        </w:p>
        <w:p w:rsidR="0068064A" w:rsidRDefault="0068064A">
          <w:pPr>
            <w:pStyle w:val="TOC2"/>
            <w:rPr>
              <w:sz w:val="22"/>
            </w:rPr>
          </w:pPr>
          <w:hyperlink w:anchor="_Toc383447561" w:history="1">
            <w:r w:rsidRPr="00CB26A2">
              <w:rPr>
                <w:rStyle w:val="Hyperlink"/>
              </w:rPr>
              <w:t>2.2</w:t>
            </w:r>
            <w:r>
              <w:rPr>
                <w:sz w:val="22"/>
              </w:rPr>
              <w:tab/>
            </w:r>
            <w:r w:rsidRPr="00CB26A2">
              <w:rPr>
                <w:rStyle w:val="Hyperlink"/>
              </w:rPr>
              <w:t>Overview of Methods</w:t>
            </w:r>
            <w:r>
              <w:rPr>
                <w:webHidden/>
              </w:rPr>
              <w:tab/>
            </w:r>
            <w:r>
              <w:rPr>
                <w:webHidden/>
              </w:rPr>
              <w:fldChar w:fldCharType="begin"/>
            </w:r>
            <w:r>
              <w:rPr>
                <w:webHidden/>
              </w:rPr>
              <w:instrText xml:space="preserve"> PAGEREF _Toc383447561 \h </w:instrText>
            </w:r>
            <w:r>
              <w:rPr>
                <w:webHidden/>
              </w:rPr>
            </w:r>
            <w:r>
              <w:rPr>
                <w:webHidden/>
              </w:rPr>
              <w:fldChar w:fldCharType="separate"/>
            </w:r>
            <w:r w:rsidR="00BA4580">
              <w:rPr>
                <w:webHidden/>
              </w:rPr>
              <w:t>3</w:t>
            </w:r>
            <w:r>
              <w:rPr>
                <w:webHidden/>
              </w:rPr>
              <w:fldChar w:fldCharType="end"/>
            </w:r>
          </w:hyperlink>
        </w:p>
        <w:p w:rsidR="0068064A" w:rsidRDefault="0068064A">
          <w:pPr>
            <w:pStyle w:val="TOC2"/>
            <w:rPr>
              <w:sz w:val="22"/>
            </w:rPr>
          </w:pPr>
          <w:hyperlink w:anchor="_Toc383447562" w:history="1">
            <w:r w:rsidRPr="00CB26A2">
              <w:rPr>
                <w:rStyle w:val="Hyperlink"/>
              </w:rPr>
              <w:t>2.3</w:t>
            </w:r>
            <w:r>
              <w:rPr>
                <w:sz w:val="22"/>
              </w:rPr>
              <w:tab/>
            </w:r>
            <w:r w:rsidRPr="00CB26A2">
              <w:rPr>
                <w:rStyle w:val="Hyperlink"/>
              </w:rPr>
              <w:t>Current Opt-in PTR Enrollment</w:t>
            </w:r>
            <w:r>
              <w:rPr>
                <w:webHidden/>
              </w:rPr>
              <w:tab/>
            </w:r>
            <w:r>
              <w:rPr>
                <w:webHidden/>
              </w:rPr>
              <w:fldChar w:fldCharType="begin"/>
            </w:r>
            <w:r>
              <w:rPr>
                <w:webHidden/>
              </w:rPr>
              <w:instrText xml:space="preserve"> PAGEREF _Toc383447562 \h </w:instrText>
            </w:r>
            <w:r>
              <w:rPr>
                <w:webHidden/>
              </w:rPr>
            </w:r>
            <w:r>
              <w:rPr>
                <w:webHidden/>
              </w:rPr>
              <w:fldChar w:fldCharType="separate"/>
            </w:r>
            <w:r w:rsidR="00BA4580">
              <w:rPr>
                <w:webHidden/>
              </w:rPr>
              <w:t>4</w:t>
            </w:r>
            <w:r>
              <w:rPr>
                <w:webHidden/>
              </w:rPr>
              <w:fldChar w:fldCharType="end"/>
            </w:r>
          </w:hyperlink>
        </w:p>
        <w:p w:rsidR="0068064A" w:rsidRDefault="0068064A">
          <w:pPr>
            <w:pStyle w:val="TOC2"/>
            <w:rPr>
              <w:sz w:val="22"/>
            </w:rPr>
          </w:pPr>
          <w:hyperlink w:anchor="_Toc383447563" w:history="1">
            <w:r w:rsidRPr="00CB26A2">
              <w:rPr>
                <w:rStyle w:val="Hyperlink"/>
              </w:rPr>
              <w:t>2.4</w:t>
            </w:r>
            <w:r>
              <w:rPr>
                <w:sz w:val="22"/>
              </w:rPr>
              <w:tab/>
            </w:r>
            <w:r w:rsidRPr="00CB26A2">
              <w:rPr>
                <w:rStyle w:val="Hyperlink"/>
              </w:rPr>
              <w:t>Overview of the SCTD Program</w:t>
            </w:r>
            <w:r>
              <w:rPr>
                <w:webHidden/>
              </w:rPr>
              <w:tab/>
            </w:r>
            <w:r>
              <w:rPr>
                <w:webHidden/>
              </w:rPr>
              <w:fldChar w:fldCharType="begin"/>
            </w:r>
            <w:r>
              <w:rPr>
                <w:webHidden/>
              </w:rPr>
              <w:instrText xml:space="preserve"> PAGEREF _Toc383447563 \h </w:instrText>
            </w:r>
            <w:r>
              <w:rPr>
                <w:webHidden/>
              </w:rPr>
            </w:r>
            <w:r>
              <w:rPr>
                <w:webHidden/>
              </w:rPr>
              <w:fldChar w:fldCharType="separate"/>
            </w:r>
            <w:r w:rsidR="00BA4580">
              <w:rPr>
                <w:webHidden/>
              </w:rPr>
              <w:t>4</w:t>
            </w:r>
            <w:r>
              <w:rPr>
                <w:webHidden/>
              </w:rPr>
              <w:fldChar w:fldCharType="end"/>
            </w:r>
          </w:hyperlink>
        </w:p>
        <w:p w:rsidR="0068064A" w:rsidRDefault="0068064A">
          <w:pPr>
            <w:pStyle w:val="TOC2"/>
            <w:rPr>
              <w:sz w:val="22"/>
            </w:rPr>
          </w:pPr>
          <w:hyperlink w:anchor="_Toc383447564" w:history="1">
            <w:r w:rsidRPr="00CB26A2">
              <w:rPr>
                <w:rStyle w:val="Hyperlink"/>
              </w:rPr>
              <w:t>2.5</w:t>
            </w:r>
            <w:r>
              <w:rPr>
                <w:sz w:val="22"/>
              </w:rPr>
              <w:tab/>
            </w:r>
            <w:r w:rsidRPr="00CB26A2">
              <w:rPr>
                <w:rStyle w:val="Hyperlink"/>
              </w:rPr>
              <w:t>Enrollment Forecast</w:t>
            </w:r>
            <w:r>
              <w:rPr>
                <w:webHidden/>
              </w:rPr>
              <w:tab/>
            </w:r>
            <w:r>
              <w:rPr>
                <w:webHidden/>
              </w:rPr>
              <w:fldChar w:fldCharType="begin"/>
            </w:r>
            <w:r>
              <w:rPr>
                <w:webHidden/>
              </w:rPr>
              <w:instrText xml:space="preserve"> PAGEREF _Toc383447564 \h </w:instrText>
            </w:r>
            <w:r>
              <w:rPr>
                <w:webHidden/>
              </w:rPr>
            </w:r>
            <w:r>
              <w:rPr>
                <w:webHidden/>
              </w:rPr>
              <w:fldChar w:fldCharType="separate"/>
            </w:r>
            <w:r w:rsidR="00BA4580">
              <w:rPr>
                <w:webHidden/>
              </w:rPr>
              <w:t>5</w:t>
            </w:r>
            <w:r>
              <w:rPr>
                <w:webHidden/>
              </w:rPr>
              <w:fldChar w:fldCharType="end"/>
            </w:r>
          </w:hyperlink>
        </w:p>
        <w:p w:rsidR="0068064A" w:rsidRDefault="0068064A">
          <w:pPr>
            <w:pStyle w:val="TOC2"/>
            <w:rPr>
              <w:sz w:val="22"/>
            </w:rPr>
          </w:pPr>
          <w:hyperlink w:anchor="_Toc383447565" w:history="1">
            <w:r w:rsidRPr="00CB26A2">
              <w:rPr>
                <w:rStyle w:val="Hyperlink"/>
              </w:rPr>
              <w:t>2.6</w:t>
            </w:r>
            <w:r>
              <w:rPr>
                <w:sz w:val="22"/>
              </w:rPr>
              <w:tab/>
            </w:r>
            <w:r w:rsidRPr="00CB26A2">
              <w:rPr>
                <w:rStyle w:val="Hyperlink"/>
              </w:rPr>
              <w:t>Report Organization</w:t>
            </w:r>
            <w:r>
              <w:rPr>
                <w:webHidden/>
              </w:rPr>
              <w:tab/>
            </w:r>
            <w:r>
              <w:rPr>
                <w:webHidden/>
              </w:rPr>
              <w:fldChar w:fldCharType="begin"/>
            </w:r>
            <w:r>
              <w:rPr>
                <w:webHidden/>
              </w:rPr>
              <w:instrText xml:space="preserve"> PAGEREF _Toc383447565 \h </w:instrText>
            </w:r>
            <w:r>
              <w:rPr>
                <w:webHidden/>
              </w:rPr>
            </w:r>
            <w:r>
              <w:rPr>
                <w:webHidden/>
              </w:rPr>
              <w:fldChar w:fldCharType="separate"/>
            </w:r>
            <w:r w:rsidR="00BA4580">
              <w:rPr>
                <w:webHidden/>
              </w:rPr>
              <w:t>5</w:t>
            </w:r>
            <w:r>
              <w:rPr>
                <w:webHidden/>
              </w:rPr>
              <w:fldChar w:fldCharType="end"/>
            </w:r>
          </w:hyperlink>
        </w:p>
        <w:p w:rsidR="0068064A" w:rsidRDefault="0068064A">
          <w:pPr>
            <w:pStyle w:val="TOC1"/>
            <w:rPr>
              <w:sz w:val="22"/>
            </w:rPr>
          </w:pPr>
          <w:hyperlink w:anchor="_Toc383447566" w:history="1">
            <w:r w:rsidRPr="00CB26A2">
              <w:rPr>
                <w:rStyle w:val="Hyperlink"/>
              </w:rPr>
              <w:t>3</w:t>
            </w:r>
            <w:r>
              <w:rPr>
                <w:sz w:val="22"/>
              </w:rPr>
              <w:tab/>
            </w:r>
            <w:r w:rsidRPr="00CB26A2">
              <w:rPr>
                <w:rStyle w:val="Hyperlink"/>
              </w:rPr>
              <w:t>Ex Post Methods and Validation</w:t>
            </w:r>
            <w:r>
              <w:rPr>
                <w:webHidden/>
              </w:rPr>
              <w:tab/>
            </w:r>
            <w:r>
              <w:rPr>
                <w:webHidden/>
              </w:rPr>
              <w:fldChar w:fldCharType="begin"/>
            </w:r>
            <w:r>
              <w:rPr>
                <w:webHidden/>
              </w:rPr>
              <w:instrText xml:space="preserve"> PAGEREF _Toc383447566 \h </w:instrText>
            </w:r>
            <w:r>
              <w:rPr>
                <w:webHidden/>
              </w:rPr>
            </w:r>
            <w:r>
              <w:rPr>
                <w:webHidden/>
              </w:rPr>
              <w:fldChar w:fldCharType="separate"/>
            </w:r>
            <w:r w:rsidR="00BA4580">
              <w:rPr>
                <w:webHidden/>
              </w:rPr>
              <w:t>6</w:t>
            </w:r>
            <w:r>
              <w:rPr>
                <w:webHidden/>
              </w:rPr>
              <w:fldChar w:fldCharType="end"/>
            </w:r>
          </w:hyperlink>
        </w:p>
        <w:p w:rsidR="0068064A" w:rsidRDefault="0068064A">
          <w:pPr>
            <w:pStyle w:val="TOC2"/>
            <w:rPr>
              <w:sz w:val="22"/>
            </w:rPr>
          </w:pPr>
          <w:hyperlink w:anchor="_Toc383447567" w:history="1">
            <w:r w:rsidRPr="00CB26A2">
              <w:rPr>
                <w:rStyle w:val="Hyperlink"/>
              </w:rPr>
              <w:t>3.1</w:t>
            </w:r>
            <w:r>
              <w:rPr>
                <w:sz w:val="22"/>
              </w:rPr>
              <w:tab/>
            </w:r>
            <w:r w:rsidRPr="00CB26A2">
              <w:rPr>
                <w:rStyle w:val="Hyperlink"/>
              </w:rPr>
              <w:t>Control Group Selection</w:t>
            </w:r>
            <w:r>
              <w:rPr>
                <w:webHidden/>
              </w:rPr>
              <w:tab/>
            </w:r>
            <w:r>
              <w:rPr>
                <w:webHidden/>
              </w:rPr>
              <w:fldChar w:fldCharType="begin"/>
            </w:r>
            <w:r>
              <w:rPr>
                <w:webHidden/>
              </w:rPr>
              <w:instrText xml:space="preserve"> PAGEREF _Toc383447567 \h </w:instrText>
            </w:r>
            <w:r>
              <w:rPr>
                <w:webHidden/>
              </w:rPr>
            </w:r>
            <w:r>
              <w:rPr>
                <w:webHidden/>
              </w:rPr>
              <w:fldChar w:fldCharType="separate"/>
            </w:r>
            <w:r w:rsidR="00BA4580">
              <w:rPr>
                <w:webHidden/>
              </w:rPr>
              <w:t>6</w:t>
            </w:r>
            <w:r>
              <w:rPr>
                <w:webHidden/>
              </w:rPr>
              <w:fldChar w:fldCharType="end"/>
            </w:r>
          </w:hyperlink>
        </w:p>
        <w:p w:rsidR="0068064A" w:rsidRDefault="0068064A">
          <w:pPr>
            <w:pStyle w:val="TOC2"/>
            <w:rPr>
              <w:sz w:val="22"/>
            </w:rPr>
          </w:pPr>
          <w:hyperlink w:anchor="_Toc383447568" w:history="1">
            <w:r w:rsidRPr="00CB26A2">
              <w:rPr>
                <w:rStyle w:val="Hyperlink"/>
              </w:rPr>
              <w:t>3.2</w:t>
            </w:r>
            <w:r>
              <w:rPr>
                <w:sz w:val="22"/>
              </w:rPr>
              <w:tab/>
            </w:r>
            <w:r w:rsidRPr="00CB26A2">
              <w:rPr>
                <w:rStyle w:val="Hyperlink"/>
              </w:rPr>
              <w:t>Estimating Ex Post Load Impacts</w:t>
            </w:r>
            <w:r>
              <w:rPr>
                <w:webHidden/>
              </w:rPr>
              <w:tab/>
            </w:r>
            <w:r>
              <w:rPr>
                <w:webHidden/>
              </w:rPr>
              <w:fldChar w:fldCharType="begin"/>
            </w:r>
            <w:r>
              <w:rPr>
                <w:webHidden/>
              </w:rPr>
              <w:instrText xml:space="preserve"> PAGEREF _Toc383447568 \h </w:instrText>
            </w:r>
            <w:r>
              <w:rPr>
                <w:webHidden/>
              </w:rPr>
            </w:r>
            <w:r>
              <w:rPr>
                <w:webHidden/>
              </w:rPr>
              <w:fldChar w:fldCharType="separate"/>
            </w:r>
            <w:r w:rsidR="00BA4580">
              <w:rPr>
                <w:webHidden/>
              </w:rPr>
              <w:t>8</w:t>
            </w:r>
            <w:r>
              <w:rPr>
                <w:webHidden/>
              </w:rPr>
              <w:fldChar w:fldCharType="end"/>
            </w:r>
          </w:hyperlink>
        </w:p>
        <w:p w:rsidR="0068064A" w:rsidRDefault="0068064A">
          <w:pPr>
            <w:pStyle w:val="TOC1"/>
            <w:rPr>
              <w:sz w:val="22"/>
            </w:rPr>
          </w:pPr>
          <w:hyperlink w:anchor="_Toc383447569" w:history="1">
            <w:r w:rsidRPr="00CB26A2">
              <w:rPr>
                <w:rStyle w:val="Hyperlink"/>
              </w:rPr>
              <w:t>4</w:t>
            </w:r>
            <w:r>
              <w:rPr>
                <w:sz w:val="22"/>
              </w:rPr>
              <w:tab/>
            </w:r>
            <w:r w:rsidRPr="00CB26A2">
              <w:rPr>
                <w:rStyle w:val="Hyperlink"/>
              </w:rPr>
              <w:t>Ex Post Results</w:t>
            </w:r>
            <w:r>
              <w:rPr>
                <w:webHidden/>
              </w:rPr>
              <w:tab/>
            </w:r>
            <w:r>
              <w:rPr>
                <w:webHidden/>
              </w:rPr>
              <w:fldChar w:fldCharType="begin"/>
            </w:r>
            <w:r>
              <w:rPr>
                <w:webHidden/>
              </w:rPr>
              <w:instrText xml:space="preserve"> PAGEREF _Toc383447569 \h </w:instrText>
            </w:r>
            <w:r>
              <w:rPr>
                <w:webHidden/>
              </w:rPr>
            </w:r>
            <w:r>
              <w:rPr>
                <w:webHidden/>
              </w:rPr>
              <w:fldChar w:fldCharType="separate"/>
            </w:r>
            <w:r w:rsidR="00BA4580">
              <w:rPr>
                <w:webHidden/>
              </w:rPr>
              <w:t>10</w:t>
            </w:r>
            <w:r>
              <w:rPr>
                <w:webHidden/>
              </w:rPr>
              <w:fldChar w:fldCharType="end"/>
            </w:r>
          </w:hyperlink>
        </w:p>
        <w:p w:rsidR="0068064A" w:rsidRDefault="0068064A">
          <w:pPr>
            <w:pStyle w:val="TOC2"/>
            <w:rPr>
              <w:sz w:val="22"/>
            </w:rPr>
          </w:pPr>
          <w:hyperlink w:anchor="_Toc383447570" w:history="1">
            <w:r w:rsidRPr="00CB26A2">
              <w:rPr>
                <w:rStyle w:val="Hyperlink"/>
                <w:rFonts w:eastAsia="Times New Roman" w:cs="Times New Roman"/>
              </w:rPr>
              <w:t>4.1</w:t>
            </w:r>
            <w:r>
              <w:rPr>
                <w:sz w:val="22"/>
              </w:rPr>
              <w:tab/>
            </w:r>
            <w:r w:rsidRPr="00CB26A2">
              <w:rPr>
                <w:rStyle w:val="Hyperlink"/>
              </w:rPr>
              <w:t>Assessment of Customer Fatigue</w:t>
            </w:r>
            <w:r>
              <w:rPr>
                <w:webHidden/>
              </w:rPr>
              <w:tab/>
            </w:r>
            <w:r>
              <w:rPr>
                <w:webHidden/>
              </w:rPr>
              <w:fldChar w:fldCharType="begin"/>
            </w:r>
            <w:r>
              <w:rPr>
                <w:webHidden/>
              </w:rPr>
              <w:instrText xml:space="preserve"> PAGEREF _Toc383447570 \h </w:instrText>
            </w:r>
            <w:r>
              <w:rPr>
                <w:webHidden/>
              </w:rPr>
            </w:r>
            <w:r>
              <w:rPr>
                <w:webHidden/>
              </w:rPr>
              <w:fldChar w:fldCharType="separate"/>
            </w:r>
            <w:r w:rsidR="00BA4580">
              <w:rPr>
                <w:webHidden/>
              </w:rPr>
              <w:t>13</w:t>
            </w:r>
            <w:r>
              <w:rPr>
                <w:webHidden/>
              </w:rPr>
              <w:fldChar w:fldCharType="end"/>
            </w:r>
          </w:hyperlink>
        </w:p>
        <w:p w:rsidR="0068064A" w:rsidRDefault="0068064A">
          <w:pPr>
            <w:pStyle w:val="TOC2"/>
            <w:rPr>
              <w:sz w:val="22"/>
            </w:rPr>
          </w:pPr>
          <w:hyperlink w:anchor="_Toc383447571" w:history="1">
            <w:r w:rsidRPr="00CB26A2">
              <w:rPr>
                <w:rStyle w:val="Hyperlink"/>
              </w:rPr>
              <w:t>4.2</w:t>
            </w:r>
            <w:r>
              <w:rPr>
                <w:sz w:val="22"/>
              </w:rPr>
              <w:tab/>
            </w:r>
            <w:r w:rsidRPr="00CB26A2">
              <w:rPr>
                <w:rStyle w:val="Hyperlink"/>
              </w:rPr>
              <w:t>Comparison of 2012 and 2013 Ex Post Load Impact Estimates</w:t>
            </w:r>
            <w:r>
              <w:rPr>
                <w:webHidden/>
              </w:rPr>
              <w:tab/>
            </w:r>
            <w:r>
              <w:rPr>
                <w:webHidden/>
              </w:rPr>
              <w:fldChar w:fldCharType="begin"/>
            </w:r>
            <w:r>
              <w:rPr>
                <w:webHidden/>
              </w:rPr>
              <w:instrText xml:space="preserve"> PAGEREF _Toc383447571 \h </w:instrText>
            </w:r>
            <w:r>
              <w:rPr>
                <w:webHidden/>
              </w:rPr>
            </w:r>
            <w:r>
              <w:rPr>
                <w:webHidden/>
              </w:rPr>
              <w:fldChar w:fldCharType="separate"/>
            </w:r>
            <w:r w:rsidR="00BA4580">
              <w:rPr>
                <w:webHidden/>
              </w:rPr>
              <w:t>14</w:t>
            </w:r>
            <w:r>
              <w:rPr>
                <w:webHidden/>
              </w:rPr>
              <w:fldChar w:fldCharType="end"/>
            </w:r>
          </w:hyperlink>
        </w:p>
        <w:p w:rsidR="0068064A" w:rsidRDefault="0068064A">
          <w:pPr>
            <w:pStyle w:val="TOC1"/>
            <w:rPr>
              <w:sz w:val="22"/>
            </w:rPr>
          </w:pPr>
          <w:hyperlink w:anchor="_Toc383447572" w:history="1">
            <w:r w:rsidRPr="00CB26A2">
              <w:rPr>
                <w:rStyle w:val="Hyperlink"/>
              </w:rPr>
              <w:t>5</w:t>
            </w:r>
            <w:r>
              <w:rPr>
                <w:sz w:val="22"/>
              </w:rPr>
              <w:tab/>
            </w:r>
            <w:r w:rsidRPr="00CB26A2">
              <w:rPr>
                <w:rStyle w:val="Hyperlink"/>
              </w:rPr>
              <w:t>Ex Ante Methodology and Results</w:t>
            </w:r>
            <w:r>
              <w:rPr>
                <w:webHidden/>
              </w:rPr>
              <w:tab/>
            </w:r>
            <w:r>
              <w:rPr>
                <w:webHidden/>
              </w:rPr>
              <w:fldChar w:fldCharType="begin"/>
            </w:r>
            <w:r>
              <w:rPr>
                <w:webHidden/>
              </w:rPr>
              <w:instrText xml:space="preserve"> PAGEREF _Toc383447572 \h </w:instrText>
            </w:r>
            <w:r>
              <w:rPr>
                <w:webHidden/>
              </w:rPr>
            </w:r>
            <w:r>
              <w:rPr>
                <w:webHidden/>
              </w:rPr>
              <w:fldChar w:fldCharType="separate"/>
            </w:r>
            <w:r w:rsidR="00BA4580">
              <w:rPr>
                <w:webHidden/>
              </w:rPr>
              <w:t>16</w:t>
            </w:r>
            <w:r>
              <w:rPr>
                <w:webHidden/>
              </w:rPr>
              <w:fldChar w:fldCharType="end"/>
            </w:r>
          </w:hyperlink>
        </w:p>
        <w:p w:rsidR="0068064A" w:rsidRDefault="0068064A">
          <w:pPr>
            <w:pStyle w:val="TOC2"/>
            <w:rPr>
              <w:sz w:val="22"/>
            </w:rPr>
          </w:pPr>
          <w:hyperlink w:anchor="_Toc383447573" w:history="1">
            <w:r w:rsidRPr="00CB26A2">
              <w:rPr>
                <w:rStyle w:val="Hyperlink"/>
              </w:rPr>
              <w:t>5.1</w:t>
            </w:r>
            <w:r>
              <w:rPr>
                <w:sz w:val="22"/>
              </w:rPr>
              <w:tab/>
            </w:r>
            <w:r w:rsidRPr="00CB26A2">
              <w:rPr>
                <w:rStyle w:val="Hyperlink"/>
              </w:rPr>
              <w:t>Opt-in PTR Methodology</w:t>
            </w:r>
            <w:r>
              <w:rPr>
                <w:webHidden/>
              </w:rPr>
              <w:tab/>
            </w:r>
            <w:r>
              <w:rPr>
                <w:webHidden/>
              </w:rPr>
              <w:fldChar w:fldCharType="begin"/>
            </w:r>
            <w:r>
              <w:rPr>
                <w:webHidden/>
              </w:rPr>
              <w:instrText xml:space="preserve"> PAGEREF _Toc383447573 \h </w:instrText>
            </w:r>
            <w:r>
              <w:rPr>
                <w:webHidden/>
              </w:rPr>
            </w:r>
            <w:r>
              <w:rPr>
                <w:webHidden/>
              </w:rPr>
              <w:fldChar w:fldCharType="separate"/>
            </w:r>
            <w:r w:rsidR="00BA4580">
              <w:rPr>
                <w:webHidden/>
              </w:rPr>
              <w:t>16</w:t>
            </w:r>
            <w:r>
              <w:rPr>
                <w:webHidden/>
              </w:rPr>
              <w:fldChar w:fldCharType="end"/>
            </w:r>
          </w:hyperlink>
        </w:p>
        <w:p w:rsidR="0068064A" w:rsidRDefault="0068064A">
          <w:pPr>
            <w:pStyle w:val="TOC2"/>
            <w:rPr>
              <w:sz w:val="22"/>
            </w:rPr>
          </w:pPr>
          <w:hyperlink w:anchor="_Toc383447574" w:history="1">
            <w:r w:rsidRPr="00CB26A2">
              <w:rPr>
                <w:rStyle w:val="Hyperlink"/>
              </w:rPr>
              <w:t>5.2</w:t>
            </w:r>
            <w:r>
              <w:rPr>
                <w:sz w:val="22"/>
              </w:rPr>
              <w:tab/>
            </w:r>
            <w:r w:rsidRPr="00CB26A2">
              <w:rPr>
                <w:rStyle w:val="Hyperlink"/>
              </w:rPr>
              <w:t>Estimating Ex Ante Load Impacts for Opt-in PTR</w:t>
            </w:r>
            <w:r>
              <w:rPr>
                <w:webHidden/>
              </w:rPr>
              <w:tab/>
            </w:r>
            <w:r>
              <w:rPr>
                <w:webHidden/>
              </w:rPr>
              <w:fldChar w:fldCharType="begin"/>
            </w:r>
            <w:r>
              <w:rPr>
                <w:webHidden/>
              </w:rPr>
              <w:instrText xml:space="preserve"> PAGEREF _Toc383447574 \h </w:instrText>
            </w:r>
            <w:r>
              <w:rPr>
                <w:webHidden/>
              </w:rPr>
            </w:r>
            <w:r>
              <w:rPr>
                <w:webHidden/>
              </w:rPr>
              <w:fldChar w:fldCharType="separate"/>
            </w:r>
            <w:r w:rsidR="00BA4580">
              <w:rPr>
                <w:webHidden/>
              </w:rPr>
              <w:t>17</w:t>
            </w:r>
            <w:r>
              <w:rPr>
                <w:webHidden/>
              </w:rPr>
              <w:fldChar w:fldCharType="end"/>
            </w:r>
          </w:hyperlink>
        </w:p>
        <w:p w:rsidR="0068064A" w:rsidRDefault="0068064A">
          <w:pPr>
            <w:pStyle w:val="TOC3"/>
            <w:rPr>
              <w:rFonts w:asciiTheme="minorHAnsi" w:hAnsiTheme="minorHAnsi" w:cstheme="minorBidi"/>
              <w:sz w:val="22"/>
              <w:szCs w:val="22"/>
            </w:rPr>
          </w:pPr>
          <w:hyperlink w:anchor="_Toc383447575" w:history="1">
            <w:r w:rsidRPr="00CB26A2">
              <w:rPr>
                <w:rStyle w:val="Hyperlink"/>
              </w:rPr>
              <w:t>5.2.1</w:t>
            </w:r>
            <w:r>
              <w:rPr>
                <w:rFonts w:asciiTheme="minorHAnsi" w:hAnsiTheme="minorHAnsi" w:cstheme="minorBidi"/>
                <w:sz w:val="22"/>
                <w:szCs w:val="22"/>
              </w:rPr>
              <w:tab/>
            </w:r>
            <w:r w:rsidRPr="00CB26A2">
              <w:rPr>
                <w:rStyle w:val="Hyperlink"/>
              </w:rPr>
              <w:t>Opt-in PTR-only Impact Model</w:t>
            </w:r>
            <w:r>
              <w:rPr>
                <w:webHidden/>
              </w:rPr>
              <w:tab/>
            </w:r>
            <w:r>
              <w:rPr>
                <w:webHidden/>
              </w:rPr>
              <w:fldChar w:fldCharType="begin"/>
            </w:r>
            <w:r>
              <w:rPr>
                <w:webHidden/>
              </w:rPr>
              <w:instrText xml:space="preserve"> PAGEREF _Toc383447575 \h </w:instrText>
            </w:r>
            <w:r>
              <w:rPr>
                <w:webHidden/>
              </w:rPr>
            </w:r>
            <w:r>
              <w:rPr>
                <w:webHidden/>
              </w:rPr>
              <w:fldChar w:fldCharType="separate"/>
            </w:r>
            <w:r w:rsidR="00BA4580">
              <w:rPr>
                <w:webHidden/>
              </w:rPr>
              <w:t>18</w:t>
            </w:r>
            <w:r>
              <w:rPr>
                <w:webHidden/>
              </w:rPr>
              <w:fldChar w:fldCharType="end"/>
            </w:r>
          </w:hyperlink>
        </w:p>
        <w:p w:rsidR="0068064A" w:rsidRDefault="0068064A">
          <w:pPr>
            <w:pStyle w:val="TOC3"/>
            <w:rPr>
              <w:rFonts w:asciiTheme="minorHAnsi" w:hAnsiTheme="minorHAnsi" w:cstheme="minorBidi"/>
              <w:sz w:val="22"/>
              <w:szCs w:val="22"/>
            </w:rPr>
          </w:pPr>
          <w:hyperlink w:anchor="_Toc383447576" w:history="1">
            <w:r w:rsidRPr="00CB26A2">
              <w:rPr>
                <w:rStyle w:val="Hyperlink"/>
              </w:rPr>
              <w:t>5.2.2</w:t>
            </w:r>
            <w:r>
              <w:rPr>
                <w:rFonts w:asciiTheme="minorHAnsi" w:hAnsiTheme="minorHAnsi" w:cstheme="minorBidi"/>
                <w:sz w:val="22"/>
                <w:szCs w:val="22"/>
              </w:rPr>
              <w:tab/>
            </w:r>
            <w:r w:rsidRPr="00CB26A2">
              <w:rPr>
                <w:rStyle w:val="Hyperlink"/>
              </w:rPr>
              <w:t>Dually-enrolled Impact Model</w:t>
            </w:r>
            <w:r>
              <w:rPr>
                <w:webHidden/>
              </w:rPr>
              <w:tab/>
            </w:r>
            <w:r>
              <w:rPr>
                <w:webHidden/>
              </w:rPr>
              <w:fldChar w:fldCharType="begin"/>
            </w:r>
            <w:r>
              <w:rPr>
                <w:webHidden/>
              </w:rPr>
              <w:instrText xml:space="preserve"> PAGEREF _Toc383447576 \h </w:instrText>
            </w:r>
            <w:r>
              <w:rPr>
                <w:webHidden/>
              </w:rPr>
            </w:r>
            <w:r>
              <w:rPr>
                <w:webHidden/>
              </w:rPr>
              <w:fldChar w:fldCharType="separate"/>
            </w:r>
            <w:r w:rsidR="00BA4580">
              <w:rPr>
                <w:webHidden/>
              </w:rPr>
              <w:t>19</w:t>
            </w:r>
            <w:r>
              <w:rPr>
                <w:webHidden/>
              </w:rPr>
              <w:fldChar w:fldCharType="end"/>
            </w:r>
          </w:hyperlink>
        </w:p>
        <w:p w:rsidR="0068064A" w:rsidRDefault="0068064A">
          <w:pPr>
            <w:pStyle w:val="TOC3"/>
            <w:rPr>
              <w:rFonts w:asciiTheme="minorHAnsi" w:hAnsiTheme="minorHAnsi" w:cstheme="minorBidi"/>
              <w:sz w:val="22"/>
              <w:szCs w:val="22"/>
            </w:rPr>
          </w:pPr>
          <w:hyperlink w:anchor="_Toc383447577" w:history="1">
            <w:r w:rsidRPr="00CB26A2">
              <w:rPr>
                <w:rStyle w:val="Hyperlink"/>
              </w:rPr>
              <w:t>5.2.3</w:t>
            </w:r>
            <w:r>
              <w:rPr>
                <w:rFonts w:asciiTheme="minorHAnsi" w:hAnsiTheme="minorHAnsi" w:cstheme="minorBidi"/>
                <w:sz w:val="22"/>
                <w:szCs w:val="22"/>
              </w:rPr>
              <w:tab/>
            </w:r>
            <w:r w:rsidRPr="00CB26A2">
              <w:rPr>
                <w:rStyle w:val="Hyperlink"/>
              </w:rPr>
              <w:t>Converting Average Impact to Hourly Impacts</w:t>
            </w:r>
            <w:r>
              <w:rPr>
                <w:webHidden/>
              </w:rPr>
              <w:tab/>
            </w:r>
            <w:r>
              <w:rPr>
                <w:webHidden/>
              </w:rPr>
              <w:fldChar w:fldCharType="begin"/>
            </w:r>
            <w:r>
              <w:rPr>
                <w:webHidden/>
              </w:rPr>
              <w:instrText xml:space="preserve"> PAGEREF _Toc383447577 \h </w:instrText>
            </w:r>
            <w:r>
              <w:rPr>
                <w:webHidden/>
              </w:rPr>
            </w:r>
            <w:r>
              <w:rPr>
                <w:webHidden/>
              </w:rPr>
              <w:fldChar w:fldCharType="separate"/>
            </w:r>
            <w:r w:rsidR="00BA4580">
              <w:rPr>
                <w:webHidden/>
              </w:rPr>
              <w:t>19</w:t>
            </w:r>
            <w:r>
              <w:rPr>
                <w:webHidden/>
              </w:rPr>
              <w:fldChar w:fldCharType="end"/>
            </w:r>
          </w:hyperlink>
        </w:p>
        <w:p w:rsidR="0068064A" w:rsidRDefault="0068064A">
          <w:pPr>
            <w:pStyle w:val="TOC2"/>
            <w:rPr>
              <w:sz w:val="22"/>
            </w:rPr>
          </w:pPr>
          <w:hyperlink w:anchor="_Toc383447578" w:history="1">
            <w:r w:rsidRPr="00CB26A2">
              <w:rPr>
                <w:rStyle w:val="Hyperlink"/>
              </w:rPr>
              <w:t>5.3</w:t>
            </w:r>
            <w:r>
              <w:rPr>
                <w:sz w:val="22"/>
              </w:rPr>
              <w:tab/>
            </w:r>
            <w:r w:rsidRPr="00CB26A2">
              <w:rPr>
                <w:rStyle w:val="Hyperlink"/>
              </w:rPr>
              <w:t>Estimating Ex Ante Load Impacts for SCTD</w:t>
            </w:r>
            <w:r>
              <w:rPr>
                <w:webHidden/>
              </w:rPr>
              <w:tab/>
            </w:r>
            <w:r>
              <w:rPr>
                <w:webHidden/>
              </w:rPr>
              <w:fldChar w:fldCharType="begin"/>
            </w:r>
            <w:r>
              <w:rPr>
                <w:webHidden/>
              </w:rPr>
              <w:instrText xml:space="preserve"> PAGEREF _Toc383447578 \h </w:instrText>
            </w:r>
            <w:r>
              <w:rPr>
                <w:webHidden/>
              </w:rPr>
            </w:r>
            <w:r>
              <w:rPr>
                <w:webHidden/>
              </w:rPr>
              <w:fldChar w:fldCharType="separate"/>
            </w:r>
            <w:r w:rsidR="00BA4580">
              <w:rPr>
                <w:webHidden/>
              </w:rPr>
              <w:t>20</w:t>
            </w:r>
            <w:r>
              <w:rPr>
                <w:webHidden/>
              </w:rPr>
              <w:fldChar w:fldCharType="end"/>
            </w:r>
          </w:hyperlink>
        </w:p>
        <w:p w:rsidR="0068064A" w:rsidRDefault="0068064A">
          <w:pPr>
            <w:pStyle w:val="TOC2"/>
            <w:rPr>
              <w:sz w:val="22"/>
            </w:rPr>
          </w:pPr>
          <w:hyperlink w:anchor="_Toc383447579" w:history="1">
            <w:r w:rsidRPr="00CB26A2">
              <w:rPr>
                <w:rStyle w:val="Hyperlink"/>
              </w:rPr>
              <w:t>5.4</w:t>
            </w:r>
            <w:r>
              <w:rPr>
                <w:sz w:val="22"/>
              </w:rPr>
              <w:tab/>
            </w:r>
            <w:r w:rsidRPr="00CB26A2">
              <w:rPr>
                <w:rStyle w:val="Hyperlink"/>
              </w:rPr>
              <w:t>Ex Ante Load Impact Results</w:t>
            </w:r>
            <w:r>
              <w:rPr>
                <w:webHidden/>
              </w:rPr>
              <w:tab/>
            </w:r>
            <w:r>
              <w:rPr>
                <w:webHidden/>
              </w:rPr>
              <w:fldChar w:fldCharType="begin"/>
            </w:r>
            <w:r>
              <w:rPr>
                <w:webHidden/>
              </w:rPr>
              <w:instrText xml:space="preserve"> PAGEREF _Toc383447579 \h </w:instrText>
            </w:r>
            <w:r>
              <w:rPr>
                <w:webHidden/>
              </w:rPr>
            </w:r>
            <w:r>
              <w:rPr>
                <w:webHidden/>
              </w:rPr>
              <w:fldChar w:fldCharType="separate"/>
            </w:r>
            <w:r w:rsidR="00BA4580">
              <w:rPr>
                <w:webHidden/>
              </w:rPr>
              <w:t>22</w:t>
            </w:r>
            <w:r>
              <w:rPr>
                <w:webHidden/>
              </w:rPr>
              <w:fldChar w:fldCharType="end"/>
            </w:r>
          </w:hyperlink>
        </w:p>
        <w:p w:rsidR="0068064A" w:rsidRDefault="0068064A">
          <w:pPr>
            <w:pStyle w:val="TOC3"/>
            <w:rPr>
              <w:rFonts w:asciiTheme="minorHAnsi" w:hAnsiTheme="minorHAnsi" w:cstheme="minorBidi"/>
              <w:sz w:val="22"/>
              <w:szCs w:val="22"/>
            </w:rPr>
          </w:pPr>
          <w:hyperlink w:anchor="_Toc383447580" w:history="1">
            <w:r w:rsidRPr="00CB26A2">
              <w:rPr>
                <w:rStyle w:val="Hyperlink"/>
                <w:rFonts w:eastAsia="Times New Roman"/>
              </w:rPr>
              <w:t>5.4.1</w:t>
            </w:r>
            <w:r>
              <w:rPr>
                <w:rFonts w:asciiTheme="minorHAnsi" w:hAnsiTheme="minorHAnsi" w:cstheme="minorBidi"/>
                <w:sz w:val="22"/>
                <w:szCs w:val="22"/>
              </w:rPr>
              <w:tab/>
            </w:r>
            <w:r w:rsidRPr="00CB26A2">
              <w:rPr>
                <w:rStyle w:val="Hyperlink"/>
                <w:rFonts w:eastAsia="Times New Roman"/>
              </w:rPr>
              <w:t>Comparison of 2012 and 2013 Ex Ante Estimates</w:t>
            </w:r>
            <w:r>
              <w:rPr>
                <w:webHidden/>
              </w:rPr>
              <w:tab/>
            </w:r>
            <w:r>
              <w:rPr>
                <w:webHidden/>
              </w:rPr>
              <w:fldChar w:fldCharType="begin"/>
            </w:r>
            <w:r>
              <w:rPr>
                <w:webHidden/>
              </w:rPr>
              <w:instrText xml:space="preserve"> PAGEREF _Toc383447580 \h </w:instrText>
            </w:r>
            <w:r>
              <w:rPr>
                <w:webHidden/>
              </w:rPr>
            </w:r>
            <w:r>
              <w:rPr>
                <w:webHidden/>
              </w:rPr>
              <w:fldChar w:fldCharType="separate"/>
            </w:r>
            <w:r w:rsidR="00BA4580">
              <w:rPr>
                <w:webHidden/>
              </w:rPr>
              <w:t>29</w:t>
            </w:r>
            <w:r>
              <w:rPr>
                <w:webHidden/>
              </w:rPr>
              <w:fldChar w:fldCharType="end"/>
            </w:r>
          </w:hyperlink>
        </w:p>
        <w:p w:rsidR="0068064A" w:rsidRDefault="0068064A">
          <w:pPr>
            <w:pStyle w:val="TOC3"/>
            <w:rPr>
              <w:rFonts w:asciiTheme="minorHAnsi" w:hAnsiTheme="minorHAnsi" w:cstheme="minorBidi"/>
              <w:sz w:val="22"/>
              <w:szCs w:val="22"/>
            </w:rPr>
          </w:pPr>
          <w:hyperlink w:anchor="_Toc383447581" w:history="1">
            <w:r w:rsidRPr="00CB26A2">
              <w:rPr>
                <w:rStyle w:val="Hyperlink"/>
                <w:rFonts w:eastAsia="Times New Roman"/>
              </w:rPr>
              <w:t>5.4.2</w:t>
            </w:r>
            <w:r>
              <w:rPr>
                <w:rFonts w:asciiTheme="minorHAnsi" w:hAnsiTheme="minorHAnsi" w:cstheme="minorBidi"/>
                <w:sz w:val="22"/>
                <w:szCs w:val="22"/>
              </w:rPr>
              <w:tab/>
            </w:r>
            <w:r w:rsidRPr="00CB26A2">
              <w:rPr>
                <w:rStyle w:val="Hyperlink"/>
                <w:rFonts w:eastAsia="Times New Roman"/>
              </w:rPr>
              <w:t>Relationship Between Ex Post and Ex Ante Estimates</w:t>
            </w:r>
            <w:r>
              <w:rPr>
                <w:webHidden/>
              </w:rPr>
              <w:tab/>
            </w:r>
            <w:r>
              <w:rPr>
                <w:webHidden/>
              </w:rPr>
              <w:fldChar w:fldCharType="begin"/>
            </w:r>
            <w:r>
              <w:rPr>
                <w:webHidden/>
              </w:rPr>
              <w:instrText xml:space="preserve"> PAGEREF _Toc383447581 \h </w:instrText>
            </w:r>
            <w:r>
              <w:rPr>
                <w:webHidden/>
              </w:rPr>
            </w:r>
            <w:r>
              <w:rPr>
                <w:webHidden/>
              </w:rPr>
              <w:fldChar w:fldCharType="separate"/>
            </w:r>
            <w:r w:rsidR="00BA4580">
              <w:rPr>
                <w:webHidden/>
              </w:rPr>
              <w:t>30</w:t>
            </w:r>
            <w:r>
              <w:rPr>
                <w:webHidden/>
              </w:rPr>
              <w:fldChar w:fldCharType="end"/>
            </w:r>
          </w:hyperlink>
        </w:p>
        <w:p w:rsidR="0068064A" w:rsidRDefault="0068064A">
          <w:pPr>
            <w:pStyle w:val="TOC1"/>
            <w:rPr>
              <w:sz w:val="22"/>
            </w:rPr>
          </w:pPr>
          <w:hyperlink w:anchor="_Toc383447582" w:history="1">
            <w:r w:rsidRPr="00CB26A2">
              <w:rPr>
                <w:rStyle w:val="Hyperlink"/>
              </w:rPr>
              <w:t>6</w:t>
            </w:r>
            <w:r>
              <w:rPr>
                <w:sz w:val="22"/>
              </w:rPr>
              <w:tab/>
            </w:r>
            <w:r w:rsidRPr="00CB26A2">
              <w:rPr>
                <w:rStyle w:val="Hyperlink"/>
              </w:rPr>
              <w:t>Recommendations</w:t>
            </w:r>
            <w:r>
              <w:rPr>
                <w:webHidden/>
              </w:rPr>
              <w:tab/>
            </w:r>
            <w:r>
              <w:rPr>
                <w:webHidden/>
              </w:rPr>
              <w:fldChar w:fldCharType="begin"/>
            </w:r>
            <w:r>
              <w:rPr>
                <w:webHidden/>
              </w:rPr>
              <w:instrText xml:space="preserve"> PAGEREF _Toc383447582 \h </w:instrText>
            </w:r>
            <w:r>
              <w:rPr>
                <w:webHidden/>
              </w:rPr>
            </w:r>
            <w:r>
              <w:rPr>
                <w:webHidden/>
              </w:rPr>
              <w:fldChar w:fldCharType="separate"/>
            </w:r>
            <w:r w:rsidR="00BA4580">
              <w:rPr>
                <w:webHidden/>
              </w:rPr>
              <w:t>32</w:t>
            </w:r>
            <w:r>
              <w:rPr>
                <w:webHidden/>
              </w:rPr>
              <w:fldChar w:fldCharType="end"/>
            </w:r>
          </w:hyperlink>
        </w:p>
        <w:p w:rsidR="002F58AD" w:rsidRDefault="00DE4B63" w:rsidP="00675B29">
          <w:pPr>
            <w:tabs>
              <w:tab w:val="right" w:leader="dot" w:pos="8460"/>
            </w:tabs>
          </w:pPr>
          <w:r>
            <w:rPr>
              <w:rFonts w:ascii="Arial" w:hAnsi="Arial" w:cs="Arial"/>
              <w:noProof/>
              <w:sz w:val="24"/>
              <w:szCs w:val="24"/>
            </w:rPr>
            <w:fldChar w:fldCharType="end"/>
          </w:r>
        </w:p>
      </w:sdtContent>
    </w:sdt>
    <w:p w:rsidR="00DB35F9" w:rsidRPr="00ED253C" w:rsidRDefault="00DB35F9" w:rsidP="002F58AD">
      <w:pPr>
        <w:pStyle w:val="PreparedForCompany"/>
        <w:jc w:val="left"/>
      </w:pPr>
    </w:p>
    <w:p w:rsidR="002F58AD" w:rsidRDefault="002F58AD" w:rsidP="002F58AD">
      <w:pPr>
        <w:tabs>
          <w:tab w:val="left" w:pos="2292"/>
        </w:tabs>
        <w:spacing w:before="240"/>
        <w:rPr>
          <w:b/>
          <w:color w:val="433B67"/>
          <w:sz w:val="28"/>
          <w:szCs w:val="28"/>
        </w:rPr>
      </w:pPr>
    </w:p>
    <w:p w:rsidR="002F58AD" w:rsidRDefault="002F58AD" w:rsidP="002F58AD">
      <w:pPr>
        <w:rPr>
          <w:sz w:val="28"/>
          <w:szCs w:val="28"/>
        </w:rPr>
      </w:pPr>
    </w:p>
    <w:p w:rsidR="00DB35F9" w:rsidRPr="002F58AD" w:rsidRDefault="00DB35F9" w:rsidP="002F58AD">
      <w:pPr>
        <w:rPr>
          <w:sz w:val="28"/>
          <w:szCs w:val="28"/>
        </w:rPr>
        <w:sectPr w:rsidR="00DB35F9" w:rsidRPr="002F58AD" w:rsidSect="00B50663">
          <w:headerReference w:type="default" r:id="rId15"/>
          <w:footerReference w:type="default" r:id="rId16"/>
          <w:headerReference w:type="first" r:id="rId17"/>
          <w:footerReference w:type="first" r:id="rId18"/>
          <w:pgSz w:w="12240" w:h="15840"/>
          <w:pgMar w:top="1440" w:right="1800" w:bottom="1440" w:left="1800" w:header="720" w:footer="720" w:gutter="0"/>
          <w:pgNumType w:fmt="lowerRoman" w:start="1"/>
          <w:cols w:space="720"/>
          <w:docGrid w:linePitch="360"/>
        </w:sectPr>
      </w:pPr>
    </w:p>
    <w:p w:rsidR="00C52F29" w:rsidRDefault="00C52F29" w:rsidP="00C52F29">
      <w:pPr>
        <w:pStyle w:val="Heading1"/>
      </w:pPr>
      <w:bookmarkStart w:id="1" w:name="_Toc375842584"/>
      <w:bookmarkStart w:id="2" w:name="_Toc383447556"/>
      <w:bookmarkEnd w:id="0"/>
      <w:r>
        <w:lastRenderedPageBreak/>
        <w:t>Executive Summary</w:t>
      </w:r>
      <w:bookmarkEnd w:id="2"/>
    </w:p>
    <w:p w:rsidR="00F07149" w:rsidRDefault="00F07149" w:rsidP="00F07149">
      <w:pPr>
        <w:pStyle w:val="BodyParagraph"/>
      </w:pPr>
      <w:r>
        <w:t>This report provides the 2013 ex post and ex ante load impact estimates for</w:t>
      </w:r>
      <w:r w:rsidRPr="00DC54F4">
        <w:t xml:space="preserve"> </w:t>
      </w:r>
      <w:r>
        <w:t xml:space="preserve">San Diego Gas &amp; Electric Company’s (SDG&amp;E) Opt-in Peak Time Rebate (PTR) Program, which is called the Reduce Your </w:t>
      </w:r>
      <w:proofErr w:type="spellStart"/>
      <w:r>
        <w:t>Use</w:t>
      </w:r>
      <w:r>
        <w:rPr>
          <w:vertAlign w:val="superscript"/>
        </w:rPr>
        <w:t>SM</w:t>
      </w:r>
      <w:proofErr w:type="spellEnd"/>
      <w:r>
        <w:t xml:space="preserve"> (RYU) program.  PTR offers bill credits for reduced energy use be</w:t>
      </w:r>
      <w:r w:rsidR="009E3944">
        <w:t xml:space="preserve">tween 11 AM and </w:t>
      </w:r>
      <w:r>
        <w:t xml:space="preserve">6 PM on PTR event days.  The scope of this evaluation </w:t>
      </w:r>
      <w:r w:rsidRPr="00DB1AFD">
        <w:t xml:space="preserve">is </w:t>
      </w:r>
      <w:r w:rsidRPr="003526E3">
        <w:t>restricted</w:t>
      </w:r>
      <w:r w:rsidRPr="00DB1AFD">
        <w:t xml:space="preserve"> to r</w:t>
      </w:r>
      <w:r>
        <w:t xml:space="preserve">esidential opt-in PTR customers, which includes </w:t>
      </w:r>
      <w:r w:rsidRPr="00AC709F">
        <w:t xml:space="preserve">customers that will receive </w:t>
      </w:r>
      <w:r>
        <w:t xml:space="preserve">a </w:t>
      </w:r>
      <w:r w:rsidRPr="00AC709F">
        <w:t>programmable communicating thermostat (PCT) through the Small Customer Technology Deployment (SCTD) program</w:t>
      </w:r>
      <w:r>
        <w:t>.</w:t>
      </w:r>
    </w:p>
    <w:p w:rsidR="00F07149" w:rsidRDefault="00F07149" w:rsidP="00F07149">
      <w:pPr>
        <w:pStyle w:val="Heading2"/>
      </w:pPr>
      <w:bookmarkStart w:id="3" w:name="_Toc383447557"/>
      <w:r>
        <w:t>Ex Post Evaluation Summary</w:t>
      </w:r>
      <w:bookmarkEnd w:id="3"/>
    </w:p>
    <w:p w:rsidR="008E6DAC" w:rsidRDefault="00F07149" w:rsidP="008E6DAC">
      <w:pPr>
        <w:pStyle w:val="BodyParagraph"/>
      </w:pPr>
      <w:r>
        <w:t xml:space="preserve">There was only one PTR event in 2013, which occurred on August 31, 2013.  At the time, there were </w:t>
      </w:r>
      <w:r w:rsidRPr="00A45169">
        <w:t>57,586</w:t>
      </w:r>
      <w:r>
        <w:t xml:space="preserve"> customers enrolled in PTR event notification.</w:t>
      </w:r>
      <w:r w:rsidR="008E6DAC">
        <w:t xml:space="preserve">  Table 1</w:t>
      </w:r>
      <w:r w:rsidR="008E6DAC" w:rsidRPr="007A5853">
        <w:t xml:space="preserve">-1 shows the average and aggregate </w:t>
      </w:r>
      <w:r w:rsidR="008E6DAC">
        <w:t>opt-in PTR</w:t>
      </w:r>
      <w:r w:rsidR="008E6DAC" w:rsidRPr="007A5853">
        <w:t xml:space="preserve"> ex post load impact estimates </w:t>
      </w:r>
      <w:r w:rsidR="008E6DAC">
        <w:t xml:space="preserve">for various customer categories of interest to this evaluation.  </w:t>
      </w:r>
      <w:r w:rsidR="008E6DAC" w:rsidRPr="00AE3855">
        <w:t>As measured by the percent load reduction, customers who enrolled in 2013 and customers who receive</w:t>
      </w:r>
      <w:r w:rsidR="008E6DAC">
        <w:t>d</w:t>
      </w:r>
      <w:r w:rsidR="008E6DAC" w:rsidRPr="00AE3855">
        <w:t xml:space="preserve"> both notification</w:t>
      </w:r>
      <w:r w:rsidR="008E6DAC">
        <w:t xml:space="preserve"> types</w:t>
      </w:r>
      <w:r w:rsidR="008E6DAC" w:rsidRPr="00AE3855">
        <w:t xml:space="preserve"> had the highest performance, with 14</w:t>
      </w:r>
      <w:r w:rsidR="008E6DAC">
        <w:t>.3</w:t>
      </w:r>
      <w:r w:rsidR="008E6DAC" w:rsidRPr="00AE3855">
        <w:t>% and 1</w:t>
      </w:r>
      <w:r w:rsidR="008E6DAC">
        <w:t>0.7</w:t>
      </w:r>
      <w:r w:rsidR="008E6DAC" w:rsidRPr="00AE3855">
        <w:t xml:space="preserve">% load reductions, respectively.  </w:t>
      </w:r>
      <w:r w:rsidR="008E6DAC">
        <w:t>There is substantial overlap between these two categories because customers who enrolled in 2013 were more likely to opt</w:t>
      </w:r>
      <w:r w:rsidR="009E3944">
        <w:t xml:space="preserve"> </w:t>
      </w:r>
      <w:r w:rsidR="008E6DAC">
        <w:t xml:space="preserve">in to event notification through both text message and email.  </w:t>
      </w:r>
      <w:r w:rsidR="008E6DAC" w:rsidRPr="00AE3855">
        <w:t xml:space="preserve">In terms of aggregate load reduction, customers with high usage (top half of electricity users) delivered </w:t>
      </w:r>
      <w:r w:rsidR="008E6DAC">
        <w:t>more than 90% of the</w:t>
      </w:r>
      <w:r w:rsidR="008E6DAC" w:rsidRPr="00AE3855">
        <w:t xml:space="preserve"> aggregate </w:t>
      </w:r>
      <w:r w:rsidR="008E6DAC">
        <w:t xml:space="preserve">load </w:t>
      </w:r>
      <w:r w:rsidR="008E6DAC" w:rsidRPr="00AE3855">
        <w:t>reduction (</w:t>
      </w:r>
      <w:r w:rsidR="008E6DAC">
        <w:t>6.2</w:t>
      </w:r>
      <w:r w:rsidR="008E6DAC" w:rsidRPr="00AE3855">
        <w:t xml:space="preserve"> MW, relative to </w:t>
      </w:r>
      <w:r w:rsidR="008E6DAC">
        <w:t>0.4</w:t>
      </w:r>
      <w:r w:rsidR="008E6DAC" w:rsidRPr="00AE3855">
        <w:t xml:space="preserve"> MW </w:t>
      </w:r>
      <w:r w:rsidR="008E6DAC" w:rsidRPr="00AE132E">
        <w:t xml:space="preserve">among a similar number of low usage customers).  </w:t>
      </w:r>
      <w:r w:rsidR="008E6DAC">
        <w:t>Opt-in PTR</w:t>
      </w:r>
      <w:r w:rsidR="008E6DAC" w:rsidRPr="00AE132E">
        <w:t xml:space="preserve"> customers in the inland climate zone deliver</w:t>
      </w:r>
      <w:r w:rsidR="008E6DAC">
        <w:t>ed a 7.</w:t>
      </w:r>
      <w:r w:rsidR="008E6DAC" w:rsidRPr="00AE132E">
        <w:t xml:space="preserve">8% </w:t>
      </w:r>
      <w:r w:rsidR="008E6DAC" w:rsidRPr="004B130D">
        <w:t xml:space="preserve">load reduction. </w:t>
      </w:r>
      <w:r w:rsidR="008E6DAC">
        <w:t xml:space="preserve"> In addition to </w:t>
      </w:r>
      <w:r w:rsidR="008E6DAC" w:rsidRPr="004B130D">
        <w:t>deliver</w:t>
      </w:r>
      <w:r w:rsidR="008E6DAC">
        <w:t>ing</w:t>
      </w:r>
      <w:r w:rsidR="008E6DAC" w:rsidRPr="004B130D">
        <w:t xml:space="preserve"> </w:t>
      </w:r>
      <w:r w:rsidR="008E6DAC">
        <w:t>a larger percent reduction than</w:t>
      </w:r>
      <w:r w:rsidR="008E6DAC" w:rsidRPr="004B130D">
        <w:t xml:space="preserve"> coastal customers (who deliver </w:t>
      </w:r>
      <w:r w:rsidR="008E6DAC">
        <w:t xml:space="preserve">a </w:t>
      </w:r>
      <w:r w:rsidR="008E6DAC" w:rsidRPr="004B130D">
        <w:t>6</w:t>
      </w:r>
      <w:r w:rsidR="008E6DAC">
        <w:t>.4</w:t>
      </w:r>
      <w:r w:rsidR="008E6DAC" w:rsidRPr="004B130D">
        <w:t>% load reduction</w:t>
      </w:r>
      <w:r w:rsidR="008E6DAC">
        <w:t>), reference loads we</w:t>
      </w:r>
      <w:r w:rsidR="008E6DAC" w:rsidRPr="004B130D">
        <w:t>re higher in the hotter inland areas</w:t>
      </w:r>
      <w:r w:rsidR="008E6DAC">
        <w:t>, which led to a</w:t>
      </w:r>
      <w:r w:rsidR="004F59DD">
        <w:t>n</w:t>
      </w:r>
      <w:r w:rsidR="009E3944">
        <w:t xml:space="preserve"> average</w:t>
      </w:r>
      <w:r w:rsidR="008E6DAC">
        <w:t xml:space="preserve"> load impact that was double that of coastal customers</w:t>
      </w:r>
      <w:r w:rsidR="008E6DAC" w:rsidRPr="004B130D">
        <w:t>.</w:t>
      </w:r>
    </w:p>
    <w:p w:rsidR="008E6DAC" w:rsidRDefault="008E6DAC" w:rsidP="008E6DAC">
      <w:pPr>
        <w:pStyle w:val="TableFigureCaption"/>
      </w:pPr>
      <w:r>
        <w:t>Table 1</w:t>
      </w:r>
      <w:r w:rsidRPr="00AE132E">
        <w:t xml:space="preserve">-1: </w:t>
      </w:r>
      <w:r>
        <w:t>Opt-in PTR</w:t>
      </w:r>
      <w:r w:rsidRPr="00AE132E">
        <w:t xml:space="preserve"> Ex Post Load Impact Estimates by Customer Category</w:t>
      </w:r>
      <w:r w:rsidR="00871517">
        <w:br/>
        <w:t>August 31, 2013 (11 AM</w:t>
      </w:r>
      <w:r w:rsidR="009E3944">
        <w:t xml:space="preserve"> to </w:t>
      </w:r>
      <w:r>
        <w:t>6 PM)</w:t>
      </w:r>
    </w:p>
    <w:tbl>
      <w:tblPr>
        <w:tblW w:w="10323" w:type="dxa"/>
        <w:jc w:val="center"/>
        <w:tblInd w:w="468" w:type="dxa"/>
        <w:tblLook w:val="04A0" w:firstRow="1" w:lastRow="0" w:firstColumn="1" w:lastColumn="0" w:noHBand="0" w:noVBand="1"/>
      </w:tblPr>
      <w:tblGrid>
        <w:gridCol w:w="2005"/>
        <w:gridCol w:w="1180"/>
        <w:gridCol w:w="1160"/>
        <w:gridCol w:w="1118"/>
        <w:gridCol w:w="1170"/>
        <w:gridCol w:w="1170"/>
        <w:gridCol w:w="1170"/>
        <w:gridCol w:w="1350"/>
      </w:tblGrid>
      <w:tr w:rsidR="008E6DAC" w:rsidRPr="007E62F2" w:rsidTr="003A4F88">
        <w:trPr>
          <w:trHeight w:val="720"/>
          <w:jc w:val="center"/>
        </w:trPr>
        <w:tc>
          <w:tcPr>
            <w:tcW w:w="2005" w:type="dxa"/>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8E6DAC" w:rsidRPr="007E62F2" w:rsidRDefault="008E6DAC" w:rsidP="003A4F8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Customer Category</w:t>
            </w:r>
          </w:p>
        </w:tc>
        <w:tc>
          <w:tcPr>
            <w:tcW w:w="1180" w:type="dxa"/>
            <w:tcBorders>
              <w:top w:val="single" w:sz="4" w:space="0" w:color="000000"/>
              <w:left w:val="nil"/>
              <w:bottom w:val="single" w:sz="4" w:space="0" w:color="000000"/>
              <w:right w:val="single" w:sz="4" w:space="0" w:color="FFFFFF"/>
            </w:tcBorders>
            <w:shd w:val="clear" w:color="000000" w:fill="1F497D"/>
            <w:vAlign w:val="center"/>
            <w:hideMark/>
          </w:tcPr>
          <w:p w:rsidR="008E6DAC" w:rsidRPr="007E62F2" w:rsidRDefault="008E6DAC" w:rsidP="003A4F8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Number of Customers</w:t>
            </w:r>
          </w:p>
        </w:tc>
        <w:tc>
          <w:tcPr>
            <w:tcW w:w="1160" w:type="dxa"/>
            <w:tcBorders>
              <w:top w:val="single" w:sz="4" w:space="0" w:color="000000"/>
              <w:left w:val="nil"/>
              <w:bottom w:val="single" w:sz="4" w:space="0" w:color="000000"/>
              <w:right w:val="single" w:sz="4" w:space="0" w:color="FFFFFF"/>
            </w:tcBorders>
            <w:shd w:val="clear" w:color="000000" w:fill="1F497D"/>
            <w:vAlign w:val="center"/>
            <w:hideMark/>
          </w:tcPr>
          <w:p w:rsidR="008E6DAC" w:rsidRPr="007E62F2" w:rsidRDefault="008E6DAC" w:rsidP="003A4F8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Avg. Reference Load (kW)</w:t>
            </w:r>
          </w:p>
        </w:tc>
        <w:tc>
          <w:tcPr>
            <w:tcW w:w="1118" w:type="dxa"/>
            <w:tcBorders>
              <w:top w:val="single" w:sz="4" w:space="0" w:color="000000"/>
              <w:left w:val="nil"/>
              <w:bottom w:val="single" w:sz="4" w:space="0" w:color="000000"/>
              <w:right w:val="single" w:sz="4" w:space="0" w:color="FFFFFF"/>
            </w:tcBorders>
            <w:shd w:val="clear" w:color="000000" w:fill="1F497D"/>
            <w:vAlign w:val="center"/>
            <w:hideMark/>
          </w:tcPr>
          <w:p w:rsidR="008E6DAC" w:rsidRPr="007E62F2" w:rsidRDefault="008E6DAC" w:rsidP="003A4F8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Avg. Load with DR (kW)</w:t>
            </w:r>
          </w:p>
        </w:tc>
        <w:tc>
          <w:tcPr>
            <w:tcW w:w="1170" w:type="dxa"/>
            <w:tcBorders>
              <w:top w:val="single" w:sz="4" w:space="0" w:color="000000"/>
              <w:left w:val="nil"/>
              <w:bottom w:val="single" w:sz="4" w:space="0" w:color="000000"/>
              <w:right w:val="single" w:sz="4" w:space="0" w:color="FFFFFF"/>
            </w:tcBorders>
            <w:shd w:val="clear" w:color="000000" w:fill="1F497D"/>
            <w:vAlign w:val="center"/>
            <w:hideMark/>
          </w:tcPr>
          <w:p w:rsidR="008E6DAC" w:rsidRPr="007E62F2" w:rsidRDefault="008E6DAC" w:rsidP="003A4F8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Avg. Load Reduction (kW)</w:t>
            </w:r>
          </w:p>
        </w:tc>
        <w:tc>
          <w:tcPr>
            <w:tcW w:w="1170" w:type="dxa"/>
            <w:tcBorders>
              <w:top w:val="single" w:sz="4" w:space="0" w:color="000000"/>
              <w:left w:val="nil"/>
              <w:bottom w:val="single" w:sz="4" w:space="0" w:color="000000"/>
              <w:right w:val="single" w:sz="4" w:space="0" w:color="FFFFFF"/>
            </w:tcBorders>
            <w:shd w:val="clear" w:color="000000" w:fill="1F497D"/>
            <w:vAlign w:val="center"/>
            <w:hideMark/>
          </w:tcPr>
          <w:p w:rsidR="008E6DAC" w:rsidRPr="007E62F2" w:rsidRDefault="008E6DAC" w:rsidP="003A4F8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 Load Reduction</w:t>
            </w:r>
          </w:p>
        </w:tc>
        <w:tc>
          <w:tcPr>
            <w:tcW w:w="1170" w:type="dxa"/>
            <w:tcBorders>
              <w:top w:val="single" w:sz="4" w:space="0" w:color="000000"/>
              <w:left w:val="nil"/>
              <w:bottom w:val="single" w:sz="4" w:space="0" w:color="000000"/>
              <w:right w:val="single" w:sz="4" w:space="0" w:color="FFFFFF"/>
            </w:tcBorders>
            <w:shd w:val="clear" w:color="000000" w:fill="1F497D"/>
            <w:vAlign w:val="center"/>
            <w:hideMark/>
          </w:tcPr>
          <w:p w:rsidR="008E6DAC" w:rsidRPr="007E62F2" w:rsidRDefault="008E6DAC" w:rsidP="003A4F8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Aggregate Load Reduction (MW)</w:t>
            </w:r>
          </w:p>
        </w:tc>
        <w:tc>
          <w:tcPr>
            <w:tcW w:w="1350" w:type="dxa"/>
            <w:tcBorders>
              <w:top w:val="single" w:sz="4" w:space="0" w:color="000000"/>
              <w:left w:val="nil"/>
              <w:bottom w:val="single" w:sz="4" w:space="0" w:color="000000"/>
              <w:right w:val="single" w:sz="4" w:space="0" w:color="000000"/>
            </w:tcBorders>
            <w:shd w:val="clear" w:color="000000" w:fill="1F497D"/>
            <w:vAlign w:val="center"/>
            <w:hideMark/>
          </w:tcPr>
          <w:p w:rsidR="008E6DAC" w:rsidRPr="007E62F2" w:rsidRDefault="008E6DAC" w:rsidP="003D5620">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Heat Buildup (Avg. °F,</w:t>
            </w:r>
            <w:r w:rsidR="003D5620">
              <w:rPr>
                <w:rFonts w:ascii="Arial" w:eastAsia="Times New Roman" w:hAnsi="Arial" w:cs="Arial"/>
                <w:b/>
                <w:bCs/>
                <w:color w:val="FFFFFF"/>
                <w:sz w:val="18"/>
                <w:szCs w:val="18"/>
                <w:lang w:eastAsia="ko-KR"/>
              </w:rPr>
              <w:br/>
            </w:r>
            <w:r w:rsidRPr="007E62F2">
              <w:rPr>
                <w:rFonts w:ascii="Arial" w:eastAsia="Times New Roman" w:hAnsi="Arial" w:cs="Arial"/>
                <w:b/>
                <w:bCs/>
                <w:color w:val="FFFFFF"/>
                <w:sz w:val="18"/>
                <w:szCs w:val="18"/>
                <w:lang w:eastAsia="ko-KR"/>
              </w:rPr>
              <w:t>12 AM to 5 PM)</w:t>
            </w:r>
          </w:p>
        </w:tc>
      </w:tr>
      <w:tr w:rsidR="008E6DAC" w:rsidRPr="007E62F2" w:rsidTr="003A4F88">
        <w:trPr>
          <w:trHeight w:val="300"/>
          <w:jc w:val="center"/>
        </w:trPr>
        <w:tc>
          <w:tcPr>
            <w:tcW w:w="2005" w:type="dxa"/>
            <w:tcBorders>
              <w:top w:val="nil"/>
              <w:left w:val="single" w:sz="4" w:space="0" w:color="auto"/>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Climate Zone - Coastal</w:t>
            </w:r>
          </w:p>
        </w:tc>
        <w:tc>
          <w:tcPr>
            <w:tcW w:w="118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32,128</w:t>
            </w:r>
          </w:p>
        </w:tc>
        <w:tc>
          <w:tcPr>
            <w:tcW w:w="116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1.31</w:t>
            </w:r>
          </w:p>
        </w:tc>
        <w:tc>
          <w:tcPr>
            <w:tcW w:w="1118"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1.23</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0.08</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6.4%</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2.7</w:t>
            </w:r>
          </w:p>
        </w:tc>
        <w:tc>
          <w:tcPr>
            <w:tcW w:w="1350" w:type="dxa"/>
            <w:tcBorders>
              <w:top w:val="nil"/>
              <w:left w:val="nil"/>
              <w:bottom w:val="nil"/>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79.5</w:t>
            </w:r>
          </w:p>
        </w:tc>
      </w:tr>
      <w:tr w:rsidR="008E6DAC" w:rsidRPr="007E62F2" w:rsidTr="003A4F8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Climate Zone - Inland</w:t>
            </w:r>
          </w:p>
        </w:tc>
        <w:tc>
          <w:tcPr>
            <w:tcW w:w="118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25,458</w:t>
            </w:r>
          </w:p>
        </w:tc>
        <w:tc>
          <w:tcPr>
            <w:tcW w:w="116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2.00</w:t>
            </w:r>
          </w:p>
        </w:tc>
        <w:tc>
          <w:tcPr>
            <w:tcW w:w="1118"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1.85</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0.16</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7.8%</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4.0</w:t>
            </w:r>
          </w:p>
        </w:tc>
        <w:tc>
          <w:tcPr>
            <w:tcW w:w="1350" w:type="dxa"/>
            <w:tcBorders>
              <w:top w:val="nil"/>
              <w:left w:val="nil"/>
              <w:bottom w:val="single" w:sz="4" w:space="0" w:color="auto"/>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80.6</w:t>
            </w:r>
          </w:p>
        </w:tc>
      </w:tr>
      <w:tr w:rsidR="008E6DAC" w:rsidRPr="007E62F2" w:rsidTr="003A4F88">
        <w:trPr>
          <w:trHeight w:val="300"/>
          <w:jc w:val="center"/>
        </w:trPr>
        <w:tc>
          <w:tcPr>
            <w:tcW w:w="2005" w:type="dxa"/>
            <w:tcBorders>
              <w:top w:val="nil"/>
              <w:left w:val="single" w:sz="4" w:space="0" w:color="auto"/>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Usage Level - High</w:t>
            </w:r>
          </w:p>
        </w:tc>
        <w:tc>
          <w:tcPr>
            <w:tcW w:w="118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28,571</w:t>
            </w:r>
          </w:p>
        </w:tc>
        <w:tc>
          <w:tcPr>
            <w:tcW w:w="116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2.60</w:t>
            </w:r>
          </w:p>
        </w:tc>
        <w:tc>
          <w:tcPr>
            <w:tcW w:w="1118"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2.38</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0.22</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8.4%</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6.2</w:t>
            </w:r>
          </w:p>
        </w:tc>
        <w:tc>
          <w:tcPr>
            <w:tcW w:w="1350" w:type="dxa"/>
            <w:tcBorders>
              <w:top w:val="nil"/>
              <w:left w:val="nil"/>
              <w:bottom w:val="nil"/>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80.2</w:t>
            </w:r>
          </w:p>
        </w:tc>
      </w:tr>
      <w:tr w:rsidR="008E6DAC" w:rsidRPr="007E62F2" w:rsidTr="003A4F8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Usage Level - Low</w:t>
            </w:r>
          </w:p>
        </w:tc>
        <w:tc>
          <w:tcPr>
            <w:tcW w:w="118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29,015</w:t>
            </w:r>
          </w:p>
        </w:tc>
        <w:tc>
          <w:tcPr>
            <w:tcW w:w="116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0.65</w:t>
            </w:r>
          </w:p>
        </w:tc>
        <w:tc>
          <w:tcPr>
            <w:tcW w:w="1118"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0.63</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0.01</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2.1%</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0.4</w:t>
            </w:r>
          </w:p>
        </w:tc>
        <w:tc>
          <w:tcPr>
            <w:tcW w:w="1350" w:type="dxa"/>
            <w:tcBorders>
              <w:top w:val="nil"/>
              <w:left w:val="nil"/>
              <w:bottom w:val="single" w:sz="4" w:space="0" w:color="auto"/>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79.8</w:t>
            </w:r>
          </w:p>
        </w:tc>
      </w:tr>
      <w:tr w:rsidR="008E6DAC" w:rsidRPr="007E62F2" w:rsidTr="003A4F88">
        <w:trPr>
          <w:trHeight w:val="300"/>
          <w:jc w:val="center"/>
        </w:trPr>
        <w:tc>
          <w:tcPr>
            <w:tcW w:w="2005" w:type="dxa"/>
            <w:tcBorders>
              <w:top w:val="nil"/>
              <w:left w:val="single" w:sz="4" w:space="0" w:color="auto"/>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Enrollment Year - 2012</w:t>
            </w:r>
          </w:p>
        </w:tc>
        <w:tc>
          <w:tcPr>
            <w:tcW w:w="118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46,404</w:t>
            </w:r>
          </w:p>
        </w:tc>
        <w:tc>
          <w:tcPr>
            <w:tcW w:w="116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1.62</w:t>
            </w:r>
          </w:p>
        </w:tc>
        <w:tc>
          <w:tcPr>
            <w:tcW w:w="1118"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1.53</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0.09</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5.5%</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4.1</w:t>
            </w:r>
          </w:p>
        </w:tc>
        <w:tc>
          <w:tcPr>
            <w:tcW w:w="1350" w:type="dxa"/>
            <w:tcBorders>
              <w:top w:val="nil"/>
              <w:left w:val="nil"/>
              <w:bottom w:val="nil"/>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8E6DAC" w:rsidRPr="007E62F2" w:rsidTr="003A4F8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Enrollment Year - 2013</w:t>
            </w:r>
          </w:p>
        </w:tc>
        <w:tc>
          <w:tcPr>
            <w:tcW w:w="118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11,182</w:t>
            </w:r>
          </w:p>
        </w:tc>
        <w:tc>
          <w:tcPr>
            <w:tcW w:w="116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1.60</w:t>
            </w:r>
          </w:p>
        </w:tc>
        <w:tc>
          <w:tcPr>
            <w:tcW w:w="1118"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1.37</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0.23</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14.3%</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2.5</w:t>
            </w:r>
          </w:p>
        </w:tc>
        <w:tc>
          <w:tcPr>
            <w:tcW w:w="1350" w:type="dxa"/>
            <w:tcBorders>
              <w:top w:val="nil"/>
              <w:left w:val="nil"/>
              <w:bottom w:val="single" w:sz="4" w:space="0" w:color="auto"/>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8E6DAC" w:rsidRPr="007E62F2" w:rsidTr="003A4F88">
        <w:trPr>
          <w:trHeight w:val="300"/>
          <w:jc w:val="center"/>
        </w:trPr>
        <w:tc>
          <w:tcPr>
            <w:tcW w:w="2005" w:type="dxa"/>
            <w:tcBorders>
              <w:top w:val="nil"/>
              <w:left w:val="single" w:sz="4" w:space="0" w:color="auto"/>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Notification Type - Email</w:t>
            </w:r>
          </w:p>
        </w:tc>
        <w:tc>
          <w:tcPr>
            <w:tcW w:w="118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33,995</w:t>
            </w:r>
          </w:p>
        </w:tc>
        <w:tc>
          <w:tcPr>
            <w:tcW w:w="116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1.52</w:t>
            </w:r>
          </w:p>
        </w:tc>
        <w:tc>
          <w:tcPr>
            <w:tcW w:w="1118"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1.44</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0.09</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5.7%</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2.9</w:t>
            </w:r>
          </w:p>
        </w:tc>
        <w:tc>
          <w:tcPr>
            <w:tcW w:w="1350" w:type="dxa"/>
            <w:tcBorders>
              <w:top w:val="nil"/>
              <w:left w:val="nil"/>
              <w:bottom w:val="nil"/>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8E6DAC" w:rsidRPr="007E62F2" w:rsidTr="003A4F88">
        <w:trPr>
          <w:trHeight w:val="300"/>
          <w:jc w:val="center"/>
        </w:trPr>
        <w:tc>
          <w:tcPr>
            <w:tcW w:w="2005" w:type="dxa"/>
            <w:tcBorders>
              <w:top w:val="nil"/>
              <w:left w:val="single" w:sz="4" w:space="0" w:color="auto"/>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Notification Type - Text</w:t>
            </w:r>
          </w:p>
        </w:tc>
        <w:tc>
          <w:tcPr>
            <w:tcW w:w="118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9,340</w:t>
            </w:r>
          </w:p>
        </w:tc>
        <w:tc>
          <w:tcPr>
            <w:tcW w:w="116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1.67</w:t>
            </w:r>
          </w:p>
        </w:tc>
        <w:tc>
          <w:tcPr>
            <w:tcW w:w="1118"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1.56</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0.11</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6.4%</w:t>
            </w:r>
          </w:p>
        </w:tc>
        <w:tc>
          <w:tcPr>
            <w:tcW w:w="1170" w:type="dxa"/>
            <w:tcBorders>
              <w:top w:val="nil"/>
              <w:left w:val="nil"/>
              <w:bottom w:val="nil"/>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1.0</w:t>
            </w:r>
          </w:p>
        </w:tc>
        <w:tc>
          <w:tcPr>
            <w:tcW w:w="1350" w:type="dxa"/>
            <w:tcBorders>
              <w:top w:val="nil"/>
              <w:left w:val="nil"/>
              <w:bottom w:val="nil"/>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8E6DAC" w:rsidRPr="007E62F2" w:rsidTr="003A4F8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Notification Type - Both</w:t>
            </w:r>
          </w:p>
        </w:tc>
        <w:tc>
          <w:tcPr>
            <w:tcW w:w="118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14,251</w:t>
            </w:r>
          </w:p>
        </w:tc>
        <w:tc>
          <w:tcPr>
            <w:tcW w:w="116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1.81</w:t>
            </w:r>
          </w:p>
        </w:tc>
        <w:tc>
          <w:tcPr>
            <w:tcW w:w="1118"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1.61</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0.19</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10.7%</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2.7</w:t>
            </w:r>
          </w:p>
        </w:tc>
        <w:tc>
          <w:tcPr>
            <w:tcW w:w="1350" w:type="dxa"/>
            <w:tcBorders>
              <w:top w:val="nil"/>
              <w:left w:val="nil"/>
              <w:bottom w:val="single" w:sz="4" w:space="0" w:color="auto"/>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8E6DAC" w:rsidRPr="007E62F2" w:rsidTr="003A4F8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lang w:eastAsia="ko-KR"/>
              </w:rPr>
              <w:t>All Customers</w:t>
            </w:r>
          </w:p>
        </w:tc>
        <w:tc>
          <w:tcPr>
            <w:tcW w:w="118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57,586</w:t>
            </w:r>
          </w:p>
        </w:tc>
        <w:tc>
          <w:tcPr>
            <w:tcW w:w="116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1.62</w:t>
            </w:r>
          </w:p>
        </w:tc>
        <w:tc>
          <w:tcPr>
            <w:tcW w:w="1118"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1.50</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0.12</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7.2%</w:t>
            </w:r>
          </w:p>
        </w:tc>
        <w:tc>
          <w:tcPr>
            <w:tcW w:w="1170" w:type="dxa"/>
            <w:tcBorders>
              <w:top w:val="nil"/>
              <w:left w:val="nil"/>
              <w:bottom w:val="single" w:sz="4" w:space="0" w:color="auto"/>
              <w:right w:val="nil"/>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6.7</w:t>
            </w:r>
          </w:p>
        </w:tc>
        <w:tc>
          <w:tcPr>
            <w:tcW w:w="1350" w:type="dxa"/>
            <w:tcBorders>
              <w:top w:val="nil"/>
              <w:left w:val="nil"/>
              <w:bottom w:val="single" w:sz="4" w:space="0" w:color="auto"/>
              <w:right w:val="single" w:sz="4" w:space="0" w:color="auto"/>
            </w:tcBorders>
            <w:shd w:val="clear" w:color="auto" w:fill="auto"/>
            <w:noWrap/>
            <w:vAlign w:val="center"/>
            <w:hideMark/>
          </w:tcPr>
          <w:p w:rsidR="008E6DAC" w:rsidRPr="007E62F2" w:rsidRDefault="008E6DAC" w:rsidP="003A4F8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80.0</w:t>
            </w:r>
          </w:p>
        </w:tc>
      </w:tr>
    </w:tbl>
    <w:p w:rsidR="008E6DAC" w:rsidRDefault="008E6DAC" w:rsidP="008E6DAC">
      <w:pPr>
        <w:pStyle w:val="BodyParagraph"/>
      </w:pPr>
    </w:p>
    <w:p w:rsidR="00F07149" w:rsidRDefault="00F07149" w:rsidP="00F07149">
      <w:pPr>
        <w:pStyle w:val="Heading2"/>
      </w:pPr>
      <w:bookmarkStart w:id="4" w:name="_Toc383447558"/>
      <w:r>
        <w:lastRenderedPageBreak/>
        <w:t>Ex Ante Evaluation Summary</w:t>
      </w:r>
      <w:bookmarkEnd w:id="4"/>
    </w:p>
    <w:p w:rsidR="00F07149" w:rsidRDefault="00F07149" w:rsidP="006D3DA8">
      <w:pPr>
        <w:pStyle w:val="BodyParagraph"/>
      </w:pPr>
      <w:r>
        <w:t xml:space="preserve">Currently, there are roughly </w:t>
      </w:r>
      <w:r w:rsidRPr="00A45169">
        <w:t>5</w:t>
      </w:r>
      <w:r>
        <w:t>5,000 opt-in PTR customers, but the program is expected to grow to over</w:t>
      </w:r>
      <w:r w:rsidR="00871517">
        <w:t> </w:t>
      </w:r>
      <w:r>
        <w:t>73,000 participants by the end of August 2014</w:t>
      </w:r>
      <w:r w:rsidR="00C822BC">
        <w:t xml:space="preserve"> (and then remain flat)</w:t>
      </w:r>
      <w:r>
        <w:t>.</w:t>
      </w:r>
      <w:r w:rsidR="00C822BC">
        <w:t xml:space="preserve">  In addition, the </w:t>
      </w:r>
      <w:proofErr w:type="spellStart"/>
      <w:r w:rsidR="00C822BC">
        <w:t>ex ante</w:t>
      </w:r>
      <w:proofErr w:type="spellEnd"/>
      <w:r w:rsidR="00C822BC">
        <w:t xml:space="preserve"> evaluation ass</w:t>
      </w:r>
      <w:r w:rsidR="004F59DD">
        <w:t xml:space="preserve">umes that the number of </w:t>
      </w:r>
      <w:r w:rsidR="00C822BC">
        <w:t>PCTs that are deployed through the SCTD program will grow from basically zero devices to 9,500 devices by the end of summer 2014.  By the end of summer 2015, SDG&amp;E projects that there will be a total of 10,500 PCTs deployed through the SCTD program.  These PCTs will be activated during future PTR events.</w:t>
      </w:r>
    </w:p>
    <w:p w:rsidR="006D3DA8" w:rsidRDefault="006D3DA8" w:rsidP="006D3DA8">
      <w:r>
        <w:t>Figure 1-1 summarizes the 2016</w:t>
      </w:r>
      <w:r w:rsidR="00871517">
        <w:t>–</w:t>
      </w:r>
      <w:r>
        <w:t>2024 opt-in PTR and SCTD aggregate load impact estimates for each monthly system peak day under 1-in-2 and 1-in-10 weather conditions.  T</w:t>
      </w:r>
      <w:r w:rsidRPr="002A21D9">
        <w:t xml:space="preserve">he </w:t>
      </w:r>
      <w:r>
        <w:t xml:space="preserve">opt-in PTR and SCTD </w:t>
      </w:r>
      <w:r w:rsidRPr="002A21D9">
        <w:t>program</w:t>
      </w:r>
      <w:r>
        <w:t>s are</w:t>
      </w:r>
      <w:r w:rsidRPr="002A21D9">
        <w:t xml:space="preserve"> expected</w:t>
      </w:r>
      <w:r w:rsidRPr="00DC41F3">
        <w:t xml:space="preserve"> to be capable of </w:t>
      </w:r>
      <w:r w:rsidRPr="002A21D9">
        <w:t xml:space="preserve">delivering up to </w:t>
      </w:r>
      <w:r>
        <w:t>10.6</w:t>
      </w:r>
      <w:r w:rsidRPr="002A21D9">
        <w:t xml:space="preserve"> MW</w:t>
      </w:r>
      <w:r>
        <w:t xml:space="preserve"> and 7.4 MW</w:t>
      </w:r>
      <w:r w:rsidRPr="002A21D9">
        <w:t xml:space="preserve">, </w:t>
      </w:r>
      <w:r>
        <w:t xml:space="preserve">respectively, </w:t>
      </w:r>
      <w:r w:rsidRPr="002A21D9">
        <w:t xml:space="preserve">which occurs during the </w:t>
      </w:r>
      <w:r>
        <w:t>September</w:t>
      </w:r>
      <w:r w:rsidRPr="002A21D9">
        <w:t xml:space="preserve"> monthly peak u</w:t>
      </w:r>
      <w:r>
        <w:t xml:space="preserve">nder 1-in-10 weather conditions.  Basically, if the SCTD program delivers the load impacts that are indicated in this forecast, the capacity of opt-in PTR as a whole (including SCTD) will increase by nearly 70% (from 10.6 MW to 18 MW).  However, it is important to note that the SCTD impacts should be taken with a higher degree of uncertainty than the opt-in PTR impacts, given that </w:t>
      </w:r>
      <w:r w:rsidR="004F59DD">
        <w:t>the SCTD program</w:t>
      </w:r>
      <w:r>
        <w:t xml:space="preserve"> is starting from basically zero participants at this point.  While this forecast draws from the best available information, there are a number of factors that could lead to lower than expected impacts from SCTD, such as PCT communication failures or few</w:t>
      </w:r>
      <w:r w:rsidR="00871517">
        <w:t>er</w:t>
      </w:r>
      <w:r>
        <w:t xml:space="preserve"> customers enrolling than expected.</w:t>
      </w:r>
      <w:r w:rsidR="001D7A4E">
        <w:t xml:space="preserve">  It will be important for SDG&amp;E to track these metrics as the SCTD program</w:t>
      </w:r>
      <w:r w:rsidR="00871517">
        <w:t> </w:t>
      </w:r>
      <w:r w:rsidR="001D7A4E">
        <w:t>grows.</w:t>
      </w:r>
    </w:p>
    <w:p w:rsidR="006D3DA8" w:rsidRDefault="006D3DA8" w:rsidP="006D3DA8">
      <w:pPr>
        <w:pStyle w:val="TableFigureCaption"/>
      </w:pPr>
      <w:r>
        <w:t xml:space="preserve">Figure 1-1: 2016-2024 Opt-in PTR and SCTD </w:t>
      </w:r>
      <w:r w:rsidR="001D7A4E">
        <w:t xml:space="preserve">Ex Ante </w:t>
      </w:r>
      <w:r>
        <w:t>Load Impact (MW) Estimates by Month</w:t>
      </w:r>
    </w:p>
    <w:p w:rsidR="00C52F29" w:rsidRDefault="006D3DA8" w:rsidP="002A2356">
      <w:pPr>
        <w:pStyle w:val="BodyParagraph"/>
        <w:jc w:val="center"/>
      </w:pPr>
      <w:r>
        <w:rPr>
          <w:noProof/>
        </w:rPr>
        <w:drawing>
          <wp:inline distT="0" distB="0" distL="0" distR="0" wp14:anchorId="498FE7B7" wp14:editId="30B93A17">
            <wp:extent cx="5376636" cy="37233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8529" cy="3724695"/>
                    </a:xfrm>
                    <a:prstGeom prst="rect">
                      <a:avLst/>
                    </a:prstGeom>
                    <a:noFill/>
                  </pic:spPr>
                </pic:pic>
              </a:graphicData>
            </a:graphic>
          </wp:inline>
        </w:drawing>
      </w:r>
      <w:r w:rsidR="00C52F29">
        <w:br w:type="page"/>
      </w:r>
    </w:p>
    <w:p w:rsidR="00785F70" w:rsidRDefault="00785F70" w:rsidP="00785F70">
      <w:pPr>
        <w:pStyle w:val="Heading1"/>
        <w:numPr>
          <w:ilvl w:val="0"/>
          <w:numId w:val="9"/>
        </w:numPr>
      </w:pPr>
      <w:bookmarkStart w:id="5" w:name="_Toc383447559"/>
      <w:bookmarkEnd w:id="1"/>
      <w:r>
        <w:lastRenderedPageBreak/>
        <w:t>Introduction</w:t>
      </w:r>
      <w:bookmarkEnd w:id="5"/>
    </w:p>
    <w:p w:rsidR="00785F70" w:rsidRDefault="00785F70" w:rsidP="00785F70">
      <w:pPr>
        <w:pStyle w:val="BodyParagraph"/>
      </w:pPr>
      <w:r>
        <w:t>This report provides the 2013 ex post and ex ante load impact estimates for</w:t>
      </w:r>
      <w:r w:rsidRPr="00DC54F4">
        <w:t xml:space="preserve"> </w:t>
      </w:r>
      <w:r>
        <w:t xml:space="preserve">San Diego Gas &amp; Electric Company’s (SDG&amp;E) Opt-in Peak Time Rebate (PTR) Program, which is called the Reduce Your </w:t>
      </w:r>
      <w:proofErr w:type="spellStart"/>
      <w:r>
        <w:t>Use</w:t>
      </w:r>
      <w:r>
        <w:rPr>
          <w:vertAlign w:val="superscript"/>
        </w:rPr>
        <w:t>SM</w:t>
      </w:r>
      <w:proofErr w:type="spellEnd"/>
      <w:r>
        <w:t xml:space="preserve"> (RYU) program.  PTR offers bill credits for reduced energy use between 11 AM and 6 PM on PTR event days.  The PTR bill credit is calculated based on event day usage relative to a customer-specific reference level.  In 2013, any customer with a working smart meter was eligible for the PTR bill credit.  Starting in 2014, only customers who opt in to receive event alerts via text and/or email one day in advance of an event will be eligible for PTR rebates.  Therefore, t</w:t>
      </w:r>
      <w:bookmarkStart w:id="6" w:name="_GoBack"/>
      <w:bookmarkEnd w:id="6"/>
      <w:r>
        <w:t xml:space="preserve">he scope of this evaluation </w:t>
      </w:r>
      <w:r w:rsidRPr="00DB1AFD">
        <w:t xml:space="preserve">is </w:t>
      </w:r>
      <w:r w:rsidRPr="003526E3">
        <w:t>restricted</w:t>
      </w:r>
      <w:r w:rsidRPr="00DB1AFD">
        <w:t xml:space="preserve"> to r</w:t>
      </w:r>
      <w:r>
        <w:t xml:space="preserve">esidential </w:t>
      </w:r>
      <w:r w:rsidR="00084DA8">
        <w:t>opt-in PTR</w:t>
      </w:r>
      <w:r>
        <w:t xml:space="preserve"> customers, which includes </w:t>
      </w:r>
      <w:r w:rsidRPr="00AC709F">
        <w:t xml:space="preserve">customers that will receive </w:t>
      </w:r>
      <w:r>
        <w:t xml:space="preserve">a </w:t>
      </w:r>
      <w:r w:rsidRPr="00AC709F">
        <w:t>programmable communicating thermostat (PCT) through the Small Customer Technology Deployment (SCTD) program</w:t>
      </w:r>
      <w:r>
        <w:t xml:space="preserve">.  There was only one PTR event in 2013, which occurred on August 31, 2013.  At the time, there were </w:t>
      </w:r>
      <w:r w:rsidRPr="00A45169">
        <w:t>57,586</w:t>
      </w:r>
      <w:r>
        <w:t xml:space="preserve"> customers enrolled in PTR event notification.  Currently, there are roughly </w:t>
      </w:r>
      <w:r w:rsidRPr="00A45169">
        <w:t>5</w:t>
      </w:r>
      <w:r>
        <w:t xml:space="preserve">5,000 </w:t>
      </w:r>
      <w:r w:rsidR="00084DA8">
        <w:t>opt-in PTR</w:t>
      </w:r>
      <w:r w:rsidR="004F59DD">
        <w:t xml:space="preserve"> customers, and</w:t>
      </w:r>
      <w:r>
        <w:t xml:space="preserve"> the program is expected to grow to over 73,000 participants by the end of August 2014.</w:t>
      </w:r>
    </w:p>
    <w:p w:rsidR="00785F70" w:rsidRDefault="00785F70" w:rsidP="00785F70">
      <w:pPr>
        <w:pStyle w:val="Heading2"/>
      </w:pPr>
      <w:bookmarkStart w:id="7" w:name="_Toc383447560"/>
      <w:r>
        <w:t>Evaluation Objectives</w:t>
      </w:r>
      <w:bookmarkEnd w:id="7"/>
    </w:p>
    <w:p w:rsidR="00785F70" w:rsidRPr="00511CC5" w:rsidRDefault="00785F70" w:rsidP="00785F70">
      <w:pPr>
        <w:pStyle w:val="BodyBeforeBullet"/>
      </w:pPr>
      <w:r w:rsidRPr="00511CC5">
        <w:t xml:space="preserve">The objectives of this </w:t>
      </w:r>
      <w:r>
        <w:t>evaluation</w:t>
      </w:r>
      <w:r w:rsidRPr="00511CC5">
        <w:t xml:space="preserve"> are to:</w:t>
      </w:r>
    </w:p>
    <w:p w:rsidR="00785F70" w:rsidRDefault="00785F70" w:rsidP="00785F70">
      <w:pPr>
        <w:pStyle w:val="Bullets"/>
      </w:pPr>
      <w:r>
        <w:t>Estimate h</w:t>
      </w:r>
      <w:r w:rsidRPr="00A07A7C">
        <w:t>o</w:t>
      </w:r>
      <w:r>
        <w:t>urly ex post load reductions on the 2013 PTR event day (aggregate and per</w:t>
      </w:r>
      <w:r>
        <w:noBreakHyphen/>
        <w:t>customer level);</w:t>
      </w:r>
    </w:p>
    <w:p w:rsidR="00785F70" w:rsidRDefault="00785F70" w:rsidP="00785F70">
      <w:pPr>
        <w:pStyle w:val="Bullets"/>
      </w:pPr>
      <w:r>
        <w:t>Estimate ex post load reductions by climate zone, usage level, low income status,</w:t>
      </w:r>
      <w:r w:rsidRPr="00A07A7C">
        <w:t xml:space="preserve"> </w:t>
      </w:r>
      <w:r>
        <w:t>enrollment year (2012 or 2013), notification type (email, text or both) and dual enrollment in Summer Saver (SDG&amp;E’s air conditioning cycling program);</w:t>
      </w:r>
    </w:p>
    <w:p w:rsidR="00785F70" w:rsidRDefault="00785F70" w:rsidP="00785F70">
      <w:pPr>
        <w:pStyle w:val="Bullets"/>
      </w:pPr>
      <w:r>
        <w:t>Assess customer fatigue in response to PTR events;</w:t>
      </w:r>
    </w:p>
    <w:p w:rsidR="00785F70" w:rsidRDefault="00785F70" w:rsidP="00785F70">
      <w:pPr>
        <w:pStyle w:val="Bullets"/>
      </w:pPr>
      <w:r>
        <w:t xml:space="preserve">Forecast 2014–2024 </w:t>
      </w:r>
      <w:r w:rsidR="00084DA8">
        <w:t>opt-in PTR</w:t>
      </w:r>
      <w:r>
        <w:t xml:space="preserve"> hourly ex ante load impacts for a 1-in-2 and 1-in-10 weather year by month (aggregate and per-customer level); and</w:t>
      </w:r>
    </w:p>
    <w:p w:rsidR="00785F70" w:rsidRDefault="00785F70" w:rsidP="00785F70">
      <w:pPr>
        <w:pStyle w:val="BulletLast"/>
        <w:spacing w:after="360"/>
      </w:pPr>
      <w:r>
        <w:t xml:space="preserve">Forecast 2014–2024 ex ante load impacts for </w:t>
      </w:r>
      <w:r w:rsidR="00084DA8">
        <w:t>opt-in PTR</w:t>
      </w:r>
      <w:r>
        <w:t xml:space="preserve"> customers that will receive a PCT through the SCTD program.</w:t>
      </w:r>
    </w:p>
    <w:p w:rsidR="00785F70" w:rsidRDefault="00785F70" w:rsidP="00785F70">
      <w:pPr>
        <w:pStyle w:val="Heading2"/>
      </w:pPr>
      <w:bookmarkStart w:id="8" w:name="_Toc383447561"/>
      <w:r>
        <w:t>Overview of Methods</w:t>
      </w:r>
      <w:bookmarkEnd w:id="8"/>
    </w:p>
    <w:p w:rsidR="00785F70" w:rsidRDefault="00785F70" w:rsidP="00785F70">
      <w:pPr>
        <w:pStyle w:val="BodyParagraph"/>
      </w:pPr>
      <w:r w:rsidRPr="00571F27">
        <w:t xml:space="preserve">To estimate </w:t>
      </w:r>
      <w:r>
        <w:t>ex post load</w:t>
      </w:r>
      <w:r w:rsidRPr="00571F27">
        <w:t xml:space="preserve"> impac</w:t>
      </w:r>
      <w:r>
        <w:t xml:space="preserve">ts for </w:t>
      </w:r>
      <w:r w:rsidR="00084DA8">
        <w:t>opt-in PTR</w:t>
      </w:r>
      <w:r>
        <w:t xml:space="preserve"> customers, Nexant</w:t>
      </w:r>
      <w:r w:rsidRPr="00571F27">
        <w:t xml:space="preserve"> compare</w:t>
      </w:r>
      <w:r>
        <w:t>d</w:t>
      </w:r>
      <w:r w:rsidRPr="00571F27">
        <w:t xml:space="preserve"> participant load to a matched control group on </w:t>
      </w:r>
      <w:r>
        <w:t>PTR event days.</w:t>
      </w:r>
      <w:r w:rsidRPr="00512540">
        <w:t xml:space="preserve"> </w:t>
      </w:r>
      <w:r>
        <w:t xml:space="preserve"> Customers that have not opted into event alerts (non-alert customers) have been shown in the past to not reduce electricity usage on PTR event days, so these customers are appropriate candidates for selection into the control group in the ex post analysis.  O</w:t>
      </w:r>
      <w:r w:rsidRPr="00571F27">
        <w:t xml:space="preserve">pt-in alert customers </w:t>
      </w:r>
      <w:r>
        <w:t xml:space="preserve">were matched </w:t>
      </w:r>
      <w:r w:rsidRPr="00571F27">
        <w:t xml:space="preserve">to non-alert customers (the control group) based on usage </w:t>
      </w:r>
      <w:r>
        <w:t>during</w:t>
      </w:r>
      <w:r w:rsidRPr="00571F27">
        <w:t xml:space="preserve"> </w:t>
      </w:r>
      <w:r>
        <w:t>two</w:t>
      </w:r>
      <w:r w:rsidRPr="00571F27">
        <w:t xml:space="preserve"> event-like </w:t>
      </w:r>
      <w:r>
        <w:t>days</w:t>
      </w:r>
      <w:r w:rsidRPr="00571F27">
        <w:t xml:space="preserve"> in 201</w:t>
      </w:r>
      <w:r>
        <w:t xml:space="preserve">3.  Considering that the single 2013 PTR event was on a Saturday, the ex post analysis only used Saturday data.  </w:t>
      </w:r>
      <w:r w:rsidRPr="00571F27">
        <w:t xml:space="preserve">The impact estimates </w:t>
      </w:r>
      <w:r>
        <w:t>are</w:t>
      </w:r>
      <w:r w:rsidRPr="00571F27">
        <w:t xml:space="preserve"> based on a difference-in-differences comparison of control and treatment group usage during event days</w:t>
      </w:r>
      <w:r>
        <w:t xml:space="preserve"> and the chosen event-like days.</w:t>
      </w:r>
    </w:p>
    <w:p w:rsidR="00785F70" w:rsidRDefault="00785F70" w:rsidP="00785F70">
      <w:pPr>
        <w:pStyle w:val="BodyParagraph"/>
      </w:pPr>
      <w:r>
        <w:t xml:space="preserve">With only one PTR event in 2013, the </w:t>
      </w:r>
      <w:proofErr w:type="spellStart"/>
      <w:r>
        <w:t>ex ante</w:t>
      </w:r>
      <w:proofErr w:type="spellEnd"/>
      <w:r>
        <w:t xml:space="preserve"> evaluation had to incorporate information from the six PTR events that were called in 2012.  Nexant first identified the set of customers that participated in all six PTR events in 2012 and the one PTR event in 2013.  Weights were developed so that this set of </w:t>
      </w:r>
      <w:r>
        <w:rPr>
          <w:i/>
        </w:rPr>
        <w:t xml:space="preserve">persistent </w:t>
      </w:r>
      <w:r>
        <w:t xml:space="preserve">customers was representative of the current </w:t>
      </w:r>
      <w:r w:rsidR="00084DA8">
        <w:t>opt-in PTR</w:t>
      </w:r>
      <w:r>
        <w:t xml:space="preserve"> population.  Specifically for this set of </w:t>
      </w:r>
      <w:r>
        <w:lastRenderedPageBreak/>
        <w:t xml:space="preserve">customers, the 2012 and 2013 ex post load impacts were re-estimated in order to determine how PTR event load reductions vary as a function of temperature.  To estimate the </w:t>
      </w:r>
      <w:proofErr w:type="spellStart"/>
      <w:r>
        <w:t>ex ante</w:t>
      </w:r>
      <w:proofErr w:type="spellEnd"/>
      <w:r>
        <w:t xml:space="preserve"> load impacts, Nexant applied this temperature-load impact relationship to the temperature profiles for each ex ante scenario.</w:t>
      </w:r>
    </w:p>
    <w:p w:rsidR="00785F70" w:rsidRDefault="00785F70" w:rsidP="00785F70">
      <w:pPr>
        <w:pStyle w:val="Heading2"/>
      </w:pPr>
      <w:bookmarkStart w:id="9" w:name="_Toc383447562"/>
      <w:r>
        <w:t xml:space="preserve">Current </w:t>
      </w:r>
      <w:r w:rsidR="00230E4D">
        <w:t xml:space="preserve">Opt-in PTR </w:t>
      </w:r>
      <w:r>
        <w:t>Enrollment</w:t>
      </w:r>
      <w:bookmarkEnd w:id="9"/>
    </w:p>
    <w:p w:rsidR="00785F70" w:rsidRDefault="00785F70" w:rsidP="00785F70">
      <w:pPr>
        <w:pStyle w:val="BodyParagraph"/>
      </w:pPr>
      <w:r>
        <w:t xml:space="preserve">Table </w:t>
      </w:r>
      <w:r w:rsidR="00FD21EB">
        <w:t>2</w:t>
      </w:r>
      <w:r>
        <w:t xml:space="preserve">-1 provides a summary of </w:t>
      </w:r>
      <w:r w:rsidR="00084DA8">
        <w:t>opt-in PTR</w:t>
      </w:r>
      <w:r>
        <w:t xml:space="preserve"> enrollment across various customer categories of interest to this evaluation.  All categories are tabulated by enrollment year in order to identify any changes in the customer mix over time.  As of the end of 2013, there were 55,365 active </w:t>
      </w:r>
      <w:r w:rsidR="00084DA8">
        <w:t>opt-in PTR</w:t>
      </w:r>
      <w:r>
        <w:t xml:space="preserve"> participants, of which 24% enrolled in 2013.  In general, 2012 enrollees are similar to 2013 enrollees.  Both groups have around 45% of customers in the inland climate zone, roughly 6% dually enrolled in Summer Saver, 20% enrolled in CARE and 34% with average hourly demand</w:t>
      </w:r>
      <w:r w:rsidR="00CD4370">
        <w:t xml:space="preserve"> more</w:t>
      </w:r>
      <w:r>
        <w:t xml:space="preserve"> than 1 kW.  The only observable difference between the 2012 </w:t>
      </w:r>
      <w:r w:rsidR="00084DA8">
        <w:t>opt-in PTR</w:t>
      </w:r>
      <w:r>
        <w:t xml:space="preserve"> enrollees and 2013 enrollees shows up in the distribution of notification types.  Participants that enrolled in 2013 were nearly 12% more likely to opt into</w:t>
      </w:r>
      <w:r w:rsidRPr="00011A9F">
        <w:t xml:space="preserve"> </w:t>
      </w:r>
      <w:r>
        <w:t>notification by text message, either by itself or in combination with an email alert.  This difference is statistically significant at a less than 1% level.</w:t>
      </w:r>
    </w:p>
    <w:p w:rsidR="00785F70" w:rsidRDefault="00785F70" w:rsidP="00785F70">
      <w:pPr>
        <w:pStyle w:val="TableFigureCaption"/>
      </w:pPr>
      <w:r>
        <w:t xml:space="preserve">Table </w:t>
      </w:r>
      <w:r w:rsidR="00FD21EB">
        <w:t>2</w:t>
      </w:r>
      <w:r>
        <w:t xml:space="preserve">-1: Summary of </w:t>
      </w:r>
      <w:r w:rsidR="00084DA8">
        <w:t>Opt-in PTR</w:t>
      </w:r>
      <w:r>
        <w:t xml:space="preserve"> Enrollment by Customer Category (As of the End of 2013)</w:t>
      </w:r>
    </w:p>
    <w:tbl>
      <w:tblPr>
        <w:tblW w:w="9422" w:type="dxa"/>
        <w:jc w:val="center"/>
        <w:tblInd w:w="-369" w:type="dxa"/>
        <w:tblLook w:val="04A0" w:firstRow="1" w:lastRow="0" w:firstColumn="1" w:lastColumn="0" w:noHBand="0" w:noVBand="1"/>
      </w:tblPr>
      <w:tblGrid>
        <w:gridCol w:w="2942"/>
        <w:gridCol w:w="1080"/>
        <w:gridCol w:w="1080"/>
        <w:gridCol w:w="1080"/>
        <w:gridCol w:w="1080"/>
        <w:gridCol w:w="1080"/>
        <w:gridCol w:w="1080"/>
      </w:tblGrid>
      <w:tr w:rsidR="00785F70" w:rsidRPr="00F915F4" w:rsidTr="00084DA8">
        <w:trPr>
          <w:trHeight w:val="510"/>
          <w:jc w:val="center"/>
        </w:trPr>
        <w:tc>
          <w:tcPr>
            <w:tcW w:w="2942" w:type="dxa"/>
            <w:vMerge w:val="restart"/>
            <w:tcBorders>
              <w:top w:val="single" w:sz="4" w:space="0" w:color="000000"/>
              <w:left w:val="single" w:sz="4" w:space="0" w:color="000000"/>
              <w:bottom w:val="single" w:sz="4" w:space="0" w:color="FFFFFF"/>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lang w:eastAsia="ko-KR"/>
              </w:rPr>
              <w:t>Customer Category</w:t>
            </w:r>
          </w:p>
        </w:tc>
        <w:tc>
          <w:tcPr>
            <w:tcW w:w="2160" w:type="dxa"/>
            <w:gridSpan w:val="2"/>
            <w:tcBorders>
              <w:top w:val="single" w:sz="4" w:space="0" w:color="000000"/>
              <w:left w:val="nil"/>
              <w:bottom w:val="single" w:sz="4" w:space="0" w:color="FFFFFF"/>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lang w:eastAsia="ko-KR"/>
              </w:rPr>
              <w:t xml:space="preserve">Enrollment Year </w:t>
            </w:r>
            <w:r w:rsidR="00FD21EB" w:rsidRPr="00FD21EB">
              <w:rPr>
                <w:rFonts w:ascii="Arial" w:eastAsia="Times New Roman" w:hAnsi="Arial" w:cs="Arial"/>
                <w:b/>
                <w:bCs/>
                <w:color w:val="FFFFFF"/>
                <w:sz w:val="20"/>
                <w:szCs w:val="20"/>
                <w:lang w:eastAsia="ko-KR"/>
              </w:rPr>
              <w:t>–</w:t>
            </w:r>
            <w:r w:rsidRPr="00F915F4">
              <w:rPr>
                <w:rFonts w:ascii="Arial" w:eastAsia="Times New Roman" w:hAnsi="Arial" w:cs="Arial"/>
                <w:b/>
                <w:bCs/>
                <w:color w:val="FFFFFF"/>
                <w:sz w:val="20"/>
                <w:szCs w:val="20"/>
                <w:lang w:eastAsia="ko-KR"/>
              </w:rPr>
              <w:t xml:space="preserve"> 2012</w:t>
            </w:r>
          </w:p>
        </w:tc>
        <w:tc>
          <w:tcPr>
            <w:tcW w:w="2160" w:type="dxa"/>
            <w:gridSpan w:val="2"/>
            <w:tcBorders>
              <w:top w:val="single" w:sz="4" w:space="0" w:color="000000"/>
              <w:left w:val="nil"/>
              <w:bottom w:val="single" w:sz="4" w:space="0" w:color="FFFFFF"/>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lang w:eastAsia="ko-KR"/>
              </w:rPr>
              <w:t xml:space="preserve">Enrollment Year </w:t>
            </w:r>
            <w:r w:rsidR="00FD21EB" w:rsidRPr="00FD21EB">
              <w:rPr>
                <w:rFonts w:ascii="Arial" w:eastAsia="Times New Roman" w:hAnsi="Arial" w:cs="Arial"/>
                <w:b/>
                <w:bCs/>
                <w:color w:val="FFFFFF"/>
                <w:sz w:val="20"/>
                <w:szCs w:val="20"/>
                <w:lang w:eastAsia="ko-KR"/>
              </w:rPr>
              <w:t>–</w:t>
            </w:r>
            <w:r w:rsidRPr="00F915F4">
              <w:rPr>
                <w:rFonts w:ascii="Arial" w:eastAsia="Times New Roman" w:hAnsi="Arial" w:cs="Arial"/>
                <w:b/>
                <w:bCs/>
                <w:color w:val="FFFFFF"/>
                <w:sz w:val="20"/>
                <w:szCs w:val="20"/>
                <w:lang w:eastAsia="ko-KR"/>
              </w:rPr>
              <w:t xml:space="preserve"> 2013</w:t>
            </w:r>
          </w:p>
        </w:tc>
        <w:tc>
          <w:tcPr>
            <w:tcW w:w="2160" w:type="dxa"/>
            <w:gridSpan w:val="2"/>
            <w:tcBorders>
              <w:top w:val="single" w:sz="4" w:space="0" w:color="000000"/>
              <w:left w:val="nil"/>
              <w:bottom w:val="single" w:sz="4" w:space="0" w:color="FFFFFF"/>
              <w:right w:val="single" w:sz="4" w:space="0" w:color="000000"/>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lang w:eastAsia="ko-KR"/>
              </w:rPr>
              <w:t xml:space="preserve">All </w:t>
            </w:r>
            <w:r w:rsidR="00084DA8">
              <w:rPr>
                <w:rFonts w:ascii="Arial" w:eastAsia="Times New Roman" w:hAnsi="Arial" w:cs="Arial"/>
                <w:b/>
                <w:bCs/>
                <w:color w:val="FFFFFF"/>
                <w:sz w:val="20"/>
                <w:szCs w:val="20"/>
                <w:lang w:eastAsia="ko-KR"/>
              </w:rPr>
              <w:t>Opt-in PTR</w:t>
            </w:r>
            <w:r w:rsidRPr="00F915F4">
              <w:rPr>
                <w:rFonts w:ascii="Arial" w:eastAsia="Times New Roman" w:hAnsi="Arial" w:cs="Arial"/>
                <w:b/>
                <w:bCs/>
                <w:color w:val="FFFFFF"/>
                <w:sz w:val="20"/>
                <w:szCs w:val="20"/>
                <w:lang w:eastAsia="ko-KR"/>
              </w:rPr>
              <w:t xml:space="preserve"> Customers</w:t>
            </w:r>
          </w:p>
        </w:tc>
      </w:tr>
      <w:tr w:rsidR="00785F70" w:rsidRPr="00F915F4" w:rsidTr="00084DA8">
        <w:trPr>
          <w:trHeight w:val="300"/>
          <w:jc w:val="center"/>
        </w:trPr>
        <w:tc>
          <w:tcPr>
            <w:tcW w:w="2942" w:type="dxa"/>
            <w:vMerge/>
            <w:tcBorders>
              <w:top w:val="single" w:sz="4" w:space="0" w:color="000000"/>
              <w:left w:val="single" w:sz="4" w:space="0" w:color="000000"/>
              <w:bottom w:val="single" w:sz="4" w:space="0" w:color="FFFFFF"/>
              <w:right w:val="single" w:sz="4" w:space="0" w:color="FFFFFF"/>
            </w:tcBorders>
            <w:vAlign w:val="center"/>
            <w:hideMark/>
          </w:tcPr>
          <w:p w:rsidR="00785F70" w:rsidRPr="00F915F4" w:rsidRDefault="00785F70" w:rsidP="00084DA8">
            <w:pPr>
              <w:spacing w:after="0" w:line="240" w:lineRule="auto"/>
              <w:rPr>
                <w:rFonts w:ascii="Arial" w:eastAsia="Times New Roman" w:hAnsi="Arial" w:cs="Arial"/>
                <w:b/>
                <w:bCs/>
                <w:color w:val="FFFFFF"/>
                <w:sz w:val="20"/>
                <w:szCs w:val="20"/>
              </w:rPr>
            </w:pPr>
          </w:p>
        </w:tc>
        <w:tc>
          <w:tcPr>
            <w:tcW w:w="1080" w:type="dxa"/>
            <w:tcBorders>
              <w:top w:val="nil"/>
              <w:left w:val="nil"/>
              <w:bottom w:val="nil"/>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rPr>
              <w:t>N</w:t>
            </w:r>
          </w:p>
        </w:tc>
        <w:tc>
          <w:tcPr>
            <w:tcW w:w="1080" w:type="dxa"/>
            <w:tcBorders>
              <w:top w:val="nil"/>
              <w:left w:val="nil"/>
              <w:bottom w:val="nil"/>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rPr>
              <w:t>%</w:t>
            </w:r>
          </w:p>
        </w:tc>
        <w:tc>
          <w:tcPr>
            <w:tcW w:w="1080" w:type="dxa"/>
            <w:tcBorders>
              <w:top w:val="nil"/>
              <w:left w:val="nil"/>
              <w:bottom w:val="nil"/>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rPr>
              <w:t>N</w:t>
            </w:r>
          </w:p>
        </w:tc>
        <w:tc>
          <w:tcPr>
            <w:tcW w:w="1080" w:type="dxa"/>
            <w:tcBorders>
              <w:top w:val="nil"/>
              <w:left w:val="nil"/>
              <w:bottom w:val="nil"/>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rPr>
              <w:t>%</w:t>
            </w:r>
          </w:p>
        </w:tc>
        <w:tc>
          <w:tcPr>
            <w:tcW w:w="1080" w:type="dxa"/>
            <w:tcBorders>
              <w:top w:val="nil"/>
              <w:left w:val="nil"/>
              <w:bottom w:val="nil"/>
              <w:right w:val="single" w:sz="4" w:space="0" w:color="FFFFFF"/>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rPr>
              <w:t>N</w:t>
            </w:r>
          </w:p>
        </w:tc>
        <w:tc>
          <w:tcPr>
            <w:tcW w:w="1080" w:type="dxa"/>
            <w:tcBorders>
              <w:top w:val="nil"/>
              <w:left w:val="nil"/>
              <w:bottom w:val="nil"/>
              <w:right w:val="single" w:sz="4" w:space="0" w:color="000000"/>
            </w:tcBorders>
            <w:shd w:val="clear" w:color="000000" w:fill="1F497D"/>
            <w:vAlign w:val="center"/>
            <w:hideMark/>
          </w:tcPr>
          <w:p w:rsidR="00785F70" w:rsidRPr="00F915F4" w:rsidRDefault="00785F70" w:rsidP="00084DA8">
            <w:pPr>
              <w:spacing w:after="0" w:line="240" w:lineRule="auto"/>
              <w:jc w:val="center"/>
              <w:rPr>
                <w:rFonts w:ascii="Arial" w:eastAsia="Times New Roman" w:hAnsi="Arial" w:cs="Arial"/>
                <w:b/>
                <w:bCs/>
                <w:color w:val="FFFFFF"/>
                <w:sz w:val="20"/>
                <w:szCs w:val="20"/>
              </w:rPr>
            </w:pPr>
            <w:r w:rsidRPr="00F915F4">
              <w:rPr>
                <w:rFonts w:ascii="Arial" w:eastAsia="Times New Roman" w:hAnsi="Arial" w:cs="Arial"/>
                <w:b/>
                <w:bCs/>
                <w:color w:val="FFFFFF"/>
                <w:sz w:val="20"/>
                <w:szCs w:val="20"/>
              </w:rPr>
              <w:t>%</w:t>
            </w:r>
          </w:p>
        </w:tc>
      </w:tr>
      <w:tr w:rsidR="00785F70" w:rsidRPr="00F915F4" w:rsidTr="00084DA8">
        <w:trPr>
          <w:trHeight w:val="300"/>
          <w:jc w:val="center"/>
        </w:trPr>
        <w:tc>
          <w:tcPr>
            <w:tcW w:w="2942" w:type="dxa"/>
            <w:tcBorders>
              <w:top w:val="single" w:sz="4" w:space="0" w:color="auto"/>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Climate Zone - Coastal</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23,385</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55.9%</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7,281</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54.0%</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30,666</w:t>
            </w:r>
          </w:p>
        </w:tc>
        <w:tc>
          <w:tcPr>
            <w:tcW w:w="1080" w:type="dxa"/>
            <w:tcBorders>
              <w:top w:val="single" w:sz="4" w:space="0" w:color="auto"/>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55.4%</w:t>
            </w:r>
          </w:p>
        </w:tc>
      </w:tr>
      <w:tr w:rsidR="00785F70" w:rsidRPr="00F915F4" w:rsidTr="00084DA8">
        <w:trPr>
          <w:trHeight w:val="300"/>
          <w:jc w:val="center"/>
        </w:trPr>
        <w:tc>
          <w:tcPr>
            <w:tcW w:w="2942" w:type="dxa"/>
            <w:tcBorders>
              <w:top w:val="nil"/>
              <w:left w:val="single" w:sz="4" w:space="0" w:color="auto"/>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Climate Zone - Inland</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18,485</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44.1%</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6,214</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46.0%</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24,699</w:t>
            </w:r>
          </w:p>
        </w:tc>
        <w:tc>
          <w:tcPr>
            <w:tcW w:w="1080" w:type="dxa"/>
            <w:tcBorders>
              <w:top w:val="nil"/>
              <w:left w:val="nil"/>
              <w:bottom w:val="single" w:sz="4" w:space="0" w:color="auto"/>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44.6%</w:t>
            </w:r>
          </w:p>
        </w:tc>
      </w:tr>
      <w:tr w:rsidR="00785F70" w:rsidRPr="00F915F4" w:rsidTr="00084DA8">
        <w:trPr>
          <w:trHeight w:val="300"/>
          <w:jc w:val="center"/>
        </w:trPr>
        <w:tc>
          <w:tcPr>
            <w:tcW w:w="2942" w:type="dxa"/>
            <w:tcBorders>
              <w:top w:val="nil"/>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Non-Summer Saver</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39,063</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93.3%</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12,811</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94.9%</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51,874</w:t>
            </w:r>
          </w:p>
        </w:tc>
        <w:tc>
          <w:tcPr>
            <w:tcW w:w="1080" w:type="dxa"/>
            <w:tcBorders>
              <w:top w:val="nil"/>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93.7%</w:t>
            </w:r>
          </w:p>
        </w:tc>
      </w:tr>
      <w:tr w:rsidR="00785F70" w:rsidRPr="00F915F4" w:rsidTr="00084DA8">
        <w:trPr>
          <w:trHeight w:val="300"/>
          <w:jc w:val="center"/>
        </w:trPr>
        <w:tc>
          <w:tcPr>
            <w:tcW w:w="2942" w:type="dxa"/>
            <w:tcBorders>
              <w:top w:val="nil"/>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Summer Saver</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2,807</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6.7%</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684</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5.1%</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3,491</w:t>
            </w:r>
          </w:p>
        </w:tc>
        <w:tc>
          <w:tcPr>
            <w:tcW w:w="1080" w:type="dxa"/>
            <w:tcBorders>
              <w:top w:val="nil"/>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6.3%</w:t>
            </w:r>
          </w:p>
        </w:tc>
      </w:tr>
      <w:tr w:rsidR="00785F70" w:rsidRPr="00F915F4" w:rsidTr="00084DA8">
        <w:trPr>
          <w:trHeight w:val="300"/>
          <w:jc w:val="center"/>
        </w:trPr>
        <w:tc>
          <w:tcPr>
            <w:tcW w:w="2942" w:type="dxa"/>
            <w:tcBorders>
              <w:top w:val="single" w:sz="4" w:space="0" w:color="auto"/>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Non-CARE</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33,248</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79.4%</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10,841</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80.3%</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44,089</w:t>
            </w:r>
          </w:p>
        </w:tc>
        <w:tc>
          <w:tcPr>
            <w:tcW w:w="1080" w:type="dxa"/>
            <w:tcBorders>
              <w:top w:val="single" w:sz="4" w:space="0" w:color="auto"/>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79.6%</w:t>
            </w:r>
          </w:p>
        </w:tc>
      </w:tr>
      <w:tr w:rsidR="00785F70" w:rsidRPr="00F915F4" w:rsidTr="00084DA8">
        <w:trPr>
          <w:trHeight w:val="300"/>
          <w:jc w:val="center"/>
        </w:trPr>
        <w:tc>
          <w:tcPr>
            <w:tcW w:w="2942" w:type="dxa"/>
            <w:tcBorders>
              <w:top w:val="nil"/>
              <w:left w:val="single" w:sz="4" w:space="0" w:color="auto"/>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CARE</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8,622</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20.6%</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2,654</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19.7%</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11,276</w:t>
            </w:r>
          </w:p>
        </w:tc>
        <w:tc>
          <w:tcPr>
            <w:tcW w:w="1080" w:type="dxa"/>
            <w:tcBorders>
              <w:top w:val="nil"/>
              <w:left w:val="nil"/>
              <w:bottom w:val="single" w:sz="4" w:space="0" w:color="auto"/>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20.4%</w:t>
            </w:r>
          </w:p>
        </w:tc>
      </w:tr>
      <w:tr w:rsidR="00785F70" w:rsidRPr="00F915F4" w:rsidTr="00084DA8">
        <w:trPr>
          <w:trHeight w:val="300"/>
          <w:jc w:val="center"/>
        </w:trPr>
        <w:tc>
          <w:tcPr>
            <w:tcW w:w="2942" w:type="dxa"/>
            <w:tcBorders>
              <w:top w:val="nil"/>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Avg. kW</w:t>
            </w:r>
            <w:r>
              <w:rPr>
                <w:rStyle w:val="FootnoteReference"/>
                <w:rFonts w:ascii="Arial" w:eastAsia="Times New Roman" w:hAnsi="Arial" w:cs="Arial"/>
                <w:color w:val="000000"/>
                <w:sz w:val="18"/>
                <w:szCs w:val="18"/>
                <w:lang w:eastAsia="ko-KR"/>
              </w:rPr>
              <w:footnoteReference w:id="1"/>
            </w:r>
            <w:r w:rsidRPr="00F915F4">
              <w:rPr>
                <w:rFonts w:ascii="Arial" w:eastAsia="Times New Roman" w:hAnsi="Arial" w:cs="Arial"/>
                <w:color w:val="000000"/>
                <w:sz w:val="18"/>
                <w:szCs w:val="18"/>
                <w:lang w:eastAsia="ko-KR"/>
              </w:rPr>
              <w:t xml:space="preserve"> Less than 1 kW</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27,607</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65.9%</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8,810</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65.3%</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36,417</w:t>
            </w:r>
          </w:p>
        </w:tc>
        <w:tc>
          <w:tcPr>
            <w:tcW w:w="1080" w:type="dxa"/>
            <w:tcBorders>
              <w:top w:val="nil"/>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65.8%</w:t>
            </w:r>
          </w:p>
        </w:tc>
      </w:tr>
      <w:tr w:rsidR="00785F70" w:rsidRPr="00F915F4" w:rsidTr="00084DA8">
        <w:trPr>
          <w:trHeight w:val="300"/>
          <w:jc w:val="center"/>
        </w:trPr>
        <w:tc>
          <w:tcPr>
            <w:tcW w:w="2942" w:type="dxa"/>
            <w:tcBorders>
              <w:top w:val="nil"/>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Avg. kW More than 1 kW</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14,263</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34.1%</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4,685</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34.7%</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18,948</w:t>
            </w:r>
          </w:p>
        </w:tc>
        <w:tc>
          <w:tcPr>
            <w:tcW w:w="1080" w:type="dxa"/>
            <w:tcBorders>
              <w:top w:val="nil"/>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34.2%</w:t>
            </w:r>
          </w:p>
        </w:tc>
      </w:tr>
      <w:tr w:rsidR="00785F70" w:rsidRPr="00F915F4" w:rsidTr="00084DA8">
        <w:trPr>
          <w:trHeight w:val="300"/>
          <w:jc w:val="center"/>
        </w:trPr>
        <w:tc>
          <w:tcPr>
            <w:tcW w:w="2942" w:type="dxa"/>
            <w:tcBorders>
              <w:top w:val="single" w:sz="4" w:space="0" w:color="auto"/>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 xml:space="preserve">Notification Type </w:t>
            </w:r>
            <w:r>
              <w:rPr>
                <w:rFonts w:ascii="Arial" w:eastAsia="Times New Roman" w:hAnsi="Arial" w:cs="Arial"/>
                <w:color w:val="000000"/>
                <w:sz w:val="18"/>
                <w:szCs w:val="18"/>
                <w:lang w:eastAsia="ko-KR"/>
              </w:rPr>
              <w:t>–</w:t>
            </w:r>
            <w:r w:rsidRPr="00F915F4">
              <w:rPr>
                <w:rFonts w:ascii="Arial" w:eastAsia="Times New Roman" w:hAnsi="Arial" w:cs="Arial"/>
                <w:color w:val="000000"/>
                <w:sz w:val="18"/>
                <w:szCs w:val="18"/>
                <w:lang w:eastAsia="ko-KR"/>
              </w:rPr>
              <w:t xml:space="preserve"> Email</w:t>
            </w:r>
            <w:r>
              <w:rPr>
                <w:rFonts w:ascii="Arial" w:eastAsia="Times New Roman" w:hAnsi="Arial" w:cs="Arial"/>
                <w:color w:val="000000"/>
                <w:sz w:val="18"/>
                <w:szCs w:val="18"/>
                <w:lang w:eastAsia="ko-KR"/>
              </w:rPr>
              <w:t xml:space="preserve"> Only</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25,851</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61.7%</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6,723</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49.8%</w:t>
            </w:r>
          </w:p>
        </w:tc>
        <w:tc>
          <w:tcPr>
            <w:tcW w:w="1080" w:type="dxa"/>
            <w:tcBorders>
              <w:top w:val="single" w:sz="4" w:space="0" w:color="auto"/>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32,574</w:t>
            </w:r>
          </w:p>
        </w:tc>
        <w:tc>
          <w:tcPr>
            <w:tcW w:w="1080" w:type="dxa"/>
            <w:tcBorders>
              <w:top w:val="single" w:sz="4" w:space="0" w:color="auto"/>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58.8%</w:t>
            </w:r>
          </w:p>
        </w:tc>
      </w:tr>
      <w:tr w:rsidR="00785F70" w:rsidRPr="00F915F4" w:rsidTr="00084DA8">
        <w:trPr>
          <w:trHeight w:val="300"/>
          <w:jc w:val="center"/>
        </w:trPr>
        <w:tc>
          <w:tcPr>
            <w:tcW w:w="2942" w:type="dxa"/>
            <w:tcBorders>
              <w:top w:val="nil"/>
              <w:left w:val="single" w:sz="4" w:space="0" w:color="auto"/>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 xml:space="preserve">Notification Type </w:t>
            </w:r>
            <w:r>
              <w:rPr>
                <w:rFonts w:ascii="Arial" w:eastAsia="Times New Roman" w:hAnsi="Arial" w:cs="Arial"/>
                <w:color w:val="000000"/>
                <w:sz w:val="18"/>
                <w:szCs w:val="18"/>
                <w:lang w:eastAsia="ko-KR"/>
              </w:rPr>
              <w:t>–</w:t>
            </w:r>
            <w:r w:rsidRPr="00F915F4">
              <w:rPr>
                <w:rFonts w:ascii="Arial" w:eastAsia="Times New Roman" w:hAnsi="Arial" w:cs="Arial"/>
                <w:color w:val="000000"/>
                <w:sz w:val="18"/>
                <w:szCs w:val="18"/>
                <w:lang w:eastAsia="ko-KR"/>
              </w:rPr>
              <w:t xml:space="preserve"> Text</w:t>
            </w:r>
            <w:r>
              <w:rPr>
                <w:rFonts w:ascii="Arial" w:eastAsia="Times New Roman" w:hAnsi="Arial" w:cs="Arial"/>
                <w:color w:val="000000"/>
                <w:sz w:val="18"/>
                <w:szCs w:val="18"/>
                <w:lang w:eastAsia="ko-KR"/>
              </w:rPr>
              <w:t xml:space="preserve"> Only</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6,076</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14.5%</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2,930</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21.7%</w:t>
            </w:r>
          </w:p>
        </w:tc>
        <w:tc>
          <w:tcPr>
            <w:tcW w:w="1080" w:type="dxa"/>
            <w:tcBorders>
              <w:top w:val="nil"/>
              <w:left w:val="nil"/>
              <w:bottom w:val="nil"/>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9,006</w:t>
            </w:r>
          </w:p>
        </w:tc>
        <w:tc>
          <w:tcPr>
            <w:tcW w:w="1080" w:type="dxa"/>
            <w:tcBorders>
              <w:top w:val="nil"/>
              <w:left w:val="nil"/>
              <w:bottom w:val="nil"/>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16.3%</w:t>
            </w:r>
          </w:p>
        </w:tc>
      </w:tr>
      <w:tr w:rsidR="00785F70" w:rsidRPr="00F915F4" w:rsidTr="00084DA8">
        <w:trPr>
          <w:trHeight w:val="300"/>
          <w:jc w:val="center"/>
        </w:trPr>
        <w:tc>
          <w:tcPr>
            <w:tcW w:w="2942" w:type="dxa"/>
            <w:tcBorders>
              <w:top w:val="nil"/>
              <w:left w:val="single" w:sz="4" w:space="0" w:color="auto"/>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lang w:eastAsia="ko-KR"/>
              </w:rPr>
              <w:t>Notification Type - Both</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9,943</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23.7%</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3,842</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28.5%</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13,785</w:t>
            </w:r>
          </w:p>
        </w:tc>
        <w:tc>
          <w:tcPr>
            <w:tcW w:w="1080" w:type="dxa"/>
            <w:tcBorders>
              <w:top w:val="nil"/>
              <w:left w:val="nil"/>
              <w:bottom w:val="single" w:sz="4" w:space="0" w:color="auto"/>
              <w:right w:val="single" w:sz="4" w:space="0" w:color="auto"/>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color w:val="000000"/>
                <w:sz w:val="18"/>
                <w:szCs w:val="18"/>
              </w:rPr>
            </w:pPr>
            <w:r w:rsidRPr="00F915F4">
              <w:rPr>
                <w:rFonts w:ascii="Arial" w:eastAsia="Times New Roman" w:hAnsi="Arial" w:cs="Arial"/>
                <w:color w:val="000000"/>
                <w:sz w:val="18"/>
                <w:szCs w:val="18"/>
              </w:rPr>
              <w:t>24.9%</w:t>
            </w:r>
          </w:p>
        </w:tc>
      </w:tr>
      <w:tr w:rsidR="00785F70" w:rsidRPr="00F915F4" w:rsidTr="00084DA8">
        <w:trPr>
          <w:trHeight w:val="300"/>
          <w:jc w:val="center"/>
        </w:trPr>
        <w:tc>
          <w:tcPr>
            <w:tcW w:w="2942" w:type="dxa"/>
            <w:tcBorders>
              <w:top w:val="nil"/>
              <w:left w:val="single" w:sz="4" w:space="0" w:color="auto"/>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b/>
                <w:bCs/>
                <w:color w:val="000000"/>
                <w:sz w:val="18"/>
                <w:szCs w:val="18"/>
              </w:rPr>
            </w:pPr>
            <w:r w:rsidRPr="00F915F4">
              <w:rPr>
                <w:rFonts w:ascii="Arial" w:eastAsia="Times New Roman" w:hAnsi="Arial" w:cs="Arial"/>
                <w:b/>
                <w:bCs/>
                <w:color w:val="000000"/>
                <w:sz w:val="18"/>
                <w:szCs w:val="18"/>
                <w:lang w:eastAsia="ko-KR"/>
              </w:rPr>
              <w:t>All Customers</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b/>
                <w:bCs/>
                <w:color w:val="000000"/>
                <w:sz w:val="18"/>
                <w:szCs w:val="18"/>
              </w:rPr>
            </w:pPr>
            <w:r w:rsidRPr="00F915F4">
              <w:rPr>
                <w:rFonts w:ascii="Arial" w:eastAsia="Times New Roman" w:hAnsi="Arial" w:cs="Arial"/>
                <w:b/>
                <w:bCs/>
                <w:color w:val="000000"/>
                <w:sz w:val="18"/>
                <w:szCs w:val="18"/>
              </w:rPr>
              <w:t>41,870</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FD21EB" w:rsidP="00084DA8">
            <w:pPr>
              <w:spacing w:after="0" w:line="240" w:lineRule="auto"/>
              <w:jc w:val="center"/>
              <w:rPr>
                <w:rFonts w:ascii="Arial" w:eastAsia="Times New Roman" w:hAnsi="Arial" w:cs="Arial"/>
                <w:b/>
                <w:bCs/>
                <w:color w:val="000000"/>
                <w:sz w:val="18"/>
                <w:szCs w:val="18"/>
              </w:rPr>
            </w:pPr>
            <w:r>
              <w:t>–</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b/>
                <w:bCs/>
                <w:color w:val="000000"/>
                <w:sz w:val="18"/>
                <w:szCs w:val="18"/>
              </w:rPr>
            </w:pPr>
            <w:r w:rsidRPr="00F915F4">
              <w:rPr>
                <w:rFonts w:ascii="Arial" w:eastAsia="Times New Roman" w:hAnsi="Arial" w:cs="Arial"/>
                <w:b/>
                <w:bCs/>
                <w:color w:val="000000"/>
                <w:sz w:val="18"/>
                <w:szCs w:val="18"/>
              </w:rPr>
              <w:t>13,495</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FD21EB" w:rsidP="00084DA8">
            <w:pPr>
              <w:spacing w:after="0" w:line="240" w:lineRule="auto"/>
              <w:jc w:val="center"/>
              <w:rPr>
                <w:rFonts w:ascii="Arial" w:eastAsia="Times New Roman" w:hAnsi="Arial" w:cs="Arial"/>
                <w:b/>
                <w:bCs/>
                <w:color w:val="000000"/>
                <w:sz w:val="18"/>
                <w:szCs w:val="18"/>
              </w:rPr>
            </w:pPr>
            <w:r>
              <w:t>–</w:t>
            </w:r>
          </w:p>
        </w:tc>
        <w:tc>
          <w:tcPr>
            <w:tcW w:w="1080" w:type="dxa"/>
            <w:tcBorders>
              <w:top w:val="nil"/>
              <w:left w:val="nil"/>
              <w:bottom w:val="single" w:sz="4" w:space="0" w:color="auto"/>
              <w:right w:val="nil"/>
            </w:tcBorders>
            <w:shd w:val="clear" w:color="auto" w:fill="auto"/>
            <w:noWrap/>
            <w:vAlign w:val="center"/>
            <w:hideMark/>
          </w:tcPr>
          <w:p w:rsidR="00785F70" w:rsidRPr="00F915F4" w:rsidRDefault="00785F70" w:rsidP="00084DA8">
            <w:pPr>
              <w:spacing w:after="0" w:line="240" w:lineRule="auto"/>
              <w:jc w:val="center"/>
              <w:rPr>
                <w:rFonts w:ascii="Arial" w:eastAsia="Times New Roman" w:hAnsi="Arial" w:cs="Arial"/>
                <w:b/>
                <w:bCs/>
                <w:color w:val="000000"/>
                <w:sz w:val="18"/>
                <w:szCs w:val="18"/>
              </w:rPr>
            </w:pPr>
            <w:r w:rsidRPr="00F915F4">
              <w:rPr>
                <w:rFonts w:ascii="Arial" w:eastAsia="Times New Roman" w:hAnsi="Arial" w:cs="Arial"/>
                <w:b/>
                <w:bCs/>
                <w:color w:val="000000"/>
                <w:sz w:val="18"/>
                <w:szCs w:val="18"/>
              </w:rPr>
              <w:t>55,365</w:t>
            </w:r>
          </w:p>
        </w:tc>
        <w:tc>
          <w:tcPr>
            <w:tcW w:w="1080" w:type="dxa"/>
            <w:tcBorders>
              <w:top w:val="nil"/>
              <w:left w:val="nil"/>
              <w:bottom w:val="single" w:sz="4" w:space="0" w:color="auto"/>
              <w:right w:val="single" w:sz="4" w:space="0" w:color="auto"/>
            </w:tcBorders>
            <w:shd w:val="clear" w:color="auto" w:fill="auto"/>
            <w:noWrap/>
            <w:vAlign w:val="center"/>
            <w:hideMark/>
          </w:tcPr>
          <w:p w:rsidR="00785F70" w:rsidRPr="00F915F4" w:rsidRDefault="00FD21EB" w:rsidP="00084DA8">
            <w:pPr>
              <w:spacing w:after="0" w:line="240" w:lineRule="auto"/>
              <w:jc w:val="center"/>
              <w:rPr>
                <w:rFonts w:ascii="Arial" w:eastAsia="Times New Roman" w:hAnsi="Arial" w:cs="Arial"/>
                <w:b/>
                <w:bCs/>
                <w:color w:val="000000"/>
                <w:sz w:val="18"/>
                <w:szCs w:val="18"/>
              </w:rPr>
            </w:pPr>
            <w:r>
              <w:t>–</w:t>
            </w:r>
          </w:p>
        </w:tc>
      </w:tr>
    </w:tbl>
    <w:p w:rsidR="00230E4D" w:rsidRDefault="00230E4D" w:rsidP="00230E4D">
      <w:pPr>
        <w:pStyle w:val="Heading2"/>
        <w:spacing w:before="360"/>
      </w:pPr>
      <w:bookmarkStart w:id="10" w:name="_Toc383447563"/>
      <w:r>
        <w:t>Overview of the SCTD Program</w:t>
      </w:r>
      <w:bookmarkEnd w:id="10"/>
    </w:p>
    <w:p w:rsidR="00230E4D" w:rsidRDefault="00230E4D" w:rsidP="00230E4D">
      <w:pPr>
        <w:pStyle w:val="BodyParagraph"/>
      </w:pPr>
      <w:r>
        <w:t xml:space="preserve">SCTD is a new demand response (DR) program that provides enabling technology to residential customers at no cost in order to automate load reduction on DR event days.  SDG&amp;E will use </w:t>
      </w:r>
      <w:r w:rsidR="003A4F88">
        <w:t xml:space="preserve">smart meter </w:t>
      </w:r>
      <w:r>
        <w:t>data to identify, market to</w:t>
      </w:r>
      <w:r w:rsidR="00FD21EB">
        <w:t>,</w:t>
      </w:r>
      <w:r>
        <w:t xml:space="preserve"> and install load control devices in the homes of residential customers with significant air conditioning </w:t>
      </w:r>
      <w:r>
        <w:rPr>
          <w:color w:val="000000"/>
        </w:rPr>
        <w:t xml:space="preserve">load.  </w:t>
      </w:r>
      <w:r>
        <w:t>The automated enabling technologies will provide incremental load reduction during DR events and create a technology platform that will support fu</w:t>
      </w:r>
      <w:r w:rsidR="003A4F88">
        <w:t>ture dynamic pricing rate adoption</w:t>
      </w:r>
      <w:r>
        <w:t xml:space="preserve"> for residential and small commercial customers.  Potential </w:t>
      </w:r>
      <w:r>
        <w:rPr>
          <w:color w:val="000000"/>
        </w:rPr>
        <w:t xml:space="preserve">future </w:t>
      </w:r>
      <w:r>
        <w:t xml:space="preserve">end-use loads </w:t>
      </w:r>
      <w:r w:rsidR="00B5112F">
        <w:t xml:space="preserve">for </w:t>
      </w:r>
      <w:r w:rsidR="00B5112F">
        <w:lastRenderedPageBreak/>
        <w:t xml:space="preserve">the SCTD program </w:t>
      </w:r>
      <w:r>
        <w:t>include central air conditioning, refrigeration, lighting, pool pumps and electric water heaters.  In addition to providing deeper load reductions, the SCTD program is designed to increase the number of vendors capable of these installations and, over time, SDG&amp;E expects that the SCTD program will influence technology solutions that are simple enough for the average home owner or renter to install and utilize during a DR event.</w:t>
      </w:r>
    </w:p>
    <w:p w:rsidR="00230E4D" w:rsidRPr="00230E4D" w:rsidRDefault="00230E4D" w:rsidP="00230E4D">
      <w:pPr>
        <w:pStyle w:val="BodyParagraph"/>
      </w:pPr>
      <w:r>
        <w:t xml:space="preserve">In 2014 and 2015, SDG&amp;E plans to deploy over 10,000 PCTs through the SCTD program.  These PCTs will be activated through Wi-Fi and/or </w:t>
      </w:r>
      <w:proofErr w:type="spellStart"/>
      <w:r>
        <w:t>zigbee</w:t>
      </w:r>
      <w:proofErr w:type="spellEnd"/>
      <w:r>
        <w:t xml:space="preserve"> (when possible) communications on PTR event days.  Half of SCTD PCTs will feature a 4-degree temperature setback and the other half will have </w:t>
      </w:r>
      <w:r w:rsidR="00CD4370">
        <w:t xml:space="preserve">a </w:t>
      </w:r>
      <w:r>
        <w:t xml:space="preserve">50% cycling curtailment strategy.  SDG&amp;E plans to curtail load in 4-hour increments on PTR event days.  Although SDG&amp;E has the flexibility to </w:t>
      </w:r>
      <w:r w:rsidR="00FD21EB">
        <w:t xml:space="preserve">curtail load </w:t>
      </w:r>
      <w:r>
        <w:t xml:space="preserve">during any 4-hour period between 11 AM and 6 PM, it is expected that most of the time </w:t>
      </w:r>
      <w:r w:rsidR="00CD4370">
        <w:t>curtailment will occur from 2</w:t>
      </w:r>
      <w:r>
        <w:t xml:space="preserve"> to 6 PM.  SDG&amp;E plans to market the SCTD program to 190,000 targeted customers with usage patterns that indicate that they have an air conditioner and use it during peak periods.</w:t>
      </w:r>
    </w:p>
    <w:p w:rsidR="00785F70" w:rsidRDefault="00785F70" w:rsidP="00230E4D">
      <w:pPr>
        <w:pStyle w:val="Heading2"/>
      </w:pPr>
      <w:bookmarkStart w:id="11" w:name="_Toc383447564"/>
      <w:r>
        <w:t>Enrollment Forecast</w:t>
      </w:r>
      <w:bookmarkEnd w:id="11"/>
    </w:p>
    <w:p w:rsidR="00785F70" w:rsidRDefault="00785F70" w:rsidP="00785F70">
      <w:pPr>
        <w:pStyle w:val="BodyParagraph"/>
      </w:pPr>
      <w:r>
        <w:t xml:space="preserve">SDG&amp;E expects that the </w:t>
      </w:r>
      <w:r w:rsidR="00084DA8">
        <w:t>opt-in PTR</w:t>
      </w:r>
      <w:r>
        <w:t xml:space="preserve"> progra</w:t>
      </w:r>
      <w:r w:rsidRPr="00606FF5">
        <w:rPr>
          <w:rStyle w:val="BodyParagraphChar"/>
        </w:rPr>
        <w:t>m</w:t>
      </w:r>
      <w:r>
        <w:t xml:space="preserve"> will continue to grow.  By the end of summer 2014, the program is projected to grow to more than </w:t>
      </w:r>
      <w:r w:rsidRPr="00606FF5">
        <w:t>73,</w:t>
      </w:r>
      <w:r>
        <w:t xml:space="preserve">000 participants.  This does not include customers that will receive a PCT through the SCTD program.  The enrollment forecast in the </w:t>
      </w:r>
      <w:proofErr w:type="spellStart"/>
      <w:r>
        <w:t>ex ante</w:t>
      </w:r>
      <w:proofErr w:type="spellEnd"/>
      <w:r>
        <w:t xml:space="preserve"> evaluation assumes that the number of PCTs that are deployed through the SCTD program will grow from basically zero devices to 9,500 devices by the end of summer 2014.  By the end of summer 2015, SDG&amp;E projects that there will be a total of 10,500 PCTs deployed through the SCTD program.  These PCTs will be activated during future PTR events.  For the purposes of this report, these </w:t>
      </w:r>
      <w:r w:rsidR="00CD4370">
        <w:t xml:space="preserve">PCT </w:t>
      </w:r>
      <w:r>
        <w:t xml:space="preserve">ex ante impacts are provided separately as part of the SCTD program.  Therefore, the </w:t>
      </w:r>
      <w:r w:rsidR="00084DA8">
        <w:t>opt-in PTR</w:t>
      </w:r>
      <w:r>
        <w:t xml:space="preserve"> ex ante load impact estimates specifically refer to the non-SCTD customers.</w:t>
      </w:r>
    </w:p>
    <w:p w:rsidR="00785F70" w:rsidRDefault="00785F70" w:rsidP="00785F70">
      <w:pPr>
        <w:pStyle w:val="Heading2"/>
      </w:pPr>
      <w:bookmarkStart w:id="12" w:name="_Toc383447565"/>
      <w:r>
        <w:t>Report Organization</w:t>
      </w:r>
      <w:bookmarkEnd w:id="12"/>
    </w:p>
    <w:p w:rsidR="00785F70" w:rsidRDefault="00785F70" w:rsidP="00785F70">
      <w:pPr>
        <w:pStyle w:val="BodyParagraph"/>
      </w:pPr>
      <w:r>
        <w:t xml:space="preserve">The remainder of this report proceeds as follows.  Section 3 summarizes the ex post methods and validation process.  Section 4 provides the ex post results for all customers and for various segments of the </w:t>
      </w:r>
      <w:r w:rsidR="00084DA8">
        <w:t>opt-in PTR</w:t>
      </w:r>
      <w:r>
        <w:t xml:space="preserve"> population.  Section 5 focuses on the </w:t>
      </w:r>
      <w:proofErr w:type="spellStart"/>
      <w:r>
        <w:t>ex ante</w:t>
      </w:r>
      <w:proofErr w:type="spellEnd"/>
      <w:r>
        <w:t xml:space="preserve"> evaluation, including the methodology and results.  Finally, this report concludes with recommendations </w:t>
      </w:r>
      <w:r w:rsidR="006A0886">
        <w:t>for future evaluations</w:t>
      </w:r>
      <w:r>
        <w:t>.</w:t>
      </w:r>
    </w:p>
    <w:p w:rsidR="00785F70" w:rsidRPr="002141EE" w:rsidRDefault="00785F70" w:rsidP="00785F70">
      <w:pPr>
        <w:pStyle w:val="BodyParagraph"/>
      </w:pPr>
      <w:r>
        <w:br w:type="page"/>
      </w:r>
    </w:p>
    <w:p w:rsidR="00785F70" w:rsidRDefault="00785F70" w:rsidP="00785F70">
      <w:pPr>
        <w:pStyle w:val="Heading1"/>
      </w:pPr>
      <w:bookmarkStart w:id="13" w:name="_Toc375842585"/>
      <w:bookmarkStart w:id="14" w:name="_Toc383447566"/>
      <w:r>
        <w:lastRenderedPageBreak/>
        <w:t xml:space="preserve">Ex Post </w:t>
      </w:r>
      <w:r w:rsidRPr="00322266">
        <w:t>Method</w:t>
      </w:r>
      <w:bookmarkEnd w:id="13"/>
      <w:r>
        <w:t>s and Validation</w:t>
      </w:r>
      <w:bookmarkEnd w:id="14"/>
    </w:p>
    <w:p w:rsidR="00785F70" w:rsidRPr="00511CC5" w:rsidRDefault="00785F70" w:rsidP="00785F70">
      <w:pPr>
        <w:pStyle w:val="BodyParagraph"/>
      </w:pPr>
      <w:r w:rsidRPr="00511CC5">
        <w:t xml:space="preserve">Reference loads for the </w:t>
      </w:r>
      <w:r w:rsidR="00084DA8">
        <w:t>opt-in PTR</w:t>
      </w:r>
      <w:r w:rsidRPr="00511CC5">
        <w:t xml:space="preserve"> impact estimates were calculated using a matched control group drawn fr</w:t>
      </w:r>
      <w:r>
        <w:t>om the non-alert PTR population –</w:t>
      </w:r>
      <w:r w:rsidRPr="00511CC5">
        <w:t xml:space="preserve"> a group that</w:t>
      </w:r>
      <w:r>
        <w:t>, on average,</w:t>
      </w:r>
      <w:r w:rsidRPr="00511CC5">
        <w:t xml:space="preserve"> has not provided load impacts in the past</w:t>
      </w:r>
      <w:r>
        <w:t xml:space="preserve"> (and did not show response for the 2013 event either)</w:t>
      </w:r>
      <w:r w:rsidRPr="00511CC5">
        <w:t xml:space="preserve">.  </w:t>
      </w:r>
      <w:r w:rsidR="00C17F73">
        <w:t>In 2013, g</w:t>
      </w:r>
      <w:r>
        <w:t>iven that</w:t>
      </w:r>
      <w:r w:rsidRPr="00511CC5">
        <w:t xml:space="preserve"> email alerts were no longer being sent to </w:t>
      </w:r>
      <w:proofErr w:type="spellStart"/>
      <w:r w:rsidRPr="00511CC5">
        <w:t>MyAccount</w:t>
      </w:r>
      <w:proofErr w:type="spellEnd"/>
      <w:r w:rsidRPr="00511CC5">
        <w:t xml:space="preserve"> customers who had not proactively requested alerts, a large pool of non-alert customers were available for matching in the control group selection.  The control group is designed to ensure that the load on event days is an accurate estimate of what load would have been among opt-in alert customers on </w:t>
      </w:r>
      <w:r>
        <w:t>the</w:t>
      </w:r>
      <w:r w:rsidRPr="00511CC5">
        <w:t xml:space="preserve"> PTR event day</w:t>
      </w:r>
      <w:r>
        <w:t> </w:t>
      </w:r>
      <w:r w:rsidRPr="00511CC5">
        <w:t>had there been no event.</w:t>
      </w:r>
    </w:p>
    <w:p w:rsidR="00785F70" w:rsidRPr="00E45330" w:rsidRDefault="00785F70" w:rsidP="00785F70">
      <w:pPr>
        <w:pStyle w:val="BodyParagraph"/>
      </w:pPr>
      <w:r w:rsidRPr="00E45330">
        <w:t xml:space="preserve">The matched control group method </w:t>
      </w:r>
      <w:r>
        <w:t xml:space="preserve">used for this analysis </w:t>
      </w:r>
      <w:r w:rsidRPr="00E45330">
        <w:t>is superior to a within-subjects analysis because there is a large population of non-</w:t>
      </w:r>
      <w:r>
        <w:t>alert</w:t>
      </w:r>
      <w:r w:rsidRPr="00E45330">
        <w:t xml:space="preserve"> customers to use as a pool for matching and because it eliminates the problem of model misspecification.</w:t>
      </w:r>
      <w:r>
        <w:rPr>
          <w:rStyle w:val="FootnoteReference"/>
        </w:rPr>
        <w:footnoteReference w:id="2"/>
      </w:r>
      <w:r w:rsidRPr="00E45330">
        <w:t xml:space="preserve">  Any reference load model based on loads observed at non-event times requires the modeler to make assumptions about the relationships between load, time and temperature.  If this assumed function does not reflect the true relationships between load, time and temperature, then the model can produce incorrect results.  In contrast, the matched control group automatically deals with this problem by assuming that the customers who behave similarly to </w:t>
      </w:r>
      <w:r w:rsidR="00084DA8">
        <w:t>opt-in PTR</w:t>
      </w:r>
      <w:r w:rsidRPr="00E45330">
        <w:t xml:space="preserve"> customers during non-event periods would also behave similarly during event periods.  This eliminates the need to specify load as a function of weather.</w:t>
      </w:r>
    </w:p>
    <w:p w:rsidR="00785F70" w:rsidRDefault="00785F70" w:rsidP="00785F70">
      <w:pPr>
        <w:pStyle w:val="Heading2"/>
      </w:pPr>
      <w:bookmarkStart w:id="15" w:name="_Toc383447567"/>
      <w:r>
        <w:t>Control Group Selection</w:t>
      </w:r>
      <w:bookmarkEnd w:id="15"/>
    </w:p>
    <w:p w:rsidR="00785F70" w:rsidRPr="00511CC5" w:rsidRDefault="00785F70" w:rsidP="00785F70">
      <w:pPr>
        <w:pStyle w:val="BodyParagraph"/>
      </w:pPr>
      <w:r w:rsidRPr="00511CC5">
        <w:t>The control group was selected using a propensity score match to find non-alert customers who had</w:t>
      </w:r>
      <w:r>
        <w:t> </w:t>
      </w:r>
      <w:r w:rsidRPr="00511CC5">
        <w:t xml:space="preserve">similar load shapes to the </w:t>
      </w:r>
      <w:r w:rsidR="00084DA8">
        <w:t>opt-in PTR</w:t>
      </w:r>
      <w:r w:rsidRPr="00511CC5">
        <w:t xml:space="preserve"> customers.  In this procedure, a </w:t>
      </w:r>
      <w:proofErr w:type="spellStart"/>
      <w:r w:rsidRPr="00511CC5">
        <w:t>probit</w:t>
      </w:r>
      <w:proofErr w:type="spellEnd"/>
      <w:r w:rsidRPr="00511CC5">
        <w:t xml:space="preserve"> model was used to estimate a score for each customer based on a set of observable variables that are assumed to affect the decision to opt into PTR alerts</w:t>
      </w:r>
      <w:r>
        <w:t>,</w:t>
      </w:r>
      <w:r w:rsidRPr="00511CC5">
        <w:t xml:space="preserve"> such as average daily use and hourly use.  A </w:t>
      </w:r>
      <w:proofErr w:type="spellStart"/>
      <w:r w:rsidRPr="00511CC5">
        <w:t>probit</w:t>
      </w:r>
      <w:proofErr w:type="spellEnd"/>
      <w:r w:rsidRPr="00511CC5">
        <w:t xml:space="preserve"> model is a regression model designed to estimate probabilities – in this case, the probability that a customer would opt in or enroll.  The propensity score can be thought of as a summary variable that includes all</w:t>
      </w:r>
      <w:r>
        <w:t> </w:t>
      </w:r>
      <w:r w:rsidRPr="00511CC5">
        <w:t>the relevant information in the observable variables about whether a customer would opt into PTR alerts.  Each customer in the treatment population was matched with a customer in the non-alert population with the closest propensity score.</w:t>
      </w:r>
    </w:p>
    <w:p w:rsidR="00785F70" w:rsidRPr="00511CC5" w:rsidRDefault="00785F70" w:rsidP="00785F70">
      <w:pPr>
        <w:pStyle w:val="BodyParagraph"/>
      </w:pPr>
      <w:r>
        <w:t>Figure 3</w:t>
      </w:r>
      <w:r w:rsidRPr="00511CC5">
        <w:t>-1 displays the average load shapes of treatment customers for the nine Saturdays with the</w:t>
      </w:r>
      <w:r>
        <w:t> </w:t>
      </w:r>
      <w:r w:rsidRPr="00511CC5">
        <w:t>highest system loads in 2013 as well as the 2013 PTR event day</w:t>
      </w:r>
      <w:r>
        <w:t>, which is</w:t>
      </w:r>
      <w:r w:rsidRPr="00511CC5">
        <w:t xml:space="preserve"> marked with orange squares</w:t>
      </w:r>
      <w:r>
        <w:t xml:space="preserve"> in the figure</w:t>
      </w:r>
      <w:r w:rsidRPr="00511CC5">
        <w:t>.  June 29, 2013 and September 7, 2013 were ultimately chosen as the event</w:t>
      </w:r>
      <w:r>
        <w:t>-</w:t>
      </w:r>
      <w:r w:rsidRPr="00511CC5">
        <w:t>like days used in the</w:t>
      </w:r>
      <w:r>
        <w:t> </w:t>
      </w:r>
      <w:r w:rsidRPr="00511CC5">
        <w:t>match</w:t>
      </w:r>
      <w:r>
        <w:t>ing analysis</w:t>
      </w:r>
      <w:r w:rsidRPr="00511CC5">
        <w:t xml:space="preserve">. </w:t>
      </w:r>
      <w:r>
        <w:t xml:space="preserve"> </w:t>
      </w:r>
      <w:r w:rsidRPr="00511CC5">
        <w:t xml:space="preserve">As </w:t>
      </w:r>
      <w:r>
        <w:t>shown</w:t>
      </w:r>
      <w:r w:rsidRPr="00511CC5">
        <w:t xml:space="preserve"> in </w:t>
      </w:r>
      <w:r>
        <w:t>F</w:t>
      </w:r>
      <w:r w:rsidRPr="00511CC5">
        <w:t>igure</w:t>
      </w:r>
      <w:r>
        <w:t xml:space="preserve"> </w:t>
      </w:r>
      <w:r w:rsidR="00FD21EB">
        <w:t>3</w:t>
      </w:r>
      <w:r>
        <w:t>-1</w:t>
      </w:r>
      <w:r w:rsidRPr="00511CC5">
        <w:t>, only those two days have loads remotely close to actual event</w:t>
      </w:r>
      <w:r>
        <w:t>-day levels.</w:t>
      </w:r>
    </w:p>
    <w:p w:rsidR="00785F70" w:rsidRDefault="00785F70" w:rsidP="00785F70">
      <w:pPr>
        <w:pStyle w:val="TableFigureCaption"/>
      </w:pPr>
      <w:r>
        <w:lastRenderedPageBreak/>
        <w:t xml:space="preserve">Figure 3-1: 2013 Event Day and Other High System Load Saturdays </w:t>
      </w:r>
    </w:p>
    <w:p w:rsidR="00785F70" w:rsidRDefault="00785F70" w:rsidP="00785F70">
      <w:pPr>
        <w:pStyle w:val="BodyParagraph"/>
      </w:pPr>
      <w:r w:rsidRPr="0013251D">
        <w:rPr>
          <w:noProof/>
        </w:rPr>
        <w:drawing>
          <wp:inline distT="0" distB="0" distL="0" distR="0" wp14:anchorId="4CF65055" wp14:editId="2074ADC3">
            <wp:extent cx="5944529" cy="2865863"/>
            <wp:effectExtent l="19050" t="0" r="18121"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5F70" w:rsidRPr="00797464" w:rsidRDefault="00785F70" w:rsidP="00785F70">
      <w:pPr>
        <w:pStyle w:val="BodyParaAfterTableFigure"/>
        <w:rPr>
          <w:b/>
          <w:highlight w:val="yellow"/>
        </w:rPr>
      </w:pPr>
      <w:r w:rsidRPr="00542F86">
        <w:t xml:space="preserve">The match </w:t>
      </w:r>
      <w:r>
        <w:t>was</w:t>
      </w:r>
      <w:r w:rsidRPr="00542F86">
        <w:t xml:space="preserve"> performed within each climate zone</w:t>
      </w:r>
      <w:r>
        <w:t xml:space="preserve"> and each quintile of overall usage, meaning a treatment customer could only be matched with a </w:t>
      </w:r>
      <w:r w:rsidRPr="00542F86">
        <w:t>customer in t</w:t>
      </w:r>
      <w:r>
        <w:t>he non-alert population within the same climate zone and usage stratum.  The five usage quintiles were determined using overall usage levels on the chosen event-like days. The four SDG&amp;E climate z</w:t>
      </w:r>
      <w:r w:rsidRPr="00B26825">
        <w:t xml:space="preserve">ones </w:t>
      </w:r>
      <w:r>
        <w:t xml:space="preserve">were aggregated into two climate zones – </w:t>
      </w:r>
      <w:r w:rsidRPr="00B26825">
        <w:t xml:space="preserve">coastal and inland.  Average daily use </w:t>
      </w:r>
      <w:r>
        <w:t>and average usage for each of the hours between 11 AM and 9 PM on event-like days were used as matching variables in the propensity score model.  Additional</w:t>
      </w:r>
      <w:r w:rsidRPr="00E050BA">
        <w:t xml:space="preserve"> matches were tested based on different sets of hours as well as other </w:t>
      </w:r>
      <w:r>
        <w:t>stratifying variables</w:t>
      </w:r>
      <w:r w:rsidRPr="00E050BA">
        <w:t xml:space="preserve"> such as Summer Saver enrollment</w:t>
      </w:r>
      <w:r>
        <w:t>, but these matching specifications were ultimately not chosen because the model validation showed that those variables did not improve accuracy</w:t>
      </w:r>
      <w:r w:rsidRPr="00E050BA">
        <w:t xml:space="preserve">.  </w:t>
      </w:r>
      <w:r>
        <w:t>All matching specifications</w:t>
      </w:r>
      <w:r w:rsidRPr="00E050BA">
        <w:t xml:space="preserve"> </w:t>
      </w:r>
      <w:r>
        <w:t>were validated</w:t>
      </w:r>
      <w:r w:rsidRPr="00E050BA">
        <w:t xml:space="preserve"> </w:t>
      </w:r>
      <w:r>
        <w:t>using</w:t>
      </w:r>
      <w:r w:rsidRPr="00E050BA">
        <w:t xml:space="preserve"> out</w:t>
      </w:r>
      <w:r>
        <w:t>-</w:t>
      </w:r>
      <w:r w:rsidRPr="00E050BA">
        <w:t>of</w:t>
      </w:r>
      <w:r>
        <w:t>-sample testing in which</w:t>
      </w:r>
      <w:r>
        <w:rPr>
          <w:b/>
        </w:rPr>
        <w:t xml:space="preserve"> </w:t>
      </w:r>
      <w:r w:rsidRPr="00797464">
        <w:t xml:space="preserve">September 7, 2013 was omitted from the match so that control and treatment group usage could be compared </w:t>
      </w:r>
      <w:r>
        <w:t>for</w:t>
      </w:r>
      <w:r w:rsidRPr="00797464">
        <w:t xml:space="preserve"> that day.</w:t>
      </w:r>
      <w:r>
        <w:rPr>
          <w:b/>
        </w:rPr>
        <w:t xml:space="preserve">  </w:t>
      </w:r>
      <w:r w:rsidRPr="00EB0EE4">
        <w:t xml:space="preserve">If the two </w:t>
      </w:r>
      <w:r>
        <w:t xml:space="preserve">groups have similar usage on </w:t>
      </w:r>
      <w:r w:rsidRPr="00EB0EE4">
        <w:t>event</w:t>
      </w:r>
      <w:r>
        <w:t xml:space="preserve">-like </w:t>
      </w:r>
      <w:r w:rsidRPr="00EB0EE4">
        <w:t>days, then it is likely that the control group’s usage is an accurate estimate of event</w:t>
      </w:r>
      <w:r>
        <w:t>-</w:t>
      </w:r>
      <w:r w:rsidRPr="00EB0EE4">
        <w:t>day reference load</w:t>
      </w:r>
      <w:r w:rsidRPr="00FD036D">
        <w:t>.</w:t>
      </w:r>
      <w:r>
        <w:t xml:space="preserve"> </w:t>
      </w:r>
      <w:r w:rsidRPr="00FD036D">
        <w:t xml:space="preserve"> </w:t>
      </w:r>
      <w:r>
        <w:t>Figure 3</w:t>
      </w:r>
      <w:r w:rsidRPr="00FD036D">
        <w:t>-2 shows average hourly usage for both groups on event</w:t>
      </w:r>
      <w:r>
        <w:t>-</w:t>
      </w:r>
      <w:r w:rsidRPr="00FD036D">
        <w:t>like days</w:t>
      </w:r>
      <w:r>
        <w:t>.  O</w:t>
      </w:r>
      <w:r w:rsidRPr="00FD036D">
        <w:t>ver the event period (11</w:t>
      </w:r>
      <w:r>
        <w:t> </w:t>
      </w:r>
      <w:r w:rsidRPr="00FD036D">
        <w:t>A</w:t>
      </w:r>
      <w:r w:rsidR="003D5620">
        <w:t xml:space="preserve">M to </w:t>
      </w:r>
      <w:r w:rsidRPr="00FD036D">
        <w:t xml:space="preserve">6 PM), usage </w:t>
      </w:r>
      <w:r>
        <w:t>wa</w:t>
      </w:r>
      <w:r w:rsidRPr="00FD036D">
        <w:t xml:space="preserve">s very similar between the two groups, with a difference of about </w:t>
      </w:r>
      <w:r>
        <w:t>0</w:t>
      </w:r>
      <w:r w:rsidRPr="00FD036D">
        <w:t>.8%, on</w:t>
      </w:r>
      <w:r>
        <w:t> </w:t>
      </w:r>
      <w:r w:rsidRPr="00FD036D">
        <w:t>average.</w:t>
      </w:r>
    </w:p>
    <w:p w:rsidR="00785F70" w:rsidRPr="00EB0EE4" w:rsidRDefault="00785F70" w:rsidP="00785F70">
      <w:pPr>
        <w:pStyle w:val="TableFigureCaption"/>
      </w:pPr>
      <w:r>
        <w:lastRenderedPageBreak/>
        <w:t>Figure 3-2</w:t>
      </w:r>
      <w:r w:rsidRPr="00EB0EE4">
        <w:t>: Validation o</w:t>
      </w:r>
      <w:r>
        <w:t>f Matched Control Group for 2013</w:t>
      </w:r>
      <w:r w:rsidRPr="00EB0EE4">
        <w:t xml:space="preserve"> </w:t>
      </w:r>
      <w:r>
        <w:t>PTR Load Impact Estimation</w:t>
      </w:r>
      <w:r w:rsidRPr="00EB0EE4">
        <w:br/>
        <w:t xml:space="preserve">Average Usage on </w:t>
      </w:r>
      <w:r>
        <w:t>Event-like</w:t>
      </w:r>
      <w:r w:rsidRPr="00EB0EE4">
        <w:t xml:space="preserve"> Days for </w:t>
      </w:r>
      <w:r>
        <w:t>PTR</w:t>
      </w:r>
      <w:r w:rsidRPr="00EB0EE4">
        <w:t xml:space="preserve"> Customers and Control Group</w:t>
      </w:r>
    </w:p>
    <w:p w:rsidR="00785F70" w:rsidRPr="00D1215C" w:rsidRDefault="00785F70" w:rsidP="00785F70">
      <w:pPr>
        <w:pStyle w:val="BodyParagraph"/>
        <w:jc w:val="center"/>
        <w:rPr>
          <w:highlight w:val="yellow"/>
        </w:rPr>
      </w:pPr>
      <w:r w:rsidRPr="009340C2">
        <w:rPr>
          <w:noProof/>
        </w:rPr>
        <w:drawing>
          <wp:inline distT="0" distB="0" distL="0" distR="0" wp14:anchorId="373AE65C" wp14:editId="69A42D1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5F70" w:rsidRDefault="00785F70" w:rsidP="00785F70">
      <w:pPr>
        <w:pStyle w:val="Heading2"/>
      </w:pPr>
      <w:bookmarkStart w:id="16" w:name="_Toc383447568"/>
      <w:r>
        <w:t>Estimating Ex Post Load Impacts</w:t>
      </w:r>
      <w:bookmarkEnd w:id="16"/>
    </w:p>
    <w:p w:rsidR="00785F70" w:rsidRPr="00542F86" w:rsidRDefault="00785F70" w:rsidP="00785F70">
      <w:pPr>
        <w:pStyle w:val="BodyParagraph"/>
      </w:pPr>
      <w:r>
        <w:t>After</w:t>
      </w:r>
      <w:r w:rsidRPr="00542F86">
        <w:t xml:space="preserve"> the control groups for opt-in alert customers </w:t>
      </w:r>
      <w:r>
        <w:t>we</w:t>
      </w:r>
      <w:r w:rsidRPr="00542F86">
        <w:t xml:space="preserve">re matched and validated, load impacts </w:t>
      </w:r>
      <w:r>
        <w:t xml:space="preserve">were </w:t>
      </w:r>
      <w:r w:rsidRPr="00542F86">
        <w:t xml:space="preserve">estimated using a difference-in-differences methodology.  </w:t>
      </w:r>
      <w:r>
        <w:t xml:space="preserve">Nexant </w:t>
      </w:r>
      <w:r w:rsidRPr="00542F86">
        <w:t>calculate</w:t>
      </w:r>
      <w:r>
        <w:t>d</w:t>
      </w:r>
      <w:r w:rsidRPr="00542F86">
        <w:t xml:space="preserve"> the estimated impacts as the difference in average loads between </w:t>
      </w:r>
      <w:r w:rsidR="00084DA8">
        <w:t>opt-in PTR</w:t>
      </w:r>
      <w:r w:rsidRPr="00542F86">
        <w:t xml:space="preserve"> and control customers on </w:t>
      </w:r>
      <w:r>
        <w:t xml:space="preserve">the August 31 </w:t>
      </w:r>
      <w:r w:rsidRPr="00542F86">
        <w:t>event day</w:t>
      </w:r>
      <w:r>
        <w:t xml:space="preserve">, with the slight </w:t>
      </w:r>
      <w:r w:rsidRPr="00542F86">
        <w:t xml:space="preserve">difference between the two groups on </w:t>
      </w:r>
      <w:r>
        <w:t>the chosen event-like</w:t>
      </w:r>
      <w:r w:rsidRPr="00542F86">
        <w:t xml:space="preserve"> days</w:t>
      </w:r>
      <w:r>
        <w:t xml:space="preserve"> removed</w:t>
      </w:r>
      <w:r w:rsidRPr="00542F86">
        <w:t>.  This calculation controls for residual differences in load between the groups that are not eliminated through the matching process, thus reducing bias.  In the following discussion, this process is framed as an adjustment to control group usage</w:t>
      </w:r>
      <w:r>
        <w:t xml:space="preserve">, </w:t>
      </w:r>
      <w:r w:rsidRPr="00542F86">
        <w:t xml:space="preserve">preserving the reference load framework </w:t>
      </w:r>
      <w:r>
        <w:t>as well as the</w:t>
      </w:r>
      <w:r w:rsidRPr="00542F86">
        <w:t xml:space="preserve"> ability to integrate results into a format that is compliant with the Load Impact Protocols (i.e., hourly tables with reference loads and load with DR), while still </w:t>
      </w:r>
      <w:r w:rsidR="00E81E4F">
        <w:t>taking advantage</w:t>
      </w:r>
      <w:r w:rsidRPr="00542F86">
        <w:t xml:space="preserve"> of</w:t>
      </w:r>
      <w:r>
        <w:t> </w:t>
      </w:r>
      <w:r w:rsidRPr="00542F86">
        <w:t>the difference-in-differences methodology.</w:t>
      </w:r>
    </w:p>
    <w:p w:rsidR="00785F70" w:rsidRPr="00542F86" w:rsidRDefault="00785F70" w:rsidP="00785F70">
      <w:pPr>
        <w:pStyle w:val="BodyParagraph"/>
      </w:pPr>
      <w:r>
        <w:t>Figure 3-3</w:t>
      </w:r>
      <w:r w:rsidRPr="00542F86">
        <w:t xml:space="preserve"> illustrates the adjustment process </w:t>
      </w:r>
      <w:r>
        <w:t>for the single 2013</w:t>
      </w:r>
      <w:r w:rsidRPr="00542F86">
        <w:t xml:space="preserve"> </w:t>
      </w:r>
      <w:r>
        <w:t xml:space="preserve">PTR event.  </w:t>
      </w:r>
      <w:r w:rsidRPr="00542F86">
        <w:t xml:space="preserve">The solid blue line shows the unadjusted control group usage and the </w:t>
      </w:r>
      <w:r>
        <w:t>dashed light blue line shows the adjusted control group usage</w:t>
      </w:r>
      <w:r w:rsidRPr="00542F86">
        <w:t xml:space="preserve">.  As </w:t>
      </w:r>
      <w:r>
        <w:t>F</w:t>
      </w:r>
      <w:r w:rsidRPr="00542F86">
        <w:t>igure</w:t>
      </w:r>
      <w:r>
        <w:t xml:space="preserve"> 3-3</w:t>
      </w:r>
      <w:r w:rsidRPr="00542F86">
        <w:t xml:space="preserve"> shows, the adjustment was quite modest and the adjusted control group usage</w:t>
      </w:r>
      <w:r>
        <w:t xml:space="preserve"> </w:t>
      </w:r>
      <w:r w:rsidRPr="00542F86">
        <w:t xml:space="preserve">provided a highly plausible reference load from which to estimate </w:t>
      </w:r>
      <w:r>
        <w:t xml:space="preserve">PTR load impacts for the </w:t>
      </w:r>
      <w:r w:rsidRPr="00542F86">
        <w:t>event day.</w:t>
      </w:r>
    </w:p>
    <w:p w:rsidR="00785F70" w:rsidRPr="00511CC5" w:rsidRDefault="00785F70" w:rsidP="00785F70">
      <w:pPr>
        <w:pStyle w:val="TableFigureCaption"/>
      </w:pPr>
      <w:r>
        <w:lastRenderedPageBreak/>
        <w:t>Figure 3</w:t>
      </w:r>
      <w:r w:rsidRPr="00511CC5">
        <w:t>-3: Control Group Usage Adjustment for August 31, 2013 PTR Event</w:t>
      </w:r>
    </w:p>
    <w:p w:rsidR="00785F70" w:rsidRPr="00D1215C" w:rsidRDefault="00785F70" w:rsidP="00785F70">
      <w:pPr>
        <w:pStyle w:val="BodyParagraph"/>
        <w:jc w:val="center"/>
        <w:rPr>
          <w:highlight w:val="yellow"/>
        </w:rPr>
      </w:pPr>
      <w:r w:rsidRPr="004F3058">
        <w:rPr>
          <w:noProof/>
        </w:rPr>
        <w:drawing>
          <wp:inline distT="0" distB="0" distL="0" distR="0" wp14:anchorId="5A61B041" wp14:editId="70B38799">
            <wp:extent cx="4572000" cy="2743200"/>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5F70" w:rsidRPr="006E6CBC" w:rsidRDefault="00785F70" w:rsidP="00785F70">
      <w:pPr>
        <w:pStyle w:val="BodyParagraph"/>
      </w:pPr>
      <w:r>
        <w:br w:type="page"/>
      </w:r>
    </w:p>
    <w:p w:rsidR="00785F70" w:rsidRPr="002F3E8D" w:rsidRDefault="00785F70" w:rsidP="00785F70">
      <w:pPr>
        <w:pStyle w:val="Heading1"/>
      </w:pPr>
      <w:bookmarkStart w:id="17" w:name="_Toc375842588"/>
      <w:bookmarkStart w:id="18" w:name="_Toc383447569"/>
      <w:r w:rsidRPr="002F3E8D">
        <w:lastRenderedPageBreak/>
        <w:t>Ex Post Results</w:t>
      </w:r>
      <w:bookmarkEnd w:id="17"/>
      <w:bookmarkEnd w:id="18"/>
    </w:p>
    <w:p w:rsidR="00785F70" w:rsidRDefault="00785F70" w:rsidP="00785F70">
      <w:pPr>
        <w:pStyle w:val="BodyParagraph"/>
      </w:pPr>
      <w:r w:rsidRPr="002F3E8D">
        <w:t>SDG&amp;E called one PTR event in 2013, o</w:t>
      </w:r>
      <w:r>
        <w:t xml:space="preserve">n Saturday, August 31.  At the time, there were </w:t>
      </w:r>
      <w:r w:rsidRPr="00A45169">
        <w:t>57,586</w:t>
      </w:r>
      <w:r>
        <w:t xml:space="preserve"> customers enrolled in PTR event notification.  The ex post load impact estimates for the </w:t>
      </w:r>
      <w:r w:rsidR="00084DA8">
        <w:t>opt-in PTR</w:t>
      </w:r>
      <w:r>
        <w:t xml:space="preserve"> customers that received event notification are presented in this section.</w:t>
      </w:r>
    </w:p>
    <w:p w:rsidR="00AA0F3C" w:rsidRDefault="00785F70" w:rsidP="00785F70">
      <w:pPr>
        <w:pStyle w:val="BodyParagraph"/>
      </w:pPr>
      <w:r>
        <w:t>Figure 4</w:t>
      </w:r>
      <w:r w:rsidRPr="002F3E8D">
        <w:t>-1 shows the average load impact per PTR customer in each hour</w:t>
      </w:r>
      <w:r>
        <w:t xml:space="preserve"> of the event day</w:t>
      </w:r>
      <w:r w:rsidRPr="002F3E8D">
        <w:t xml:space="preserve">.  </w:t>
      </w:r>
      <w:r>
        <w:t>During the event hours (</w:t>
      </w:r>
      <w:r w:rsidRPr="002F3E8D">
        <w:t>11 AM</w:t>
      </w:r>
      <w:r w:rsidR="003D5620">
        <w:t xml:space="preserve"> to </w:t>
      </w:r>
      <w:r w:rsidRPr="002F3E8D">
        <w:t>6 PM</w:t>
      </w:r>
      <w:r>
        <w:t>)</w:t>
      </w:r>
      <w:r w:rsidRPr="002F3E8D">
        <w:t>, the average load drop was 0.1</w:t>
      </w:r>
      <w:r>
        <w:t>2 kW per participant.  Impacts we</w:t>
      </w:r>
      <w:r w:rsidRPr="002F3E8D">
        <w:t xml:space="preserve">re the largest during the </w:t>
      </w:r>
      <w:r>
        <w:t xml:space="preserve">middle </w:t>
      </w:r>
      <w:r w:rsidRPr="002F3E8D">
        <w:t>event</w:t>
      </w:r>
      <w:r w:rsidR="00CD4370">
        <w:t xml:space="preserve"> hours of 1</w:t>
      </w:r>
      <w:r w:rsidRPr="002F3E8D">
        <w:t xml:space="preserve"> to 4 PM, with a high of 0</w:t>
      </w:r>
      <w:r>
        <w:t>.14</w:t>
      </w:r>
      <w:r w:rsidRPr="002F3E8D">
        <w:t xml:space="preserve"> kW per participant</w:t>
      </w:r>
      <w:r w:rsidR="00CD4370">
        <w:t xml:space="preserve"> from 2</w:t>
      </w:r>
      <w:r>
        <w:t xml:space="preserve"> to 3 PM</w:t>
      </w:r>
      <w:r w:rsidRPr="002F3E8D">
        <w:t xml:space="preserve">.  During the </w:t>
      </w:r>
      <w:r>
        <w:t>first and last</w:t>
      </w:r>
      <w:r w:rsidRPr="002F3E8D">
        <w:t xml:space="preserve"> hours of the event, impacts </w:t>
      </w:r>
      <w:r>
        <w:t>were slightly lower, with a reduction of 0</w:t>
      </w:r>
      <w:r w:rsidRPr="002F3E8D">
        <w:t xml:space="preserve">.09 kW </w:t>
      </w:r>
      <w:r>
        <w:t>per participant.  Figure 4</w:t>
      </w:r>
      <w:r w:rsidRPr="002F3E8D">
        <w:t xml:space="preserve">-2 shows the aggregate load impact for each hour of the </w:t>
      </w:r>
      <w:r>
        <w:t xml:space="preserve">event </w:t>
      </w:r>
      <w:r w:rsidRPr="002F3E8D">
        <w:t>day.  The aggregate load drop from 11 AM to 6 PM was 6.</w:t>
      </w:r>
      <w:r>
        <w:t>6</w:t>
      </w:r>
      <w:r w:rsidRPr="002F3E8D">
        <w:t xml:space="preserve"> MW, representing a 7</w:t>
      </w:r>
      <w:r>
        <w:t>.2</w:t>
      </w:r>
      <w:r w:rsidRPr="002F3E8D">
        <w:t>% reduction relative to the reference load of 93 MW</w:t>
      </w:r>
      <w:r>
        <w:t xml:space="preserve">.  After event hours, there was moderate </w:t>
      </w:r>
      <w:r w:rsidRPr="007E62F2">
        <w:rPr>
          <w:i/>
        </w:rPr>
        <w:t>snapback</w:t>
      </w:r>
      <w:r>
        <w:t>, with an average increase in load of 2.6 MW from 7 PM to midnight.</w:t>
      </w:r>
    </w:p>
    <w:p w:rsidR="00AA0F3C" w:rsidRPr="00AA0F3C" w:rsidRDefault="00AA0F3C" w:rsidP="002A2356"/>
    <w:p w:rsidR="00AA0F3C" w:rsidRPr="00AA0F3C" w:rsidRDefault="00AA0F3C" w:rsidP="002A2356"/>
    <w:p w:rsidR="00AA0F3C" w:rsidRPr="00AA0F3C" w:rsidRDefault="00AA0F3C" w:rsidP="002A2356"/>
    <w:p w:rsidR="00AA0F3C" w:rsidRDefault="00AA0F3C" w:rsidP="00AA0F3C"/>
    <w:p w:rsidR="00AA0F3C" w:rsidRDefault="00AA0F3C" w:rsidP="002A2356">
      <w:pPr>
        <w:tabs>
          <w:tab w:val="left" w:pos="1019"/>
        </w:tabs>
      </w:pPr>
      <w:r>
        <w:tab/>
      </w:r>
    </w:p>
    <w:p w:rsidR="00AA0F3C" w:rsidRDefault="00AA0F3C" w:rsidP="00AA0F3C"/>
    <w:p w:rsidR="002A2356" w:rsidRDefault="002A2356" w:rsidP="002A2356">
      <w:pPr>
        <w:sectPr w:rsidR="002A2356" w:rsidSect="00C623D7">
          <w:headerReference w:type="default" r:id="rId23"/>
          <w:pgSz w:w="12240" w:h="15840"/>
          <w:pgMar w:top="1440" w:right="1440" w:bottom="1440" w:left="1440" w:header="720" w:footer="720" w:gutter="0"/>
          <w:pgNumType w:start="1"/>
          <w:cols w:space="720"/>
          <w:docGrid w:linePitch="360"/>
        </w:sectPr>
      </w:pPr>
    </w:p>
    <w:p w:rsidR="00785F70" w:rsidRPr="002F3E8D" w:rsidRDefault="00785F70" w:rsidP="00785F70">
      <w:pPr>
        <w:pStyle w:val="TableFigureCaption"/>
      </w:pPr>
      <w:r>
        <w:lastRenderedPageBreak/>
        <w:t>Figure 4</w:t>
      </w:r>
      <w:r w:rsidRPr="002F3E8D">
        <w:t xml:space="preserve">-1: Average </w:t>
      </w:r>
      <w:r w:rsidR="00084DA8">
        <w:t>Opt-in PTR</w:t>
      </w:r>
      <w:r w:rsidRPr="002F3E8D">
        <w:t xml:space="preserve"> Ex Post Load Impact (kW) per Participant for August 31, 2013</w:t>
      </w:r>
    </w:p>
    <w:p w:rsidR="00785F70" w:rsidRDefault="00785F70" w:rsidP="00785F70">
      <w:pPr>
        <w:pStyle w:val="BodyParagraph"/>
        <w:ind w:left="-720" w:right="-720"/>
        <w:rPr>
          <w:highlight w:val="yellow"/>
        </w:rPr>
      </w:pPr>
      <w:r w:rsidRPr="00324C44">
        <w:rPr>
          <w:noProof/>
        </w:rPr>
        <w:drawing>
          <wp:inline distT="0" distB="0" distL="0" distR="0" wp14:anchorId="3265FE8E" wp14:editId="0DE35EBD">
            <wp:extent cx="9118354" cy="3960055"/>
            <wp:effectExtent l="0" t="0" r="698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9120845" cy="3961137"/>
                    </a:xfrm>
                    <a:prstGeom prst="rect">
                      <a:avLst/>
                    </a:prstGeom>
                  </pic:spPr>
                </pic:pic>
              </a:graphicData>
            </a:graphic>
          </wp:inline>
        </w:drawing>
      </w:r>
    </w:p>
    <w:p w:rsidR="00785F70" w:rsidRDefault="00785F70" w:rsidP="00785F70">
      <w:pPr>
        <w:pStyle w:val="BodyParagraph"/>
        <w:ind w:left="-720" w:right="-720"/>
        <w:jc w:val="center"/>
        <w:rPr>
          <w:highlight w:val="yellow"/>
        </w:rPr>
      </w:pPr>
      <w:r>
        <w:rPr>
          <w:highlight w:val="yellow"/>
        </w:rPr>
        <w:br w:type="page"/>
      </w:r>
    </w:p>
    <w:p w:rsidR="00785F70" w:rsidRPr="002F3E8D" w:rsidRDefault="00785F70" w:rsidP="00785F70">
      <w:pPr>
        <w:pStyle w:val="TableFigureCaption"/>
      </w:pPr>
      <w:r>
        <w:lastRenderedPageBreak/>
        <w:t>Figure 4</w:t>
      </w:r>
      <w:r w:rsidRPr="002F3E8D">
        <w:t xml:space="preserve">-2: Aggregate </w:t>
      </w:r>
      <w:r w:rsidR="00084DA8">
        <w:t>Opt-in PTR</w:t>
      </w:r>
      <w:r w:rsidRPr="002F3E8D">
        <w:t xml:space="preserve"> Ex Post Load Impact (MW) for August 31, 2013</w:t>
      </w:r>
    </w:p>
    <w:p w:rsidR="00785F70" w:rsidRDefault="00785F70" w:rsidP="00785F70">
      <w:pPr>
        <w:pStyle w:val="BodyParagraph"/>
        <w:ind w:left="-720" w:right="-720"/>
      </w:pPr>
      <w:r w:rsidRPr="00510310">
        <w:rPr>
          <w:noProof/>
        </w:rPr>
        <w:drawing>
          <wp:inline distT="0" distB="0" distL="0" distR="0" wp14:anchorId="66B62145" wp14:editId="74273F23">
            <wp:extent cx="9118355" cy="3960055"/>
            <wp:effectExtent l="0" t="0" r="6985"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118355" cy="3960055"/>
                    </a:xfrm>
                    <a:prstGeom prst="rect">
                      <a:avLst/>
                    </a:prstGeom>
                  </pic:spPr>
                </pic:pic>
              </a:graphicData>
            </a:graphic>
          </wp:inline>
        </w:drawing>
      </w:r>
    </w:p>
    <w:p w:rsidR="00785F70" w:rsidRDefault="00785F70" w:rsidP="00785F70">
      <w:pPr>
        <w:pStyle w:val="BodyParagraph"/>
      </w:pPr>
    </w:p>
    <w:p w:rsidR="00785F70" w:rsidRDefault="00785F70" w:rsidP="00785F70">
      <w:pPr>
        <w:pStyle w:val="BodyParagraph"/>
        <w:sectPr w:rsidR="00785F70" w:rsidSect="007E27B1">
          <w:footerReference w:type="default" r:id="rId26"/>
          <w:pgSz w:w="15840" w:h="12240" w:orient="landscape"/>
          <w:pgMar w:top="1440" w:right="1440" w:bottom="1440" w:left="1440" w:header="720" w:footer="720" w:gutter="0"/>
          <w:cols w:space="720"/>
          <w:docGrid w:linePitch="360"/>
        </w:sectPr>
      </w:pPr>
    </w:p>
    <w:p w:rsidR="00785F70" w:rsidRDefault="00785F70" w:rsidP="00785F70">
      <w:pPr>
        <w:pStyle w:val="BodyParaAfterTableFigure"/>
      </w:pPr>
      <w:r>
        <w:lastRenderedPageBreak/>
        <w:t>Table 4</w:t>
      </w:r>
      <w:r w:rsidRPr="007A5853">
        <w:t xml:space="preserve">-1 shows the average and aggregate </w:t>
      </w:r>
      <w:r w:rsidR="00084DA8">
        <w:t>opt-in PTR</w:t>
      </w:r>
      <w:r w:rsidRPr="007A5853">
        <w:t xml:space="preserve"> ex post load impact estimates </w:t>
      </w:r>
      <w:r>
        <w:t xml:space="preserve">for various customer categories of interest to this evaluation.  </w:t>
      </w:r>
      <w:r w:rsidRPr="00AE3855">
        <w:t>As measured by the percent load reduction, customers who enrolled in 2013</w:t>
      </w:r>
      <w:r w:rsidR="00AA0F3C">
        <w:t>,</w:t>
      </w:r>
      <w:r w:rsidRPr="00AE3855">
        <w:t xml:space="preserve"> and customers who receive</w:t>
      </w:r>
      <w:r>
        <w:t>d</w:t>
      </w:r>
      <w:r w:rsidRPr="00AE3855">
        <w:t xml:space="preserve"> both notification</w:t>
      </w:r>
      <w:r>
        <w:t xml:space="preserve"> types</w:t>
      </w:r>
      <w:r w:rsidR="00AA0F3C">
        <w:t>,</w:t>
      </w:r>
      <w:r w:rsidRPr="00AE3855">
        <w:t xml:space="preserve"> had the highest performance, with 14</w:t>
      </w:r>
      <w:r>
        <w:t>.3</w:t>
      </w:r>
      <w:r w:rsidRPr="00AE3855">
        <w:t>% and 1</w:t>
      </w:r>
      <w:r>
        <w:t>0.7</w:t>
      </w:r>
      <w:r w:rsidRPr="00AE3855">
        <w:t xml:space="preserve">% load reductions, respectively.  </w:t>
      </w:r>
      <w:r>
        <w:t>There is substantial overlap between these two categories because customers who enrolled in 2013 were more likely to opt</w:t>
      </w:r>
      <w:r w:rsidR="00CD4370">
        <w:t xml:space="preserve"> </w:t>
      </w:r>
      <w:r>
        <w:t xml:space="preserve">in to event notification through both text message and email, as discussed in Section 2.  </w:t>
      </w:r>
      <w:r w:rsidRPr="00AE3855">
        <w:t xml:space="preserve">In terms of aggregate load reduction, customers with high usage (top half of electricity users) delivered </w:t>
      </w:r>
      <w:r>
        <w:t>more than 90% of the</w:t>
      </w:r>
      <w:r w:rsidRPr="00AE3855">
        <w:t xml:space="preserve"> aggregate </w:t>
      </w:r>
      <w:r>
        <w:t xml:space="preserve">load </w:t>
      </w:r>
      <w:r w:rsidRPr="00AE3855">
        <w:t>reduction (</w:t>
      </w:r>
      <w:r>
        <w:t>6.2</w:t>
      </w:r>
      <w:r w:rsidRPr="00AE3855">
        <w:t xml:space="preserve"> MW, relative to </w:t>
      </w:r>
      <w:r>
        <w:t>0.4</w:t>
      </w:r>
      <w:r w:rsidRPr="00AE3855">
        <w:t xml:space="preserve"> MW </w:t>
      </w:r>
      <w:r w:rsidRPr="00AE132E">
        <w:t xml:space="preserve">among a similar number of low usage customers).  </w:t>
      </w:r>
      <w:r w:rsidR="00084DA8">
        <w:t>Opt-in PTR</w:t>
      </w:r>
      <w:r w:rsidRPr="00AE132E">
        <w:t xml:space="preserve"> customers in the inland climate zone deliver</w:t>
      </w:r>
      <w:r>
        <w:t>ed a 7.</w:t>
      </w:r>
      <w:r w:rsidRPr="00AE132E">
        <w:t xml:space="preserve">8% </w:t>
      </w:r>
      <w:r w:rsidRPr="004B130D">
        <w:t xml:space="preserve">load reduction. </w:t>
      </w:r>
      <w:r>
        <w:t xml:space="preserve"> In addition to </w:t>
      </w:r>
      <w:r w:rsidRPr="004B130D">
        <w:t>deliver</w:t>
      </w:r>
      <w:r>
        <w:t>ing</w:t>
      </w:r>
      <w:r w:rsidRPr="004B130D">
        <w:t xml:space="preserve"> </w:t>
      </w:r>
      <w:r>
        <w:t>a larger percent reduction than</w:t>
      </w:r>
      <w:r w:rsidRPr="004B130D">
        <w:t xml:space="preserve"> coastal customers (who deliver </w:t>
      </w:r>
      <w:r>
        <w:t xml:space="preserve">a </w:t>
      </w:r>
      <w:r w:rsidRPr="004B130D">
        <w:t>6</w:t>
      </w:r>
      <w:r>
        <w:t>.4</w:t>
      </w:r>
      <w:r w:rsidRPr="004B130D">
        <w:t>% load reduction</w:t>
      </w:r>
      <w:r>
        <w:t>), reference loads we</w:t>
      </w:r>
      <w:r w:rsidRPr="004B130D">
        <w:t>re higher in the hotter inland areas</w:t>
      </w:r>
      <w:r>
        <w:t>, which led to a load impact that was double that of coastal customers</w:t>
      </w:r>
      <w:r w:rsidRPr="004B130D">
        <w:t>.</w:t>
      </w:r>
      <w:r>
        <w:t xml:space="preserve">  Finally, Summer Saver customers deliver</w:t>
      </w:r>
      <w:r w:rsidR="00CD4370">
        <w:t>ed</w:t>
      </w:r>
      <w:r>
        <w:t xml:space="preserve"> slightly higher impacts than non-Summer Saver customers and CARE customers deliver</w:t>
      </w:r>
      <w:r w:rsidR="00CD4370">
        <w:t>ed</w:t>
      </w:r>
      <w:r>
        <w:t xml:space="preserve"> slightly lower impacts than non-CARE customers.</w:t>
      </w:r>
    </w:p>
    <w:p w:rsidR="00785F70" w:rsidRDefault="00785F70" w:rsidP="00785F70">
      <w:pPr>
        <w:pStyle w:val="TableFigureCaption"/>
      </w:pPr>
      <w:r>
        <w:t>Table 4</w:t>
      </w:r>
      <w:r w:rsidRPr="00AE132E">
        <w:t xml:space="preserve">-1: </w:t>
      </w:r>
      <w:r w:rsidR="00084DA8">
        <w:t>Opt-in PTR</w:t>
      </w:r>
      <w:r w:rsidRPr="00AE132E">
        <w:t xml:space="preserve"> Ex Post Load Impact Estimates by Customer Category</w:t>
      </w:r>
      <w:r>
        <w:br/>
        <w:t>August 31, 2013 (11 AM</w:t>
      </w:r>
      <w:r w:rsidR="003D5620">
        <w:t xml:space="preserve"> to </w:t>
      </w:r>
      <w:r>
        <w:t>6 PM)</w:t>
      </w:r>
    </w:p>
    <w:tbl>
      <w:tblPr>
        <w:tblW w:w="10323" w:type="dxa"/>
        <w:jc w:val="center"/>
        <w:tblInd w:w="468" w:type="dxa"/>
        <w:tblLook w:val="04A0" w:firstRow="1" w:lastRow="0" w:firstColumn="1" w:lastColumn="0" w:noHBand="0" w:noVBand="1"/>
      </w:tblPr>
      <w:tblGrid>
        <w:gridCol w:w="2005"/>
        <w:gridCol w:w="1180"/>
        <w:gridCol w:w="1160"/>
        <w:gridCol w:w="1118"/>
        <w:gridCol w:w="1170"/>
        <w:gridCol w:w="1170"/>
        <w:gridCol w:w="1170"/>
        <w:gridCol w:w="1350"/>
      </w:tblGrid>
      <w:tr w:rsidR="00785F70" w:rsidRPr="007E62F2" w:rsidTr="00084DA8">
        <w:trPr>
          <w:trHeight w:val="720"/>
          <w:jc w:val="center"/>
        </w:trPr>
        <w:tc>
          <w:tcPr>
            <w:tcW w:w="2005" w:type="dxa"/>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785F70" w:rsidRPr="007E62F2" w:rsidRDefault="00785F70" w:rsidP="00084DA8">
            <w:pPr>
              <w:spacing w:before="60" w:after="60" w:line="240" w:lineRule="auto"/>
              <w:jc w:val="center"/>
              <w:rPr>
                <w:rFonts w:ascii="Arial" w:eastAsia="Times New Roman" w:hAnsi="Arial" w:cs="Arial"/>
                <w:b/>
                <w:bCs/>
                <w:color w:val="FFFFFF"/>
                <w:sz w:val="18"/>
                <w:szCs w:val="18"/>
              </w:rPr>
            </w:pPr>
            <w:bookmarkStart w:id="19" w:name="_Toc375842589"/>
            <w:r w:rsidRPr="007E62F2">
              <w:rPr>
                <w:rFonts w:ascii="Arial" w:eastAsia="Times New Roman" w:hAnsi="Arial" w:cs="Arial"/>
                <w:b/>
                <w:bCs/>
                <w:color w:val="FFFFFF"/>
                <w:sz w:val="18"/>
                <w:szCs w:val="18"/>
                <w:lang w:eastAsia="ko-KR"/>
              </w:rPr>
              <w:t>Customer Category</w:t>
            </w:r>
          </w:p>
        </w:tc>
        <w:tc>
          <w:tcPr>
            <w:tcW w:w="1180" w:type="dxa"/>
            <w:tcBorders>
              <w:top w:val="single" w:sz="4" w:space="0" w:color="000000"/>
              <w:left w:val="nil"/>
              <w:bottom w:val="single" w:sz="4" w:space="0" w:color="000000"/>
              <w:right w:val="single" w:sz="4" w:space="0" w:color="FFFFFF"/>
            </w:tcBorders>
            <w:shd w:val="clear" w:color="000000" w:fill="1F497D"/>
            <w:vAlign w:val="center"/>
            <w:hideMark/>
          </w:tcPr>
          <w:p w:rsidR="00785F70" w:rsidRPr="007E62F2" w:rsidRDefault="00785F70" w:rsidP="00084DA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Number of Customers</w:t>
            </w:r>
          </w:p>
        </w:tc>
        <w:tc>
          <w:tcPr>
            <w:tcW w:w="1160" w:type="dxa"/>
            <w:tcBorders>
              <w:top w:val="single" w:sz="4" w:space="0" w:color="000000"/>
              <w:left w:val="nil"/>
              <w:bottom w:val="single" w:sz="4" w:space="0" w:color="000000"/>
              <w:right w:val="single" w:sz="4" w:space="0" w:color="FFFFFF"/>
            </w:tcBorders>
            <w:shd w:val="clear" w:color="000000" w:fill="1F497D"/>
            <w:vAlign w:val="center"/>
            <w:hideMark/>
          </w:tcPr>
          <w:p w:rsidR="00785F70" w:rsidRPr="007E62F2" w:rsidRDefault="00785F70" w:rsidP="00084DA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Avg. Reference Load (kW)</w:t>
            </w:r>
          </w:p>
        </w:tc>
        <w:tc>
          <w:tcPr>
            <w:tcW w:w="1118" w:type="dxa"/>
            <w:tcBorders>
              <w:top w:val="single" w:sz="4" w:space="0" w:color="000000"/>
              <w:left w:val="nil"/>
              <w:bottom w:val="single" w:sz="4" w:space="0" w:color="000000"/>
              <w:right w:val="single" w:sz="4" w:space="0" w:color="FFFFFF"/>
            </w:tcBorders>
            <w:shd w:val="clear" w:color="000000" w:fill="1F497D"/>
            <w:vAlign w:val="center"/>
            <w:hideMark/>
          </w:tcPr>
          <w:p w:rsidR="00785F70" w:rsidRPr="007E62F2" w:rsidRDefault="00785F70" w:rsidP="00084DA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Avg. Load with DR (kW)</w:t>
            </w:r>
          </w:p>
        </w:tc>
        <w:tc>
          <w:tcPr>
            <w:tcW w:w="1170" w:type="dxa"/>
            <w:tcBorders>
              <w:top w:val="single" w:sz="4" w:space="0" w:color="000000"/>
              <w:left w:val="nil"/>
              <w:bottom w:val="single" w:sz="4" w:space="0" w:color="000000"/>
              <w:right w:val="single" w:sz="4" w:space="0" w:color="FFFFFF"/>
            </w:tcBorders>
            <w:shd w:val="clear" w:color="000000" w:fill="1F497D"/>
            <w:vAlign w:val="center"/>
            <w:hideMark/>
          </w:tcPr>
          <w:p w:rsidR="00785F70" w:rsidRPr="007E62F2" w:rsidRDefault="00785F70" w:rsidP="00084DA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Avg. Load Reduction (kW)</w:t>
            </w:r>
          </w:p>
        </w:tc>
        <w:tc>
          <w:tcPr>
            <w:tcW w:w="1170" w:type="dxa"/>
            <w:tcBorders>
              <w:top w:val="single" w:sz="4" w:space="0" w:color="000000"/>
              <w:left w:val="nil"/>
              <w:bottom w:val="single" w:sz="4" w:space="0" w:color="000000"/>
              <w:right w:val="single" w:sz="4" w:space="0" w:color="FFFFFF"/>
            </w:tcBorders>
            <w:shd w:val="clear" w:color="000000" w:fill="1F497D"/>
            <w:vAlign w:val="center"/>
            <w:hideMark/>
          </w:tcPr>
          <w:p w:rsidR="00785F70" w:rsidRPr="007E62F2" w:rsidRDefault="00785F70" w:rsidP="00084DA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 Load Reduction</w:t>
            </w:r>
          </w:p>
        </w:tc>
        <w:tc>
          <w:tcPr>
            <w:tcW w:w="1170" w:type="dxa"/>
            <w:tcBorders>
              <w:top w:val="single" w:sz="4" w:space="0" w:color="000000"/>
              <w:left w:val="nil"/>
              <w:bottom w:val="single" w:sz="4" w:space="0" w:color="000000"/>
              <w:right w:val="single" w:sz="4" w:space="0" w:color="FFFFFF"/>
            </w:tcBorders>
            <w:shd w:val="clear" w:color="000000" w:fill="1F497D"/>
            <w:vAlign w:val="center"/>
            <w:hideMark/>
          </w:tcPr>
          <w:p w:rsidR="00785F70" w:rsidRPr="007E62F2" w:rsidRDefault="00785F70" w:rsidP="00084DA8">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Aggregate Load Reduction (MW)</w:t>
            </w:r>
          </w:p>
        </w:tc>
        <w:tc>
          <w:tcPr>
            <w:tcW w:w="1350" w:type="dxa"/>
            <w:tcBorders>
              <w:top w:val="single" w:sz="4" w:space="0" w:color="000000"/>
              <w:left w:val="nil"/>
              <w:bottom w:val="single" w:sz="4" w:space="0" w:color="000000"/>
              <w:right w:val="single" w:sz="4" w:space="0" w:color="000000"/>
            </w:tcBorders>
            <w:shd w:val="clear" w:color="000000" w:fill="1F497D"/>
            <w:vAlign w:val="center"/>
            <w:hideMark/>
          </w:tcPr>
          <w:p w:rsidR="00785F70" w:rsidRPr="007E62F2" w:rsidRDefault="00785F70" w:rsidP="003D5620">
            <w:pPr>
              <w:spacing w:before="60" w:after="60" w:line="240" w:lineRule="auto"/>
              <w:jc w:val="center"/>
              <w:rPr>
                <w:rFonts w:ascii="Arial" w:eastAsia="Times New Roman" w:hAnsi="Arial" w:cs="Arial"/>
                <w:b/>
                <w:bCs/>
                <w:color w:val="FFFFFF"/>
                <w:sz w:val="18"/>
                <w:szCs w:val="18"/>
              </w:rPr>
            </w:pPr>
            <w:r w:rsidRPr="007E62F2">
              <w:rPr>
                <w:rFonts w:ascii="Arial" w:eastAsia="Times New Roman" w:hAnsi="Arial" w:cs="Arial"/>
                <w:b/>
                <w:bCs/>
                <w:color w:val="FFFFFF"/>
                <w:sz w:val="18"/>
                <w:szCs w:val="18"/>
                <w:lang w:eastAsia="ko-KR"/>
              </w:rPr>
              <w:t>Heat Buildup (Avg. °F,</w:t>
            </w:r>
            <w:r w:rsidR="003D5620">
              <w:rPr>
                <w:rFonts w:ascii="Arial" w:eastAsia="Times New Roman" w:hAnsi="Arial" w:cs="Arial"/>
                <w:b/>
                <w:bCs/>
                <w:color w:val="FFFFFF"/>
                <w:sz w:val="18"/>
                <w:szCs w:val="18"/>
                <w:lang w:eastAsia="ko-KR"/>
              </w:rPr>
              <w:br/>
            </w:r>
            <w:r w:rsidRPr="007E62F2">
              <w:rPr>
                <w:rFonts w:ascii="Arial" w:eastAsia="Times New Roman" w:hAnsi="Arial" w:cs="Arial"/>
                <w:b/>
                <w:bCs/>
                <w:color w:val="FFFFFF"/>
                <w:sz w:val="18"/>
                <w:szCs w:val="18"/>
                <w:lang w:eastAsia="ko-KR"/>
              </w:rPr>
              <w:t>12 AM to 5 PM)</w:t>
            </w:r>
          </w:p>
        </w:tc>
      </w:tr>
      <w:tr w:rsidR="00785F70" w:rsidRPr="007E62F2" w:rsidTr="00084DA8">
        <w:trPr>
          <w:trHeight w:val="300"/>
          <w:jc w:val="center"/>
        </w:trPr>
        <w:tc>
          <w:tcPr>
            <w:tcW w:w="2005" w:type="dxa"/>
            <w:tcBorders>
              <w:top w:val="nil"/>
              <w:left w:val="single" w:sz="4" w:space="0" w:color="auto"/>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Climate Zone - Coastal</w:t>
            </w:r>
          </w:p>
        </w:tc>
        <w:tc>
          <w:tcPr>
            <w:tcW w:w="118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32,128</w:t>
            </w:r>
          </w:p>
        </w:tc>
        <w:tc>
          <w:tcPr>
            <w:tcW w:w="116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1.31</w:t>
            </w:r>
          </w:p>
        </w:tc>
        <w:tc>
          <w:tcPr>
            <w:tcW w:w="1118"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1.23</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0.08</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6.4%</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2.7</w:t>
            </w:r>
          </w:p>
        </w:tc>
        <w:tc>
          <w:tcPr>
            <w:tcW w:w="1350" w:type="dxa"/>
            <w:tcBorders>
              <w:top w:val="nil"/>
              <w:left w:val="nil"/>
              <w:bottom w:val="nil"/>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79.5</w:t>
            </w:r>
          </w:p>
        </w:tc>
      </w:tr>
      <w:tr w:rsidR="00785F70" w:rsidRPr="007E62F2" w:rsidTr="00084DA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Climate Zone - Inland</w:t>
            </w:r>
          </w:p>
        </w:tc>
        <w:tc>
          <w:tcPr>
            <w:tcW w:w="118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25,458</w:t>
            </w:r>
          </w:p>
        </w:tc>
        <w:tc>
          <w:tcPr>
            <w:tcW w:w="116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2.00</w:t>
            </w:r>
          </w:p>
        </w:tc>
        <w:tc>
          <w:tcPr>
            <w:tcW w:w="1118"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1.85</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0.16</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7.8%</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4.0</w:t>
            </w:r>
          </w:p>
        </w:tc>
        <w:tc>
          <w:tcPr>
            <w:tcW w:w="1350" w:type="dxa"/>
            <w:tcBorders>
              <w:top w:val="nil"/>
              <w:left w:val="nil"/>
              <w:bottom w:val="single" w:sz="4" w:space="0" w:color="auto"/>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80.6</w:t>
            </w:r>
          </w:p>
        </w:tc>
      </w:tr>
      <w:tr w:rsidR="00785F70" w:rsidRPr="007E62F2" w:rsidTr="00084DA8">
        <w:trPr>
          <w:trHeight w:val="300"/>
          <w:jc w:val="center"/>
        </w:trPr>
        <w:tc>
          <w:tcPr>
            <w:tcW w:w="2005" w:type="dxa"/>
            <w:tcBorders>
              <w:top w:val="nil"/>
              <w:left w:val="single" w:sz="4" w:space="0" w:color="auto"/>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Non-Summer Saver</w:t>
            </w:r>
          </w:p>
        </w:tc>
        <w:tc>
          <w:tcPr>
            <w:tcW w:w="118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54,149</w:t>
            </w:r>
          </w:p>
        </w:tc>
        <w:tc>
          <w:tcPr>
            <w:tcW w:w="116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1.59</w:t>
            </w:r>
          </w:p>
        </w:tc>
        <w:tc>
          <w:tcPr>
            <w:tcW w:w="1118"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1.47</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0.11</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7.2%</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6.2</w:t>
            </w:r>
          </w:p>
        </w:tc>
        <w:tc>
          <w:tcPr>
            <w:tcW w:w="1350" w:type="dxa"/>
            <w:tcBorders>
              <w:top w:val="nil"/>
              <w:left w:val="nil"/>
              <w:bottom w:val="nil"/>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79.9</w:t>
            </w:r>
          </w:p>
        </w:tc>
      </w:tr>
      <w:tr w:rsidR="00785F70" w:rsidRPr="007E62F2" w:rsidTr="00084DA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Summer Saver</w:t>
            </w:r>
          </w:p>
        </w:tc>
        <w:tc>
          <w:tcPr>
            <w:tcW w:w="118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3,437</w:t>
            </w:r>
          </w:p>
        </w:tc>
        <w:tc>
          <w:tcPr>
            <w:tcW w:w="116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2.07</w:t>
            </w:r>
          </w:p>
        </w:tc>
        <w:tc>
          <w:tcPr>
            <w:tcW w:w="1118"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1.93</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0.14</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6.9%</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0.5</w:t>
            </w:r>
          </w:p>
        </w:tc>
        <w:tc>
          <w:tcPr>
            <w:tcW w:w="1350" w:type="dxa"/>
            <w:tcBorders>
              <w:top w:val="nil"/>
              <w:left w:val="nil"/>
              <w:bottom w:val="single" w:sz="4" w:space="0" w:color="auto"/>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80.5</w:t>
            </w:r>
          </w:p>
        </w:tc>
      </w:tr>
      <w:tr w:rsidR="00785F70" w:rsidRPr="007E62F2" w:rsidTr="00084DA8">
        <w:trPr>
          <w:trHeight w:val="300"/>
          <w:jc w:val="center"/>
        </w:trPr>
        <w:tc>
          <w:tcPr>
            <w:tcW w:w="2005" w:type="dxa"/>
            <w:tcBorders>
              <w:top w:val="nil"/>
              <w:left w:val="single" w:sz="4" w:space="0" w:color="auto"/>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Non-CARE</w:t>
            </w:r>
          </w:p>
        </w:tc>
        <w:tc>
          <w:tcPr>
            <w:tcW w:w="118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45,382</w:t>
            </w:r>
          </w:p>
        </w:tc>
        <w:tc>
          <w:tcPr>
            <w:tcW w:w="116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1.67</w:t>
            </w:r>
          </w:p>
        </w:tc>
        <w:tc>
          <w:tcPr>
            <w:tcW w:w="1118"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1.54</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0.12</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7.3%</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5.5</w:t>
            </w:r>
          </w:p>
        </w:tc>
        <w:tc>
          <w:tcPr>
            <w:tcW w:w="1350" w:type="dxa"/>
            <w:tcBorders>
              <w:top w:val="nil"/>
              <w:left w:val="nil"/>
              <w:bottom w:val="nil"/>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785F70" w:rsidRPr="007E62F2" w:rsidTr="00084DA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CARE</w:t>
            </w:r>
          </w:p>
        </w:tc>
        <w:tc>
          <w:tcPr>
            <w:tcW w:w="118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12,204</w:t>
            </w:r>
          </w:p>
        </w:tc>
        <w:tc>
          <w:tcPr>
            <w:tcW w:w="116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1.43</w:t>
            </w:r>
          </w:p>
        </w:tc>
        <w:tc>
          <w:tcPr>
            <w:tcW w:w="1118"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1.34</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0.09</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6.6%</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1.2</w:t>
            </w:r>
          </w:p>
        </w:tc>
        <w:tc>
          <w:tcPr>
            <w:tcW w:w="1350" w:type="dxa"/>
            <w:tcBorders>
              <w:top w:val="nil"/>
              <w:left w:val="nil"/>
              <w:bottom w:val="single" w:sz="4" w:space="0" w:color="auto"/>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785F70" w:rsidRPr="007E62F2" w:rsidTr="00084DA8">
        <w:trPr>
          <w:trHeight w:val="300"/>
          <w:jc w:val="center"/>
        </w:trPr>
        <w:tc>
          <w:tcPr>
            <w:tcW w:w="2005" w:type="dxa"/>
            <w:tcBorders>
              <w:top w:val="nil"/>
              <w:left w:val="single" w:sz="4" w:space="0" w:color="auto"/>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Usage Level - High</w:t>
            </w:r>
          </w:p>
        </w:tc>
        <w:tc>
          <w:tcPr>
            <w:tcW w:w="118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28,571</w:t>
            </w:r>
          </w:p>
        </w:tc>
        <w:tc>
          <w:tcPr>
            <w:tcW w:w="116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2.60</w:t>
            </w:r>
          </w:p>
        </w:tc>
        <w:tc>
          <w:tcPr>
            <w:tcW w:w="1118"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2.38</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0.22</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8.4%</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6.2</w:t>
            </w:r>
          </w:p>
        </w:tc>
        <w:tc>
          <w:tcPr>
            <w:tcW w:w="1350" w:type="dxa"/>
            <w:tcBorders>
              <w:top w:val="nil"/>
              <w:left w:val="nil"/>
              <w:bottom w:val="nil"/>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80.2</w:t>
            </w:r>
          </w:p>
        </w:tc>
      </w:tr>
      <w:tr w:rsidR="00785F70" w:rsidRPr="007E62F2" w:rsidTr="00084DA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Usage Level - Low</w:t>
            </w:r>
          </w:p>
        </w:tc>
        <w:tc>
          <w:tcPr>
            <w:tcW w:w="118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29,015</w:t>
            </w:r>
          </w:p>
        </w:tc>
        <w:tc>
          <w:tcPr>
            <w:tcW w:w="116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0.65</w:t>
            </w:r>
          </w:p>
        </w:tc>
        <w:tc>
          <w:tcPr>
            <w:tcW w:w="1118"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0.63</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0.01</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2.1%</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0.4</w:t>
            </w:r>
          </w:p>
        </w:tc>
        <w:tc>
          <w:tcPr>
            <w:tcW w:w="1350" w:type="dxa"/>
            <w:tcBorders>
              <w:top w:val="nil"/>
              <w:left w:val="nil"/>
              <w:bottom w:val="single" w:sz="4" w:space="0" w:color="auto"/>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79.8</w:t>
            </w:r>
          </w:p>
        </w:tc>
      </w:tr>
      <w:tr w:rsidR="00785F70" w:rsidRPr="007E62F2" w:rsidTr="00084DA8">
        <w:trPr>
          <w:trHeight w:val="300"/>
          <w:jc w:val="center"/>
        </w:trPr>
        <w:tc>
          <w:tcPr>
            <w:tcW w:w="2005" w:type="dxa"/>
            <w:tcBorders>
              <w:top w:val="nil"/>
              <w:left w:val="single" w:sz="4" w:space="0" w:color="auto"/>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Enrollment Year - 2012</w:t>
            </w:r>
          </w:p>
        </w:tc>
        <w:tc>
          <w:tcPr>
            <w:tcW w:w="118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46,404</w:t>
            </w:r>
          </w:p>
        </w:tc>
        <w:tc>
          <w:tcPr>
            <w:tcW w:w="116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1.62</w:t>
            </w:r>
          </w:p>
        </w:tc>
        <w:tc>
          <w:tcPr>
            <w:tcW w:w="1118"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1.53</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0.09</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5.5%</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4.1</w:t>
            </w:r>
          </w:p>
        </w:tc>
        <w:tc>
          <w:tcPr>
            <w:tcW w:w="1350" w:type="dxa"/>
            <w:tcBorders>
              <w:top w:val="nil"/>
              <w:left w:val="nil"/>
              <w:bottom w:val="nil"/>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785F70" w:rsidRPr="007E62F2" w:rsidTr="00084DA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Enrollment Year - 2013</w:t>
            </w:r>
          </w:p>
        </w:tc>
        <w:tc>
          <w:tcPr>
            <w:tcW w:w="118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11,182</w:t>
            </w:r>
          </w:p>
        </w:tc>
        <w:tc>
          <w:tcPr>
            <w:tcW w:w="116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1.60</w:t>
            </w:r>
          </w:p>
        </w:tc>
        <w:tc>
          <w:tcPr>
            <w:tcW w:w="1118"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1.37</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0.23</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14.3%</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2.5</w:t>
            </w:r>
          </w:p>
        </w:tc>
        <w:tc>
          <w:tcPr>
            <w:tcW w:w="1350" w:type="dxa"/>
            <w:tcBorders>
              <w:top w:val="nil"/>
              <w:left w:val="nil"/>
              <w:bottom w:val="single" w:sz="4" w:space="0" w:color="auto"/>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785F70" w:rsidRPr="007E62F2" w:rsidTr="00084DA8">
        <w:trPr>
          <w:trHeight w:val="300"/>
          <w:jc w:val="center"/>
        </w:trPr>
        <w:tc>
          <w:tcPr>
            <w:tcW w:w="2005" w:type="dxa"/>
            <w:tcBorders>
              <w:top w:val="nil"/>
              <w:left w:val="single" w:sz="4" w:space="0" w:color="auto"/>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Notification Type - Email</w:t>
            </w:r>
          </w:p>
        </w:tc>
        <w:tc>
          <w:tcPr>
            <w:tcW w:w="118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33,995</w:t>
            </w:r>
          </w:p>
        </w:tc>
        <w:tc>
          <w:tcPr>
            <w:tcW w:w="116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1.52</w:t>
            </w:r>
          </w:p>
        </w:tc>
        <w:tc>
          <w:tcPr>
            <w:tcW w:w="1118"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1.44</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0.09</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5.7%</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2.9</w:t>
            </w:r>
          </w:p>
        </w:tc>
        <w:tc>
          <w:tcPr>
            <w:tcW w:w="1350" w:type="dxa"/>
            <w:tcBorders>
              <w:top w:val="nil"/>
              <w:left w:val="nil"/>
              <w:bottom w:val="nil"/>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785F70" w:rsidRPr="007E62F2" w:rsidTr="00084DA8">
        <w:trPr>
          <w:trHeight w:val="300"/>
          <w:jc w:val="center"/>
        </w:trPr>
        <w:tc>
          <w:tcPr>
            <w:tcW w:w="2005" w:type="dxa"/>
            <w:tcBorders>
              <w:top w:val="nil"/>
              <w:left w:val="single" w:sz="4" w:space="0" w:color="auto"/>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Notification Type - Text</w:t>
            </w:r>
          </w:p>
        </w:tc>
        <w:tc>
          <w:tcPr>
            <w:tcW w:w="118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9,340</w:t>
            </w:r>
          </w:p>
        </w:tc>
        <w:tc>
          <w:tcPr>
            <w:tcW w:w="116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1.67</w:t>
            </w:r>
          </w:p>
        </w:tc>
        <w:tc>
          <w:tcPr>
            <w:tcW w:w="1118"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1.56</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0.11</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6.4%</w:t>
            </w:r>
          </w:p>
        </w:tc>
        <w:tc>
          <w:tcPr>
            <w:tcW w:w="1170" w:type="dxa"/>
            <w:tcBorders>
              <w:top w:val="nil"/>
              <w:left w:val="nil"/>
              <w:bottom w:val="nil"/>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1.0</w:t>
            </w:r>
          </w:p>
        </w:tc>
        <w:tc>
          <w:tcPr>
            <w:tcW w:w="1350" w:type="dxa"/>
            <w:tcBorders>
              <w:top w:val="nil"/>
              <w:left w:val="nil"/>
              <w:bottom w:val="nil"/>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785F70" w:rsidRPr="007E62F2" w:rsidTr="00084DA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lang w:eastAsia="ko-KR"/>
              </w:rPr>
              <w:t>Notification Type - Both</w:t>
            </w:r>
          </w:p>
        </w:tc>
        <w:tc>
          <w:tcPr>
            <w:tcW w:w="118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14,251</w:t>
            </w:r>
          </w:p>
        </w:tc>
        <w:tc>
          <w:tcPr>
            <w:tcW w:w="116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1.81</w:t>
            </w:r>
          </w:p>
        </w:tc>
        <w:tc>
          <w:tcPr>
            <w:tcW w:w="1118"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1.61</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0.19</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10.7%</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2.7</w:t>
            </w:r>
          </w:p>
        </w:tc>
        <w:tc>
          <w:tcPr>
            <w:tcW w:w="1350" w:type="dxa"/>
            <w:tcBorders>
              <w:top w:val="nil"/>
              <w:left w:val="nil"/>
              <w:bottom w:val="single" w:sz="4" w:space="0" w:color="auto"/>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color w:val="000000"/>
                <w:sz w:val="16"/>
                <w:szCs w:val="16"/>
              </w:rPr>
            </w:pPr>
            <w:r w:rsidRPr="007E62F2">
              <w:rPr>
                <w:rFonts w:ascii="Arial" w:eastAsia="Times New Roman" w:hAnsi="Arial" w:cs="Arial"/>
                <w:color w:val="000000"/>
                <w:sz w:val="16"/>
                <w:szCs w:val="16"/>
              </w:rPr>
              <w:t>80.0</w:t>
            </w:r>
          </w:p>
        </w:tc>
      </w:tr>
      <w:tr w:rsidR="00785F70" w:rsidRPr="007E62F2" w:rsidTr="00084DA8">
        <w:trPr>
          <w:trHeight w:val="300"/>
          <w:jc w:val="center"/>
        </w:trPr>
        <w:tc>
          <w:tcPr>
            <w:tcW w:w="2005" w:type="dxa"/>
            <w:tcBorders>
              <w:top w:val="nil"/>
              <w:left w:val="single" w:sz="4" w:space="0" w:color="auto"/>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lang w:eastAsia="ko-KR"/>
              </w:rPr>
              <w:t>All Customers</w:t>
            </w:r>
          </w:p>
        </w:tc>
        <w:tc>
          <w:tcPr>
            <w:tcW w:w="118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57,586</w:t>
            </w:r>
          </w:p>
        </w:tc>
        <w:tc>
          <w:tcPr>
            <w:tcW w:w="116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1.62</w:t>
            </w:r>
          </w:p>
        </w:tc>
        <w:tc>
          <w:tcPr>
            <w:tcW w:w="1118"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1.50</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0.12</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7.2%</w:t>
            </w:r>
          </w:p>
        </w:tc>
        <w:tc>
          <w:tcPr>
            <w:tcW w:w="1170" w:type="dxa"/>
            <w:tcBorders>
              <w:top w:val="nil"/>
              <w:left w:val="nil"/>
              <w:bottom w:val="single" w:sz="4" w:space="0" w:color="auto"/>
              <w:right w:val="nil"/>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6.7</w:t>
            </w:r>
          </w:p>
        </w:tc>
        <w:tc>
          <w:tcPr>
            <w:tcW w:w="1350" w:type="dxa"/>
            <w:tcBorders>
              <w:top w:val="nil"/>
              <w:left w:val="nil"/>
              <w:bottom w:val="single" w:sz="4" w:space="0" w:color="auto"/>
              <w:right w:val="single" w:sz="4" w:space="0" w:color="auto"/>
            </w:tcBorders>
            <w:shd w:val="clear" w:color="auto" w:fill="auto"/>
            <w:noWrap/>
            <w:vAlign w:val="center"/>
            <w:hideMark/>
          </w:tcPr>
          <w:p w:rsidR="00785F70" w:rsidRPr="007E62F2" w:rsidRDefault="00785F70" w:rsidP="00084DA8">
            <w:pPr>
              <w:spacing w:before="60" w:after="60" w:line="240" w:lineRule="auto"/>
              <w:jc w:val="center"/>
              <w:rPr>
                <w:rFonts w:ascii="Arial" w:eastAsia="Times New Roman" w:hAnsi="Arial" w:cs="Arial"/>
                <w:b/>
                <w:bCs/>
                <w:color w:val="000000"/>
                <w:sz w:val="16"/>
                <w:szCs w:val="16"/>
              </w:rPr>
            </w:pPr>
            <w:r w:rsidRPr="007E62F2">
              <w:rPr>
                <w:rFonts w:ascii="Arial" w:eastAsia="Times New Roman" w:hAnsi="Arial" w:cs="Arial"/>
                <w:b/>
                <w:bCs/>
                <w:color w:val="000000"/>
                <w:sz w:val="16"/>
                <w:szCs w:val="16"/>
              </w:rPr>
              <w:t>80.0</w:t>
            </w:r>
          </w:p>
        </w:tc>
      </w:tr>
    </w:tbl>
    <w:p w:rsidR="00785F70" w:rsidRPr="00AE132E" w:rsidRDefault="00785F70" w:rsidP="00785F70">
      <w:pPr>
        <w:pStyle w:val="Heading2"/>
        <w:spacing w:before="360"/>
        <w:ind w:left="547" w:hanging="547"/>
        <w:rPr>
          <w:rFonts w:eastAsia="Times New Roman" w:cs="Times New Roman"/>
          <w:sz w:val="28"/>
          <w:szCs w:val="28"/>
        </w:rPr>
      </w:pPr>
      <w:bookmarkStart w:id="20" w:name="_Toc383447570"/>
      <w:r w:rsidRPr="00AE132E">
        <w:t>Assessment of Customer Fatigue</w:t>
      </w:r>
      <w:bookmarkEnd w:id="19"/>
      <w:bookmarkEnd w:id="20"/>
    </w:p>
    <w:p w:rsidR="00785F70" w:rsidRPr="00AE132E" w:rsidRDefault="00785F70" w:rsidP="00785F70">
      <w:pPr>
        <w:pStyle w:val="BodyParagraph"/>
      </w:pPr>
      <w:bookmarkStart w:id="21" w:name="_Toc363116406"/>
      <w:r w:rsidRPr="00AE132E">
        <w:t xml:space="preserve">Only one PTR event was called in 2013, and that event was on a Saturday.  To assess customer fatigue, </w:t>
      </w:r>
      <w:r>
        <w:t>Nexant</w:t>
      </w:r>
      <w:r w:rsidRPr="00AE132E">
        <w:t xml:space="preserve"> compared the 2013 event impacts to the impacts of the two 2012 PTR events that also occurred on a Saturday</w:t>
      </w:r>
      <w:bookmarkEnd w:id="21"/>
      <w:r w:rsidRPr="00AE132E">
        <w:t xml:space="preserve">.  Only customers that participated in all three events were used in the assessment in order to isolate changes in load reductions over time.  The 2012 ex post results were calculated using the same method as the 2013 ex post results.  For the 2012 analysis, August 18, 2012 and September 22, </w:t>
      </w:r>
      <w:r w:rsidRPr="00AE132E">
        <w:lastRenderedPageBreak/>
        <w:t xml:space="preserve">2012 were the event-like days used to match treatment </w:t>
      </w:r>
      <w:r>
        <w:t>and</w:t>
      </w:r>
      <w:r w:rsidRPr="00AE132E">
        <w:t xml:space="preserve"> control customers.  With one PTR event in 2013, this comparison is somewhat inconclusive due to a lack of empirical evidence</w:t>
      </w:r>
      <w:r>
        <w:t xml:space="preserve">.  Nonetheless, </w:t>
      </w:r>
      <w:r w:rsidRPr="00AE132E">
        <w:t xml:space="preserve">it </w:t>
      </w:r>
      <w:r>
        <w:t xml:space="preserve">provides </w:t>
      </w:r>
      <w:r w:rsidRPr="00AE132E">
        <w:t>a data point to consider as the program continues and more events are called in future years.</w:t>
      </w:r>
    </w:p>
    <w:p w:rsidR="00785F70" w:rsidRPr="00AE132E" w:rsidRDefault="00785F70" w:rsidP="00785F70">
      <w:pPr>
        <w:pStyle w:val="BodyParagraph"/>
      </w:pPr>
      <w:r>
        <w:t>Table 4</w:t>
      </w:r>
      <w:r w:rsidRPr="00AE132E">
        <w:t>-2 displays key statistics from the three Saturday event days in 2012 and 2013.  These results were calculated using the same set of 34,108 customers who experienced all three events.  The smallest impacts occurred on the second Saturday event day in 2012.  Both the first Saturday event day in 2012 and the only Saturday event day in 2013 returned slightly higher impacts in terms of percent load reduction and aggregate load reduction.  However, these three data points cannot be used to definitively say that customer fatigue (after multiple events in 2012) led to the decrease in impacts.  For example, 12 AM</w:t>
      </w:r>
      <w:r w:rsidR="002A2791">
        <w:t xml:space="preserve"> to </w:t>
      </w:r>
      <w:r w:rsidRPr="00AE132E">
        <w:t>5 PM heat buildup, the</w:t>
      </w:r>
      <w:r>
        <w:t xml:space="preserve"> average</w:t>
      </w:r>
      <w:r w:rsidRPr="00AE132E">
        <w:t xml:space="preserve"> temperature in the first 17 hours of the day, varies from event day to event day and could be a confounding factor.  In addition, the second event in 2012 was called in mid-September, which is when many schools are back in session and when demand response events are less likely to occur.  Even with these potentially confounding factors, the aggregate load reduction is within a relatively narrow range of 2.5 MW to 2.</w:t>
      </w:r>
      <w:r>
        <w:t>7</w:t>
      </w:r>
      <w:r w:rsidRPr="00AE132E">
        <w:t xml:space="preserve"> MW, which suggests that this set of customers provides consistent response and is not substantially fatigued from responding to PTR events at this point.</w:t>
      </w:r>
    </w:p>
    <w:p w:rsidR="00785F70" w:rsidRPr="00AE132E" w:rsidRDefault="00785F70" w:rsidP="00785F70">
      <w:pPr>
        <w:pStyle w:val="TableFigureCaption"/>
      </w:pPr>
      <w:r>
        <w:t>Table 4</w:t>
      </w:r>
      <w:r w:rsidRPr="00AE132E">
        <w:t>-2: Results of Customer Fatigue Analysis for Saturday Events in 2012 and 2013</w:t>
      </w:r>
    </w:p>
    <w:tbl>
      <w:tblPr>
        <w:tblW w:w="10098" w:type="dxa"/>
        <w:jc w:val="center"/>
        <w:tblInd w:w="918" w:type="dxa"/>
        <w:tblLook w:val="04A0" w:firstRow="1" w:lastRow="0" w:firstColumn="1" w:lastColumn="0" w:noHBand="0" w:noVBand="1"/>
      </w:tblPr>
      <w:tblGrid>
        <w:gridCol w:w="1555"/>
        <w:gridCol w:w="1180"/>
        <w:gridCol w:w="1160"/>
        <w:gridCol w:w="1240"/>
        <w:gridCol w:w="1200"/>
        <w:gridCol w:w="1180"/>
        <w:gridCol w:w="1143"/>
        <w:gridCol w:w="1440"/>
      </w:tblGrid>
      <w:tr w:rsidR="00785F70" w:rsidRPr="003B1388" w:rsidTr="00084DA8">
        <w:trPr>
          <w:trHeight w:val="935"/>
          <w:jc w:val="center"/>
        </w:trPr>
        <w:tc>
          <w:tcPr>
            <w:tcW w:w="1555" w:type="dxa"/>
            <w:tcBorders>
              <w:top w:val="single" w:sz="4" w:space="0" w:color="000000"/>
              <w:left w:val="single" w:sz="4" w:space="0" w:color="000000"/>
              <w:bottom w:val="nil"/>
              <w:right w:val="single" w:sz="4" w:space="0" w:color="FFFFFF"/>
            </w:tcBorders>
            <w:shd w:val="clear" w:color="000000" w:fill="1F497D"/>
            <w:vAlign w:val="center"/>
            <w:hideMark/>
          </w:tcPr>
          <w:p w:rsidR="00785F70" w:rsidRPr="003B1388" w:rsidRDefault="00785F70" w:rsidP="00084DA8">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rPr>
              <w:t>PTR Event Date</w:t>
            </w:r>
          </w:p>
        </w:tc>
        <w:tc>
          <w:tcPr>
            <w:tcW w:w="1180" w:type="dxa"/>
            <w:tcBorders>
              <w:top w:val="single" w:sz="4" w:space="0" w:color="000000"/>
              <w:left w:val="nil"/>
              <w:bottom w:val="nil"/>
              <w:right w:val="single" w:sz="4" w:space="0" w:color="FFFFFF"/>
            </w:tcBorders>
            <w:shd w:val="clear" w:color="000000" w:fill="1F497D"/>
            <w:vAlign w:val="center"/>
            <w:hideMark/>
          </w:tcPr>
          <w:p w:rsidR="00785F70" w:rsidRPr="003B1388" w:rsidRDefault="00785F70" w:rsidP="00084DA8">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lang w:eastAsia="ko-KR"/>
              </w:rPr>
              <w:t>Number of Customers</w:t>
            </w:r>
          </w:p>
        </w:tc>
        <w:tc>
          <w:tcPr>
            <w:tcW w:w="1160" w:type="dxa"/>
            <w:tcBorders>
              <w:top w:val="single" w:sz="4" w:space="0" w:color="000000"/>
              <w:left w:val="nil"/>
              <w:bottom w:val="nil"/>
              <w:right w:val="single" w:sz="4" w:space="0" w:color="FFFFFF"/>
            </w:tcBorders>
            <w:shd w:val="clear" w:color="000000" w:fill="1F497D"/>
            <w:vAlign w:val="center"/>
            <w:hideMark/>
          </w:tcPr>
          <w:p w:rsidR="00785F70" w:rsidRPr="003B1388" w:rsidRDefault="00785F70" w:rsidP="00084DA8">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lang w:eastAsia="ko-KR"/>
              </w:rPr>
              <w:t>Avg. Reference Load (kW)</w:t>
            </w:r>
          </w:p>
        </w:tc>
        <w:tc>
          <w:tcPr>
            <w:tcW w:w="1240" w:type="dxa"/>
            <w:tcBorders>
              <w:top w:val="single" w:sz="4" w:space="0" w:color="000000"/>
              <w:left w:val="nil"/>
              <w:bottom w:val="nil"/>
              <w:right w:val="single" w:sz="4" w:space="0" w:color="FFFFFF"/>
            </w:tcBorders>
            <w:shd w:val="clear" w:color="000000" w:fill="1F497D"/>
            <w:vAlign w:val="center"/>
            <w:hideMark/>
          </w:tcPr>
          <w:p w:rsidR="00785F70" w:rsidRPr="003B1388" w:rsidRDefault="00785F70" w:rsidP="00084DA8">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lang w:eastAsia="ko-KR"/>
              </w:rPr>
              <w:t>Avg. Load with DR (kW)</w:t>
            </w:r>
          </w:p>
        </w:tc>
        <w:tc>
          <w:tcPr>
            <w:tcW w:w="1200" w:type="dxa"/>
            <w:tcBorders>
              <w:top w:val="single" w:sz="4" w:space="0" w:color="000000"/>
              <w:left w:val="nil"/>
              <w:bottom w:val="nil"/>
              <w:right w:val="single" w:sz="4" w:space="0" w:color="FFFFFF"/>
            </w:tcBorders>
            <w:shd w:val="clear" w:color="000000" w:fill="1F497D"/>
            <w:vAlign w:val="center"/>
            <w:hideMark/>
          </w:tcPr>
          <w:p w:rsidR="00785F70" w:rsidRPr="003B1388" w:rsidRDefault="00785F70" w:rsidP="00084DA8">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lang w:eastAsia="ko-KR"/>
              </w:rPr>
              <w:t>Avg. Load Reduction (kW)</w:t>
            </w:r>
          </w:p>
        </w:tc>
        <w:tc>
          <w:tcPr>
            <w:tcW w:w="1180" w:type="dxa"/>
            <w:tcBorders>
              <w:top w:val="single" w:sz="4" w:space="0" w:color="000000"/>
              <w:left w:val="nil"/>
              <w:bottom w:val="nil"/>
              <w:right w:val="single" w:sz="4" w:space="0" w:color="FFFFFF"/>
            </w:tcBorders>
            <w:shd w:val="clear" w:color="000000" w:fill="1F497D"/>
            <w:vAlign w:val="center"/>
            <w:hideMark/>
          </w:tcPr>
          <w:p w:rsidR="00785F70" w:rsidRPr="003B1388" w:rsidRDefault="00785F70" w:rsidP="00084DA8">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lang w:eastAsia="ko-KR"/>
              </w:rPr>
              <w:t>% Load Reduction</w:t>
            </w:r>
          </w:p>
        </w:tc>
        <w:tc>
          <w:tcPr>
            <w:tcW w:w="1143" w:type="dxa"/>
            <w:tcBorders>
              <w:top w:val="single" w:sz="4" w:space="0" w:color="000000"/>
              <w:left w:val="nil"/>
              <w:bottom w:val="nil"/>
              <w:right w:val="single" w:sz="4" w:space="0" w:color="FFFFFF"/>
            </w:tcBorders>
            <w:shd w:val="clear" w:color="000000" w:fill="1F497D"/>
            <w:vAlign w:val="center"/>
            <w:hideMark/>
          </w:tcPr>
          <w:p w:rsidR="00785F70" w:rsidRPr="003B1388" w:rsidRDefault="00785F70" w:rsidP="00084DA8">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lang w:eastAsia="ko-KR"/>
              </w:rPr>
              <w:t>Aggregate Load Reduction (MW)</w:t>
            </w:r>
          </w:p>
        </w:tc>
        <w:tc>
          <w:tcPr>
            <w:tcW w:w="1440" w:type="dxa"/>
            <w:tcBorders>
              <w:top w:val="single" w:sz="4" w:space="0" w:color="000000"/>
              <w:left w:val="nil"/>
              <w:bottom w:val="nil"/>
              <w:right w:val="single" w:sz="4" w:space="0" w:color="000000"/>
            </w:tcBorders>
            <w:shd w:val="clear" w:color="000000" w:fill="1F497D"/>
            <w:vAlign w:val="center"/>
            <w:hideMark/>
          </w:tcPr>
          <w:p w:rsidR="00785F70" w:rsidRPr="003B1388" w:rsidRDefault="00785F70" w:rsidP="002A2356">
            <w:pPr>
              <w:spacing w:before="60" w:after="60" w:line="240" w:lineRule="auto"/>
              <w:jc w:val="center"/>
              <w:rPr>
                <w:rFonts w:ascii="Arial" w:eastAsia="Times New Roman" w:hAnsi="Arial" w:cs="Arial"/>
                <w:b/>
                <w:bCs/>
                <w:color w:val="FFFFFF"/>
                <w:sz w:val="18"/>
                <w:szCs w:val="18"/>
              </w:rPr>
            </w:pPr>
            <w:r w:rsidRPr="003B1388">
              <w:rPr>
                <w:rFonts w:ascii="Arial" w:eastAsia="Times New Roman" w:hAnsi="Arial" w:cs="Arial"/>
                <w:b/>
                <w:bCs/>
                <w:color w:val="FFFFFF"/>
                <w:sz w:val="18"/>
                <w:szCs w:val="18"/>
                <w:lang w:eastAsia="ko-KR"/>
              </w:rPr>
              <w:t>Heat Buildup (Avg. °F,</w:t>
            </w:r>
            <w:r w:rsidR="002A2356">
              <w:rPr>
                <w:rFonts w:ascii="Arial" w:eastAsia="Times New Roman" w:hAnsi="Arial" w:cs="Arial"/>
                <w:b/>
                <w:bCs/>
                <w:color w:val="FFFFFF"/>
                <w:sz w:val="18"/>
                <w:szCs w:val="18"/>
                <w:lang w:eastAsia="ko-KR"/>
              </w:rPr>
              <w:br/>
            </w:r>
            <w:r w:rsidRPr="003B1388">
              <w:rPr>
                <w:rFonts w:ascii="Arial" w:eastAsia="Times New Roman" w:hAnsi="Arial" w:cs="Arial"/>
                <w:b/>
                <w:bCs/>
                <w:color w:val="FFFFFF"/>
                <w:sz w:val="18"/>
                <w:szCs w:val="18"/>
                <w:lang w:eastAsia="ko-KR"/>
              </w:rPr>
              <w:t>12 AM</w:t>
            </w:r>
            <w:r w:rsidR="003D5620">
              <w:rPr>
                <w:rFonts w:ascii="Arial" w:eastAsia="Times New Roman" w:hAnsi="Arial" w:cs="Arial"/>
                <w:b/>
                <w:bCs/>
                <w:color w:val="FFFFFF"/>
                <w:sz w:val="18"/>
                <w:szCs w:val="18"/>
                <w:lang w:eastAsia="ko-KR"/>
              </w:rPr>
              <w:t xml:space="preserve"> to </w:t>
            </w:r>
            <w:r w:rsidRPr="003B1388">
              <w:rPr>
                <w:rFonts w:ascii="Arial" w:eastAsia="Times New Roman" w:hAnsi="Arial" w:cs="Arial"/>
                <w:b/>
                <w:bCs/>
                <w:color w:val="FFFFFF"/>
                <w:sz w:val="18"/>
                <w:szCs w:val="18"/>
                <w:lang w:eastAsia="ko-KR"/>
              </w:rPr>
              <w:t>5 PM)</w:t>
            </w:r>
          </w:p>
        </w:tc>
      </w:tr>
      <w:tr w:rsidR="00785F70" w:rsidRPr="003B1388" w:rsidTr="00084DA8">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8/11/2012</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34,108</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1.43</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1.35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0.08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5.5%</w:t>
            </w: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2.7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76.8</w:t>
            </w:r>
          </w:p>
        </w:tc>
      </w:tr>
      <w:tr w:rsidR="00785F70" w:rsidRPr="003B1388" w:rsidTr="00084DA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9/15/2012</w:t>
            </w:r>
          </w:p>
        </w:tc>
        <w:tc>
          <w:tcPr>
            <w:tcW w:w="118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34,108</w:t>
            </w:r>
          </w:p>
        </w:tc>
        <w:tc>
          <w:tcPr>
            <w:tcW w:w="116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1.77</w:t>
            </w:r>
          </w:p>
        </w:tc>
        <w:tc>
          <w:tcPr>
            <w:tcW w:w="124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1.69</w:t>
            </w:r>
          </w:p>
        </w:tc>
        <w:tc>
          <w:tcPr>
            <w:tcW w:w="120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0.07</w:t>
            </w:r>
          </w:p>
        </w:tc>
        <w:tc>
          <w:tcPr>
            <w:tcW w:w="118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4.2%</w:t>
            </w:r>
          </w:p>
        </w:tc>
        <w:tc>
          <w:tcPr>
            <w:tcW w:w="1143"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2.5</w:t>
            </w:r>
          </w:p>
        </w:tc>
        <w:tc>
          <w:tcPr>
            <w:tcW w:w="144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84.4</w:t>
            </w:r>
          </w:p>
        </w:tc>
      </w:tr>
      <w:tr w:rsidR="00785F70" w:rsidRPr="003B1388" w:rsidTr="00084DA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8/31/2013</w:t>
            </w:r>
          </w:p>
        </w:tc>
        <w:tc>
          <w:tcPr>
            <w:tcW w:w="118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34,108</w:t>
            </w:r>
          </w:p>
        </w:tc>
        <w:tc>
          <w:tcPr>
            <w:tcW w:w="116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1.64</w:t>
            </w:r>
          </w:p>
        </w:tc>
        <w:tc>
          <w:tcPr>
            <w:tcW w:w="124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1.56</w:t>
            </w:r>
          </w:p>
        </w:tc>
        <w:tc>
          <w:tcPr>
            <w:tcW w:w="120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0.08</w:t>
            </w:r>
          </w:p>
        </w:tc>
        <w:tc>
          <w:tcPr>
            <w:tcW w:w="118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4.8%</w:t>
            </w:r>
          </w:p>
        </w:tc>
        <w:tc>
          <w:tcPr>
            <w:tcW w:w="1143"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2.7</w:t>
            </w:r>
          </w:p>
        </w:tc>
        <w:tc>
          <w:tcPr>
            <w:tcW w:w="144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color w:val="000000"/>
                <w:sz w:val="16"/>
                <w:szCs w:val="16"/>
              </w:rPr>
            </w:pPr>
            <w:r w:rsidRPr="003B1388">
              <w:rPr>
                <w:rFonts w:ascii="Arial" w:eastAsia="Times New Roman" w:hAnsi="Arial" w:cs="Arial"/>
                <w:color w:val="000000"/>
                <w:sz w:val="16"/>
                <w:szCs w:val="16"/>
              </w:rPr>
              <w:t>80.0</w:t>
            </w:r>
          </w:p>
        </w:tc>
      </w:tr>
      <w:tr w:rsidR="00785F70" w:rsidRPr="003B1388" w:rsidTr="00084DA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Average</w:t>
            </w:r>
          </w:p>
        </w:tc>
        <w:tc>
          <w:tcPr>
            <w:tcW w:w="118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34,108</w:t>
            </w:r>
          </w:p>
        </w:tc>
        <w:tc>
          <w:tcPr>
            <w:tcW w:w="116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1.61</w:t>
            </w:r>
          </w:p>
        </w:tc>
        <w:tc>
          <w:tcPr>
            <w:tcW w:w="124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1.54</w:t>
            </w:r>
          </w:p>
        </w:tc>
        <w:tc>
          <w:tcPr>
            <w:tcW w:w="120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0.08</w:t>
            </w:r>
          </w:p>
        </w:tc>
        <w:tc>
          <w:tcPr>
            <w:tcW w:w="118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4.8%</w:t>
            </w:r>
          </w:p>
        </w:tc>
        <w:tc>
          <w:tcPr>
            <w:tcW w:w="1143"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2.6</w:t>
            </w:r>
          </w:p>
        </w:tc>
        <w:tc>
          <w:tcPr>
            <w:tcW w:w="1440" w:type="dxa"/>
            <w:tcBorders>
              <w:top w:val="nil"/>
              <w:left w:val="nil"/>
              <w:bottom w:val="single" w:sz="4" w:space="0" w:color="auto"/>
              <w:right w:val="single" w:sz="4" w:space="0" w:color="auto"/>
            </w:tcBorders>
            <w:shd w:val="clear" w:color="auto" w:fill="auto"/>
            <w:noWrap/>
            <w:vAlign w:val="center"/>
            <w:hideMark/>
          </w:tcPr>
          <w:p w:rsidR="00785F70" w:rsidRPr="003B1388" w:rsidRDefault="00785F70" w:rsidP="00084DA8">
            <w:pPr>
              <w:spacing w:before="60" w:after="60" w:line="240" w:lineRule="auto"/>
              <w:jc w:val="center"/>
              <w:rPr>
                <w:rFonts w:ascii="Arial" w:eastAsia="Times New Roman" w:hAnsi="Arial" w:cs="Arial"/>
                <w:b/>
                <w:bCs/>
                <w:color w:val="000000"/>
                <w:sz w:val="16"/>
                <w:szCs w:val="16"/>
              </w:rPr>
            </w:pPr>
            <w:r w:rsidRPr="003B1388">
              <w:rPr>
                <w:rFonts w:ascii="Arial" w:eastAsia="Times New Roman" w:hAnsi="Arial" w:cs="Arial"/>
                <w:b/>
                <w:bCs/>
                <w:color w:val="000000"/>
                <w:sz w:val="16"/>
                <w:szCs w:val="16"/>
              </w:rPr>
              <w:t>80.4</w:t>
            </w:r>
          </w:p>
        </w:tc>
      </w:tr>
    </w:tbl>
    <w:p w:rsidR="00785F70" w:rsidRDefault="00785F70" w:rsidP="00785F70">
      <w:pPr>
        <w:pStyle w:val="Heading2"/>
        <w:spacing w:before="360"/>
      </w:pPr>
      <w:bookmarkStart w:id="22" w:name="_Toc383447571"/>
      <w:r>
        <w:t>Comparison of 2012 and 2013 Ex Post Load Impact Estimates</w:t>
      </w:r>
      <w:bookmarkEnd w:id="22"/>
    </w:p>
    <w:p w:rsidR="00785F70" w:rsidRPr="00DD281B" w:rsidRDefault="00785F70" w:rsidP="00785F70">
      <w:pPr>
        <w:pStyle w:val="BodyParagraph"/>
      </w:pPr>
      <w:r>
        <w:t xml:space="preserve">Figure 4-3 provides a comparison of the ex post load impact estimates that were reported in the 2012 </w:t>
      </w:r>
      <w:r w:rsidR="00084DA8">
        <w:t>opt-in PTR</w:t>
      </w:r>
      <w:r>
        <w:t xml:space="preserve"> evaluation to those reported in this evaluation.  The 2012 PTR evaluation found that opt-in alert customers provided a 0.09 kW load reduction (6.6%) on average across seven event days.  For the two Saturday events in 2012, </w:t>
      </w:r>
      <w:r w:rsidR="00084DA8">
        <w:t>opt-in PTR</w:t>
      </w:r>
      <w:r>
        <w:t xml:space="preserve"> customers delivered an average load reduction of 0.11 kW (6.7%).  The 2013 evaluation found that </w:t>
      </w:r>
      <w:r w:rsidR="00084DA8">
        <w:t>opt-in PTR</w:t>
      </w:r>
      <w:r>
        <w:t xml:space="preserve"> customers provided a 0.12 kW load reduction (7.2%) on the August 31 event.  However, customers that enrolled in 2012 provided a relatively low reduction of 0.09 kW, which is equal to the average event estimate from the 2012 evaluation, but slightly lower than the average Saturday event in 2012.  While it seems most appropriate to compare the Saturday estimates, the two Saturdays in 2012 featured an average event temperature of 89.8 </w:t>
      </w:r>
      <w:r w:rsidRPr="00B95D14">
        <w:t>°F</w:t>
      </w:r>
      <w:r>
        <w:t xml:space="preserve">, which is significantly higher than temperatures during 2013 event hours (83.8 </w:t>
      </w:r>
      <w:r w:rsidRPr="00B95D14">
        <w:t>°F</w:t>
      </w:r>
      <w:r>
        <w:t xml:space="preserve">).  Therefore, it is not surprising that the Saturday ex post load impact estimates are slightly lower in 2013 for customers that have participated in PTR since 2012.  However, after incorporating the relatively high impacts from customers that enrolled in 2013, the August 31 load impact estimate increased by nearly 33% (from 0.09 kW to 0.12 kW).  As a result, the 2013 ex post load impact estimates are higher because the 2013 enrollees </w:t>
      </w:r>
      <w:r>
        <w:lastRenderedPageBreak/>
        <w:t>provided relatively large load impacts, albeit for a single event.  It will be important to observe if their performance remains strong in 2014.</w:t>
      </w:r>
    </w:p>
    <w:p w:rsidR="00785F70" w:rsidRDefault="00785F70" w:rsidP="00785F70">
      <w:pPr>
        <w:pStyle w:val="TableFigureCaption"/>
      </w:pPr>
      <w:r>
        <w:t>Figure 4-3: Comparison of 2012 and 2013 Ex Post Load Impact Estimates</w:t>
      </w:r>
    </w:p>
    <w:p w:rsidR="00785F70" w:rsidRDefault="00785F70" w:rsidP="00785F70">
      <w:pPr>
        <w:pStyle w:val="TableFigureCaption"/>
      </w:pPr>
      <w:r>
        <w:rPr>
          <w:noProof/>
        </w:rPr>
        <w:drawing>
          <wp:inline distT="0" distB="0" distL="0" distR="0" wp14:anchorId="20AE1136" wp14:editId="50D702E2">
            <wp:extent cx="5943600" cy="3601085"/>
            <wp:effectExtent l="19050" t="19050" r="19050" b="1841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01085"/>
                    </a:xfrm>
                    <a:prstGeom prst="rect">
                      <a:avLst/>
                    </a:prstGeom>
                    <a:noFill/>
                    <a:ln>
                      <a:solidFill>
                        <a:schemeClr val="tx1"/>
                      </a:solidFill>
                    </a:ln>
                  </pic:spPr>
                </pic:pic>
              </a:graphicData>
            </a:graphic>
          </wp:inline>
        </w:drawing>
      </w:r>
    </w:p>
    <w:p w:rsidR="00785F70" w:rsidRPr="009B41AB" w:rsidRDefault="00785F70" w:rsidP="00785F70">
      <w:pPr>
        <w:pStyle w:val="BodyParaAfterTableFigure"/>
      </w:pPr>
    </w:p>
    <w:p w:rsidR="0039141A" w:rsidRPr="00BD26B9" w:rsidRDefault="0039141A" w:rsidP="00BD26B9">
      <w:pPr>
        <w:pStyle w:val="Heading1"/>
      </w:pPr>
      <w:r>
        <w:br w:type="page"/>
      </w:r>
    </w:p>
    <w:p w:rsidR="0039141A" w:rsidRPr="00876F3D" w:rsidRDefault="0039141A" w:rsidP="00785F70">
      <w:pPr>
        <w:pStyle w:val="Heading1"/>
        <w:numPr>
          <w:ilvl w:val="0"/>
          <w:numId w:val="10"/>
        </w:numPr>
      </w:pPr>
      <w:bookmarkStart w:id="23" w:name="_Toc352567310"/>
      <w:bookmarkStart w:id="24" w:name="_Toc382482600"/>
      <w:bookmarkStart w:id="25" w:name="_Toc383447572"/>
      <w:r w:rsidRPr="00876F3D">
        <w:lastRenderedPageBreak/>
        <w:t>Ex Ante Method</w:t>
      </w:r>
      <w:r>
        <w:t>ology and Result</w:t>
      </w:r>
      <w:r w:rsidRPr="00876F3D">
        <w:t>s</w:t>
      </w:r>
      <w:bookmarkEnd w:id="23"/>
      <w:bookmarkEnd w:id="24"/>
      <w:bookmarkEnd w:id="25"/>
    </w:p>
    <w:p w:rsidR="00A77483" w:rsidRDefault="0039141A" w:rsidP="0039141A">
      <w:pPr>
        <w:pStyle w:val="BodyParagraph"/>
      </w:pPr>
      <w:r w:rsidRPr="00876F3D">
        <w:t>This section explains the steps used to predict ex ante load impacts</w:t>
      </w:r>
      <w:r w:rsidR="00084DA8">
        <w:t xml:space="preserve"> for</w:t>
      </w:r>
      <w:r>
        <w:t xml:space="preserve"> </w:t>
      </w:r>
      <w:r w:rsidR="00084DA8">
        <w:t>opt-in PTR</w:t>
      </w:r>
      <w:r>
        <w:t xml:space="preserve"> </w:t>
      </w:r>
      <w:r w:rsidR="00084DA8">
        <w:t>and for PCTs that will be deployed through the SCTD program</w:t>
      </w:r>
      <w:r w:rsidRPr="00876F3D">
        <w:t xml:space="preserve">.  </w:t>
      </w:r>
      <w:r w:rsidR="00084DA8">
        <w:t xml:space="preserve">As discussed in Section 2, these PCTs will be activated during future PTR events.  However, for the purposes of this report, the SCTD ex ante impacts are provided separately.  Therefore, the opt-in PTR ex ante load impact estimates specifically </w:t>
      </w:r>
      <w:r w:rsidR="00A77483">
        <w:t>refer to the non-SCTD customers.</w:t>
      </w:r>
    </w:p>
    <w:p w:rsidR="00A77483" w:rsidRDefault="00A77483" w:rsidP="0039141A">
      <w:pPr>
        <w:pStyle w:val="BodyParagraph"/>
      </w:pPr>
      <w:r>
        <w:t xml:space="preserve">Another important distinction in the </w:t>
      </w:r>
      <w:proofErr w:type="spellStart"/>
      <w:r>
        <w:t>ex ante</w:t>
      </w:r>
      <w:proofErr w:type="spellEnd"/>
      <w:r>
        <w:t xml:space="preserve"> analysis is between </w:t>
      </w:r>
      <w:r w:rsidRPr="00A77483">
        <w:rPr>
          <w:i/>
        </w:rPr>
        <w:t>opt-in PTR-only</w:t>
      </w:r>
      <w:r>
        <w:t xml:space="preserve"> customers and </w:t>
      </w:r>
      <w:r w:rsidRPr="00A77483">
        <w:rPr>
          <w:i/>
        </w:rPr>
        <w:t>dually</w:t>
      </w:r>
      <w:r w:rsidR="00AA0F3C">
        <w:rPr>
          <w:i/>
        </w:rPr>
        <w:noBreakHyphen/>
      </w:r>
      <w:r w:rsidRPr="00A77483">
        <w:rPr>
          <w:i/>
        </w:rPr>
        <w:t>enrolled</w:t>
      </w:r>
      <w:r>
        <w:t xml:space="preserve"> customers, which is determined by dual enrollment in Summer Saver – SDG&amp;E’s air conditioning cycling program.  These sets of customers must be divided in the analysis because ex ante load impacts for dually-enrolled customers are attributed to the Summer Saver program in SDG&amp;E’s demand response portfolio.  Therefore, the opt-in PTR ex ante load impacts are assumed to be zero for dually-enrolled customers in the portfolio evaluation.  Nonetheless, this report focuses on program-specific ex ante load impacts, which shows how dually-enrolled customers will perform when </w:t>
      </w:r>
      <w:r w:rsidR="00900FB1">
        <w:t>opt-in PTR is called by itself.</w:t>
      </w:r>
    </w:p>
    <w:p w:rsidR="00084DA8" w:rsidRDefault="00084DA8" w:rsidP="00084DA8">
      <w:pPr>
        <w:pStyle w:val="Heading2"/>
      </w:pPr>
      <w:bookmarkStart w:id="26" w:name="_Toc383447573"/>
      <w:r>
        <w:t>Opt-in PTR Methodology</w:t>
      </w:r>
      <w:bookmarkEnd w:id="26"/>
    </w:p>
    <w:p w:rsidR="0039141A" w:rsidRPr="00B017D2" w:rsidRDefault="0039141A" w:rsidP="0039141A">
      <w:pPr>
        <w:pStyle w:val="BodyParagraph"/>
      </w:pPr>
      <w:r w:rsidRPr="00876F3D">
        <w:t xml:space="preserve">There are a few issues that must be </w:t>
      </w:r>
      <w:r>
        <w:t xml:space="preserve">addressed when developing ex ante load impact </w:t>
      </w:r>
      <w:r w:rsidR="00084DA8">
        <w:t>estimates</w:t>
      </w:r>
      <w:r w:rsidRPr="00876F3D">
        <w:t xml:space="preserve">.  First, the weather observed during </w:t>
      </w:r>
      <w:r w:rsidR="00084DA8">
        <w:t>the event</w:t>
      </w:r>
      <w:r w:rsidRPr="00876F3D">
        <w:t xml:space="preserve"> in 2013 is different </w:t>
      </w:r>
      <w:r>
        <w:t>from</w:t>
      </w:r>
      <w:r w:rsidRPr="00876F3D">
        <w:t xml:space="preserve"> the </w:t>
      </w:r>
      <w:proofErr w:type="spellStart"/>
      <w:r w:rsidRPr="00876F3D">
        <w:t>ex ante</w:t>
      </w:r>
      <w:proofErr w:type="spellEnd"/>
      <w:r w:rsidRPr="00876F3D">
        <w:t xml:space="preserve"> weather conditions.  Second, the population that experienced each event was not constant </w:t>
      </w:r>
      <w:r>
        <w:t>over the estimating sample since the analysis relies on ex post estimates for two years during which the pop</w:t>
      </w:r>
      <w:r w:rsidR="00084DA8">
        <w:t xml:space="preserve">ulation changed significantly (with only one event in 2013, the analysis had to draw from the seven events in 2012).  </w:t>
      </w:r>
      <w:r>
        <w:t xml:space="preserve">The </w:t>
      </w:r>
      <w:proofErr w:type="spellStart"/>
      <w:r>
        <w:t>ex ante</w:t>
      </w:r>
      <w:proofErr w:type="spellEnd"/>
      <w:r>
        <w:t xml:space="preserve"> estimates must reflect the current population mix (or futu</w:t>
      </w:r>
      <w:r w:rsidR="00084DA8">
        <w:t xml:space="preserve">re mix which, in this case, is assumed to be </w:t>
      </w:r>
      <w:r>
        <w:t xml:space="preserve">identical to the current population).  Finally, </w:t>
      </w:r>
      <w:r w:rsidRPr="00B017D2">
        <w:t xml:space="preserve">even </w:t>
      </w:r>
      <w:r>
        <w:t xml:space="preserve">after combining </w:t>
      </w:r>
      <w:r w:rsidRPr="00B017D2">
        <w:t xml:space="preserve">observations </w:t>
      </w:r>
      <w:r>
        <w:t xml:space="preserve">from </w:t>
      </w:r>
      <w:r w:rsidRPr="00B017D2">
        <w:t>2012</w:t>
      </w:r>
      <w:r>
        <w:t xml:space="preserve"> and 2013</w:t>
      </w:r>
      <w:r w:rsidRPr="00B017D2">
        <w:t xml:space="preserve">, there are only </w:t>
      </w:r>
      <w:r w:rsidR="0050349B">
        <w:t>seven</w:t>
      </w:r>
      <w:r w:rsidRPr="00B017D2">
        <w:t xml:space="preserve"> events for each </w:t>
      </w:r>
      <w:r w:rsidR="0050349B">
        <w:t>climate zone</w:t>
      </w:r>
      <w:r w:rsidRPr="00B017D2">
        <w:t xml:space="preserve"> to use for modeling.  The modeling procedure outlined here makes the most of the data that exists.</w:t>
      </w:r>
    </w:p>
    <w:p w:rsidR="0039141A" w:rsidRPr="00B017D2" w:rsidRDefault="0039141A" w:rsidP="0039141A">
      <w:pPr>
        <w:pStyle w:val="BodyBeforeBullet"/>
      </w:pPr>
      <w:r w:rsidRPr="00B017D2">
        <w:t xml:space="preserve">At a high level, the modeling steps consist of the following (each step was performed separately for </w:t>
      </w:r>
      <w:r w:rsidR="0050349B">
        <w:t>o</w:t>
      </w:r>
      <w:r w:rsidR="00084DA8">
        <w:t>pt-in PTR</w:t>
      </w:r>
      <w:r w:rsidRPr="00B017D2">
        <w:t xml:space="preserve">-only and </w:t>
      </w:r>
      <w:r w:rsidR="0050349B">
        <w:t xml:space="preserve">for customers </w:t>
      </w:r>
      <w:r w:rsidRPr="00B017D2">
        <w:t xml:space="preserve">dually-enrolled </w:t>
      </w:r>
      <w:r w:rsidR="0050349B">
        <w:t>in Summer Saver</w:t>
      </w:r>
      <w:r>
        <w:t>)</w:t>
      </w:r>
      <w:r w:rsidRPr="00B017D2">
        <w:t>:</w:t>
      </w:r>
    </w:p>
    <w:p w:rsidR="0039141A" w:rsidRPr="00B017D2" w:rsidRDefault="0039141A" w:rsidP="0039141A">
      <w:pPr>
        <w:pStyle w:val="Bullets"/>
      </w:pPr>
      <w:r w:rsidRPr="00B017D2">
        <w:t xml:space="preserve">First, groups of </w:t>
      </w:r>
      <w:r w:rsidR="0050349B">
        <w:t>o</w:t>
      </w:r>
      <w:r w:rsidR="00084DA8">
        <w:t>pt-in PTR</w:t>
      </w:r>
      <w:r w:rsidRPr="00B017D2">
        <w:t xml:space="preserve"> customers were identified who were representative of the population </w:t>
      </w:r>
      <w:r>
        <w:t>at</w:t>
      </w:r>
      <w:r w:rsidRPr="00B017D2">
        <w:t xml:space="preserve"> the end of 2013 and who experienced all the 2012 and 2013 </w:t>
      </w:r>
      <w:r w:rsidR="0050349B">
        <w:t>o</w:t>
      </w:r>
      <w:r w:rsidR="00084DA8">
        <w:t>pt-in PTR</w:t>
      </w:r>
      <w:r w:rsidRPr="00B017D2">
        <w:t xml:space="preserve"> events.  Propensity score matching was used to find these groups;</w:t>
      </w:r>
    </w:p>
    <w:p w:rsidR="0039141A" w:rsidRPr="00B017D2" w:rsidRDefault="0039141A" w:rsidP="0039141A">
      <w:pPr>
        <w:pStyle w:val="Bullets"/>
      </w:pPr>
      <w:r w:rsidRPr="00B017D2">
        <w:t>Next, ex post estimates were developed for these customers for 2012 and 2013 using matched control groups of non-</w:t>
      </w:r>
      <w:r w:rsidR="0050349B">
        <w:t>alert</w:t>
      </w:r>
      <w:r w:rsidRPr="00B017D2">
        <w:t xml:space="preserve"> customers for each year;</w:t>
      </w:r>
    </w:p>
    <w:p w:rsidR="0039141A" w:rsidRPr="00B017D2" w:rsidRDefault="0039141A" w:rsidP="0039141A">
      <w:pPr>
        <w:pStyle w:val="Bullets"/>
      </w:pPr>
      <w:r w:rsidRPr="00B017D2">
        <w:t xml:space="preserve">Then an ex ante regression model was developed to explain average ex post impacts from </w:t>
      </w:r>
      <w:r w:rsidR="0050349B">
        <w:t>11 AM to 6</w:t>
      </w:r>
      <w:r w:rsidRPr="00B017D2">
        <w:t xml:space="preserve"> PM as a function of temperatures that day.  This model was not estimated separately for each hour; rather, a single average value from </w:t>
      </w:r>
      <w:r w:rsidR="0050349B">
        <w:t>11 AM to 6</w:t>
      </w:r>
      <w:r w:rsidRPr="00B017D2">
        <w:t xml:space="preserve"> PM was us</w:t>
      </w:r>
      <w:r>
        <w:t xml:space="preserve">ed as the dependent variable.  </w:t>
      </w:r>
      <w:r w:rsidR="0050349B">
        <w:t>T</w:t>
      </w:r>
      <w:r>
        <w:t xml:space="preserve">he data from </w:t>
      </w:r>
      <w:r w:rsidR="0050349B">
        <w:t>both climate zones</w:t>
      </w:r>
      <w:r>
        <w:t xml:space="preserve"> was pooled.  Pooling increases the range of temperatures included in the estimating sample, thus reducing the need to extrapolate outside of the historical conditions to estimate impacts for 1-in-10 year weather conditions, which represe</w:t>
      </w:r>
      <w:r w:rsidR="0050349B">
        <w:t>nt temperatures within many climate zones</w:t>
      </w:r>
      <w:r>
        <w:t xml:space="preserve"> that are not often experienced during the ex post period.  </w:t>
      </w:r>
      <w:r w:rsidRPr="00B017D2">
        <w:t xml:space="preserve">The model was used to predict average impacts from </w:t>
      </w:r>
      <w:r w:rsidR="0050349B">
        <w:t>11</w:t>
      </w:r>
      <w:r w:rsidRPr="00B017D2">
        <w:t xml:space="preserve"> </w:t>
      </w:r>
      <w:r w:rsidR="0050349B">
        <w:t xml:space="preserve">AM </w:t>
      </w:r>
      <w:r w:rsidRPr="00B017D2">
        <w:t xml:space="preserve">to </w:t>
      </w:r>
      <w:r w:rsidR="0050349B">
        <w:t>6</w:t>
      </w:r>
      <w:r w:rsidRPr="00B017D2">
        <w:t xml:space="preserve"> PM for the set </w:t>
      </w:r>
      <w:r w:rsidR="0050349B">
        <w:t xml:space="preserve">of ex ante weather conditions; </w:t>
      </w:r>
    </w:p>
    <w:p w:rsidR="0039141A" w:rsidRPr="00B017D2" w:rsidRDefault="0039141A" w:rsidP="0039141A">
      <w:pPr>
        <w:pStyle w:val="Bullets"/>
      </w:pPr>
      <w:r w:rsidRPr="00B017D2">
        <w:lastRenderedPageBreak/>
        <w:t xml:space="preserve">The </w:t>
      </w:r>
      <w:proofErr w:type="spellStart"/>
      <w:r w:rsidRPr="00B017D2">
        <w:t>ex</w:t>
      </w:r>
      <w:r w:rsidR="0050349B">
        <w:t xml:space="preserve"> ante</w:t>
      </w:r>
      <w:proofErr w:type="spellEnd"/>
      <w:r w:rsidR="0050349B">
        <w:t xml:space="preserve"> impact estimates </w:t>
      </w:r>
      <w:r w:rsidRPr="00B017D2">
        <w:t>were then co</w:t>
      </w:r>
      <w:r w:rsidR="0050349B">
        <w:t>nverted to hourly impacts from 11 AM</w:t>
      </w:r>
      <w:r w:rsidRPr="00B017D2">
        <w:t xml:space="preserve"> to </w:t>
      </w:r>
      <w:r w:rsidR="0050349B">
        <w:t xml:space="preserve">midnight (including </w:t>
      </w:r>
      <w:r w:rsidR="002A2791">
        <w:t xml:space="preserve">the </w:t>
      </w:r>
      <w:r w:rsidR="0050349B">
        <w:t>post-event period)</w:t>
      </w:r>
      <w:r w:rsidRPr="00B017D2">
        <w:t xml:space="preserve"> using a scaling factor based </w:t>
      </w:r>
      <w:r>
        <w:t xml:space="preserve">on </w:t>
      </w:r>
      <w:r w:rsidRPr="00B017D2">
        <w:t>the average ratio between impacts at different hours.  The scaling factor was calculated by comparing average impacts from the entire event period to average impacts for each event hour</w:t>
      </w:r>
      <w:r w:rsidR="0050349B">
        <w:t xml:space="preserve"> and post-event hour</w:t>
      </w:r>
      <w:r w:rsidRPr="00B017D2">
        <w:t xml:space="preserve"> based on ex post results;  </w:t>
      </w:r>
      <w:r w:rsidR="0050349B">
        <w:t>and</w:t>
      </w:r>
    </w:p>
    <w:p w:rsidR="0039141A" w:rsidRPr="00B017D2" w:rsidRDefault="002A2791" w:rsidP="0050349B">
      <w:pPr>
        <w:pStyle w:val="BulletLast"/>
      </w:pPr>
      <w:r>
        <w:t>Finally</w:t>
      </w:r>
      <w:r w:rsidR="0039141A" w:rsidRPr="00B017D2">
        <w:t xml:space="preserve">, </w:t>
      </w:r>
      <w:r w:rsidR="0050349B">
        <w:t xml:space="preserve">hourly </w:t>
      </w:r>
      <w:r w:rsidR="0039141A" w:rsidRPr="00B017D2">
        <w:t>whole-house reference loads were predicted for each set of ex ante</w:t>
      </w:r>
      <w:r w:rsidR="0050349B">
        <w:t xml:space="preserve"> weather conditions based on</w:t>
      </w:r>
      <w:r w:rsidR="0039141A" w:rsidRPr="00B017D2">
        <w:t xml:space="preserve"> loads observed </w:t>
      </w:r>
      <w:r w:rsidR="0050349B">
        <w:t xml:space="preserve">in </w:t>
      </w:r>
      <w:r w:rsidR="0039141A" w:rsidRPr="00B017D2">
        <w:t>201</w:t>
      </w:r>
      <w:r w:rsidR="0039141A">
        <w:t>3</w:t>
      </w:r>
      <w:r w:rsidR="0039141A" w:rsidRPr="00B017D2">
        <w:t xml:space="preserve">.  </w:t>
      </w:r>
      <w:r w:rsidR="0039141A">
        <w:t>These reference loads are needed to comply with the load impact protocols</w:t>
      </w:r>
      <w:r w:rsidR="0050349B">
        <w:t>,</w:t>
      </w:r>
      <w:r w:rsidR="0039141A">
        <w:t xml:space="preserve"> but are not necessary for ex ante load impact estimation, as impacts are estimated directly from ex post impact values.  Reference l</w:t>
      </w:r>
      <w:r w:rsidR="0039141A" w:rsidRPr="00B017D2">
        <w:t xml:space="preserve">oad shapes were estimated by </w:t>
      </w:r>
      <w:r w:rsidR="0050349B">
        <w:t>running a simple regression model on 2013 participant load by climate zone</w:t>
      </w:r>
      <w:r w:rsidR="006F1746">
        <w:t>.  The regression model related</w:t>
      </w:r>
      <w:r w:rsidR="006F1746" w:rsidRPr="006F1746">
        <w:t xml:space="preserve"> </w:t>
      </w:r>
      <w:r w:rsidR="006F1746">
        <w:t>hourly usage to temperature, month and day of week</w:t>
      </w:r>
      <w:r w:rsidR="0050349B">
        <w:t>.</w:t>
      </w:r>
    </w:p>
    <w:p w:rsidR="0039141A" w:rsidRPr="00B017D2" w:rsidRDefault="0039141A" w:rsidP="0039141A">
      <w:pPr>
        <w:pStyle w:val="BodyParagraph"/>
      </w:pPr>
      <w:r w:rsidRPr="00B017D2">
        <w:t xml:space="preserve">The steps for estimating load impacts </w:t>
      </w:r>
      <w:r w:rsidR="00AF5EB2">
        <w:t>are described in more detail below.</w:t>
      </w:r>
    </w:p>
    <w:p w:rsidR="0039141A" w:rsidRPr="00B017D2" w:rsidRDefault="0039141A" w:rsidP="0039141A">
      <w:pPr>
        <w:pStyle w:val="Heading2"/>
      </w:pPr>
      <w:bookmarkStart w:id="27" w:name="_Toc352567311"/>
      <w:bookmarkStart w:id="28" w:name="_Toc382482601"/>
      <w:bookmarkStart w:id="29" w:name="_Toc383447574"/>
      <w:r w:rsidRPr="00B017D2">
        <w:t xml:space="preserve">Estimating Ex Ante Load Impacts for </w:t>
      </w:r>
      <w:r w:rsidR="00084DA8">
        <w:t>Opt-in PTR</w:t>
      </w:r>
      <w:bookmarkEnd w:id="27"/>
      <w:bookmarkEnd w:id="28"/>
      <w:bookmarkEnd w:id="29"/>
    </w:p>
    <w:p w:rsidR="0039141A" w:rsidRPr="00B017D2" w:rsidRDefault="0039141A" w:rsidP="0039141A">
      <w:pPr>
        <w:pStyle w:val="BodyParagraph"/>
      </w:pPr>
      <w:r w:rsidRPr="00B017D2">
        <w:t xml:space="preserve">Ex ante impact estimates were calculated by making predictions for ex ante weather conditions using a regression model of ex post impacts from 2012 and 2013.  </w:t>
      </w:r>
      <w:r w:rsidR="0044738A">
        <w:t xml:space="preserve">With only one event in 2013, the analysis had to draw from the seven events in 2012.  Opt-in PTR was a new program for SDG&amp;E in 2012, so no further event data is available outside of these eight events.  Therefore, this ex ante evaluation uses as much empirical data as possible.  </w:t>
      </w:r>
      <w:r w:rsidRPr="00B017D2">
        <w:t xml:space="preserve">The </w:t>
      </w:r>
      <w:proofErr w:type="spellStart"/>
      <w:r w:rsidRPr="00B017D2">
        <w:t>ex ante</w:t>
      </w:r>
      <w:proofErr w:type="spellEnd"/>
      <w:r w:rsidRPr="00B017D2">
        <w:t xml:space="preserve"> weather conditions are the same </w:t>
      </w:r>
      <w:r>
        <w:t xml:space="preserve">as those </w:t>
      </w:r>
      <w:r w:rsidRPr="00B017D2">
        <w:t xml:space="preserve">used for the 2012 </w:t>
      </w:r>
      <w:r w:rsidR="0044738A">
        <w:t>o</w:t>
      </w:r>
      <w:r w:rsidR="00084DA8">
        <w:t>pt-in PTR</w:t>
      </w:r>
      <w:r w:rsidRPr="00B017D2">
        <w:t xml:space="preserve"> evaluation and have been chosen to be representative of 1-in-2 and 1-in-10 monthly peak days and 1-in-2 a</w:t>
      </w:r>
      <w:r w:rsidR="0044738A">
        <w:t>nd 1-in-10 typical event days.</w:t>
      </w:r>
    </w:p>
    <w:p w:rsidR="0039141A" w:rsidRPr="0077167B" w:rsidRDefault="0039141A" w:rsidP="0039141A">
      <w:pPr>
        <w:pStyle w:val="BodyParagraph"/>
        <w:rPr>
          <w:highlight w:val="lightGray"/>
        </w:rPr>
      </w:pPr>
      <w:r w:rsidRPr="006A2056">
        <w:t xml:space="preserve">Prior to regression modeling, a sample of customers that experienced all </w:t>
      </w:r>
      <w:r w:rsidR="0044738A">
        <w:t>historical opt-in PTR</w:t>
      </w:r>
      <w:r w:rsidRPr="006A2056">
        <w:t xml:space="preserve"> events</w:t>
      </w:r>
      <w:r>
        <w:t xml:space="preserve"> was developed </w:t>
      </w:r>
      <w:r w:rsidRPr="006A2056">
        <w:t xml:space="preserve">that had similar observable characteristics to the </w:t>
      </w:r>
      <w:r w:rsidR="0044738A">
        <w:t>o</w:t>
      </w:r>
      <w:r w:rsidR="00084DA8">
        <w:t>pt-in PTR</w:t>
      </w:r>
      <w:r w:rsidRPr="006A2056">
        <w:t xml:space="preserve"> population a</w:t>
      </w:r>
      <w:r w:rsidR="00202316">
        <w:t>t</w:t>
      </w:r>
      <w:r w:rsidRPr="006A2056">
        <w:t xml:space="preserve"> </w:t>
      </w:r>
      <w:r w:rsidR="0044738A">
        <w:t xml:space="preserve">the end of </w:t>
      </w:r>
      <w:r w:rsidRPr="006A2056">
        <w:t xml:space="preserve">2013.  </w:t>
      </w:r>
      <w:r w:rsidR="0044738A">
        <w:t>The end of</w:t>
      </w:r>
      <w:r w:rsidRPr="006A2056">
        <w:t xml:space="preserve"> 2013 is the most up-to-date snapshot </w:t>
      </w:r>
      <w:r>
        <w:t xml:space="preserve">available </w:t>
      </w:r>
      <w:r w:rsidRPr="006A2056">
        <w:t xml:space="preserve">of the </w:t>
      </w:r>
      <w:r w:rsidR="0044738A">
        <w:t>o</w:t>
      </w:r>
      <w:r w:rsidR="00084DA8">
        <w:t>pt-in PTR</w:t>
      </w:r>
      <w:r w:rsidRPr="006A2056">
        <w:t xml:space="preserve"> population and </w:t>
      </w:r>
      <w:r>
        <w:t xml:space="preserve">the </w:t>
      </w:r>
      <w:proofErr w:type="spellStart"/>
      <w:r w:rsidRPr="006A2056">
        <w:t>ex ante</w:t>
      </w:r>
      <w:proofErr w:type="spellEnd"/>
      <w:r w:rsidRPr="006A2056">
        <w:t xml:space="preserve"> load impact estimates are designed to be representative of that population</w:t>
      </w:r>
      <w:r>
        <w:t xml:space="preserve"> since</w:t>
      </w:r>
      <w:r w:rsidR="0044738A">
        <w:t xml:space="preserve"> the</w:t>
      </w:r>
      <w:r>
        <w:t xml:space="preserve"> </w:t>
      </w:r>
      <w:r w:rsidR="0044738A">
        <w:t xml:space="preserve">customer mix </w:t>
      </w:r>
      <w:r>
        <w:t>is not expected to change over the forecast horizon</w:t>
      </w:r>
      <w:r w:rsidRPr="006A2056">
        <w:t xml:space="preserve">.  </w:t>
      </w:r>
      <w:r w:rsidRPr="00A9776F">
        <w:t xml:space="preserve">These groups of customers were identified using the same procedure used to identify matched control groups for the </w:t>
      </w:r>
      <w:r w:rsidR="0044738A">
        <w:t>ex post</w:t>
      </w:r>
      <w:r w:rsidRPr="00A9776F">
        <w:t xml:space="preserve"> evaluation</w:t>
      </w:r>
      <w:r>
        <w:t>, except that c</w:t>
      </w:r>
      <w:r w:rsidRPr="00A9776F">
        <w:t xml:space="preserve">ustomers were matched </w:t>
      </w:r>
      <w:r>
        <w:t xml:space="preserve">based on </w:t>
      </w:r>
      <w:r w:rsidR="0044738A">
        <w:t xml:space="preserve">event-day loads rather than hot </w:t>
      </w:r>
      <w:r>
        <w:t xml:space="preserve">non-event day loads since the match was being done among the </w:t>
      </w:r>
      <w:r w:rsidR="0044738A">
        <w:t>o</w:t>
      </w:r>
      <w:r w:rsidR="00084DA8">
        <w:t>pt-in PTR</w:t>
      </w:r>
      <w:r>
        <w:t xml:space="preserve"> population, </w:t>
      </w:r>
      <w:r w:rsidR="0044738A">
        <w:t xml:space="preserve">nearly </w:t>
      </w:r>
      <w:r>
        <w:t xml:space="preserve">all of whom </w:t>
      </w:r>
      <w:r w:rsidR="0044738A">
        <w:t xml:space="preserve">have </w:t>
      </w:r>
      <w:r>
        <w:t>experienced events</w:t>
      </w:r>
      <w:r w:rsidRPr="00A9776F">
        <w:t xml:space="preserve">.  </w:t>
      </w:r>
      <w:r>
        <w:t xml:space="preserve">This process is conceptually similar to simply reweighting the segment of </w:t>
      </w:r>
      <w:r w:rsidR="0044738A">
        <w:t>o</w:t>
      </w:r>
      <w:r w:rsidR="00084DA8">
        <w:t>pt-in PTR</w:t>
      </w:r>
      <w:r>
        <w:t xml:space="preserve"> participants who have been in the program for two years to look like the population that was present at the end of 2013.  </w:t>
      </w:r>
      <w:r w:rsidRPr="00A9776F">
        <w:t xml:space="preserve">These customers were used to estimate a set of ex post estimates for 2012 and 2013 that represent what the </w:t>
      </w:r>
      <w:r w:rsidR="0044738A">
        <w:t>current</w:t>
      </w:r>
      <w:r w:rsidRPr="00A9776F">
        <w:t xml:space="preserve"> </w:t>
      </w:r>
      <w:r w:rsidR="0044738A">
        <w:t>o</w:t>
      </w:r>
      <w:r w:rsidR="00084DA8">
        <w:t>pt-in PTR</w:t>
      </w:r>
      <w:r w:rsidRPr="00A9776F">
        <w:t xml:space="preserve"> population would have provided if they had been </w:t>
      </w:r>
      <w:r w:rsidR="0044738A">
        <w:t>in the program the whole time.</w:t>
      </w:r>
    </w:p>
    <w:p w:rsidR="00967DE4" w:rsidRDefault="0044738A" w:rsidP="006D282E">
      <w:pPr>
        <w:pStyle w:val="BodyParagraph"/>
        <w:rPr>
          <w:bCs/>
        </w:rPr>
      </w:pPr>
      <w:r>
        <w:t xml:space="preserve">With only eight events and </w:t>
      </w:r>
      <w:r w:rsidR="006330B6">
        <w:t>two climate zones, t</w:t>
      </w:r>
      <w:r w:rsidR="0039141A" w:rsidRPr="006A2056">
        <w:t xml:space="preserve">he </w:t>
      </w:r>
      <w:r w:rsidR="0039141A">
        <w:t xml:space="preserve">analysis </w:t>
      </w:r>
      <w:r w:rsidR="00967DE4">
        <w:t>started with</w:t>
      </w:r>
      <w:r>
        <w:t xml:space="preserve"> </w:t>
      </w:r>
      <w:r w:rsidR="006330B6">
        <w:t>a simple model specification</w:t>
      </w:r>
      <w:r w:rsidR="0039141A">
        <w:t xml:space="preserve">.  </w:t>
      </w:r>
      <w:r w:rsidR="00967DE4">
        <w:t xml:space="preserve">The initial model had very low predictive power because there were relatively few data points and because two of those data points were clearly outliers.  </w:t>
      </w:r>
      <w:r w:rsidR="002E56AD">
        <w:t>The two outliers were the event</w:t>
      </w:r>
      <w:r w:rsidR="00967DE4">
        <w:t xml:space="preserve"> impact estimates for </w:t>
      </w:r>
      <w:r w:rsidR="002E56AD">
        <w:t xml:space="preserve">the </w:t>
      </w:r>
      <w:r w:rsidR="00967DE4">
        <w:t xml:space="preserve">coastal and </w:t>
      </w:r>
      <w:r w:rsidR="002E56AD">
        <w:t>inland climate zones on September 15, 2012.  The impact estimates for this particular event were unusually low because the event occurred in late summer (</w:t>
      </w:r>
      <w:r w:rsidR="002E56AD">
        <w:rPr>
          <w:bCs/>
        </w:rPr>
        <w:t>nearly a month had passed since the prior event),</w:t>
      </w:r>
      <w:r w:rsidR="002E56AD">
        <w:t xml:space="preserve"> with unseasonably hot temperatures (maximum temperatures of around 100</w:t>
      </w:r>
      <w:r w:rsidR="002E56AD" w:rsidRPr="002E56AD">
        <w:t xml:space="preserve"> </w:t>
      </w:r>
      <w:r w:rsidR="002E56AD" w:rsidRPr="002E56AD">
        <w:rPr>
          <w:bCs/>
        </w:rPr>
        <w:t>°F</w:t>
      </w:r>
      <w:r w:rsidR="002E56AD">
        <w:rPr>
          <w:bCs/>
        </w:rPr>
        <w:t xml:space="preserve"> in both climate zones).  Therefore, this outlier was dropped from the analysis for opt-in </w:t>
      </w:r>
      <w:r w:rsidR="002E56AD">
        <w:rPr>
          <w:bCs/>
        </w:rPr>
        <w:lastRenderedPageBreak/>
        <w:t xml:space="preserve">PTR-only customers.  For </w:t>
      </w:r>
      <w:r w:rsidR="006D282E">
        <w:rPr>
          <w:bCs/>
        </w:rPr>
        <w:t>dually-</w:t>
      </w:r>
      <w:r w:rsidR="002E56AD">
        <w:rPr>
          <w:bCs/>
        </w:rPr>
        <w:t xml:space="preserve">enrolled customers, the </w:t>
      </w:r>
      <w:r w:rsidR="006D282E">
        <w:rPr>
          <w:bCs/>
        </w:rPr>
        <w:t xml:space="preserve">analysis </w:t>
      </w:r>
      <w:r w:rsidR="00CF0DE2">
        <w:rPr>
          <w:bCs/>
        </w:rPr>
        <w:t>lacked</w:t>
      </w:r>
      <w:r w:rsidR="006D282E">
        <w:rPr>
          <w:bCs/>
        </w:rPr>
        <w:t xml:space="preserve"> statistical power</w:t>
      </w:r>
      <w:r w:rsidR="002E56AD">
        <w:rPr>
          <w:bCs/>
        </w:rPr>
        <w:t xml:space="preserve"> because there were only </w:t>
      </w:r>
      <w:r w:rsidR="006D282E">
        <w:rPr>
          <w:bCs/>
        </w:rPr>
        <w:t>2,300 Summer Saver customers that participated in all opt-in PTR events in 2012 and 2013, relative to nearly 29,000 customers in the opt-in PTR-only group.  As a result, the model for dually-enrolled customers had to be adapted from the much larger opt-in PTR-only group, as explained below.</w:t>
      </w:r>
    </w:p>
    <w:p w:rsidR="00F1362A" w:rsidRDefault="00F1362A" w:rsidP="00F1362A">
      <w:pPr>
        <w:pStyle w:val="Heading3"/>
      </w:pPr>
      <w:bookmarkStart w:id="30" w:name="_Toc383447575"/>
      <w:r>
        <w:t xml:space="preserve">Opt-in PTR-only </w:t>
      </w:r>
      <w:r w:rsidR="00CF0DE2">
        <w:t>Impact Model</w:t>
      </w:r>
      <w:bookmarkEnd w:id="30"/>
    </w:p>
    <w:p w:rsidR="0039141A" w:rsidRPr="0077167B" w:rsidRDefault="00F1362A" w:rsidP="004C0146">
      <w:pPr>
        <w:pStyle w:val="BodyParagraph"/>
        <w:rPr>
          <w:highlight w:val="lightGray"/>
        </w:rPr>
      </w:pPr>
      <w:r>
        <w:t>For opt-in PTR-only customers, t</w:t>
      </w:r>
      <w:r w:rsidR="0039141A" w:rsidRPr="006A2056">
        <w:t>he final model specification</w:t>
      </w:r>
      <w:r w:rsidR="006330B6">
        <w:t xml:space="preserve"> </w:t>
      </w:r>
      <w:r w:rsidR="0039141A" w:rsidRPr="006A2056">
        <w:t>takes as its dependent variable the ex post impact for each event, averaged</w:t>
      </w:r>
      <w:r w:rsidR="006330B6">
        <w:t xml:space="preserve"> over the entire event period.  Th</w:t>
      </w:r>
      <w:r w:rsidR="0039141A" w:rsidRPr="006A2056">
        <w:t>e independent variable</w:t>
      </w:r>
      <w:r w:rsidR="006330B6">
        <w:t xml:space="preserve"> is </w:t>
      </w:r>
      <w:r w:rsidR="0039141A" w:rsidRPr="006A2056">
        <w:t>the average temperature from midnight to 5 PM on the event day.  The final specification was:</w:t>
      </w:r>
    </w:p>
    <w:p w:rsidR="0039141A" w:rsidRPr="004228FD" w:rsidRDefault="0039141A" w:rsidP="0039141A">
      <w:pPr>
        <w:pStyle w:val="BodyParagraph"/>
        <w:jc w:val="center"/>
        <w:rPr>
          <w:sz w:val="24"/>
          <w:szCs w:val="24"/>
        </w:rPr>
      </w:pPr>
      <m:oMathPara>
        <m:oMath>
          <m:r>
            <w:rPr>
              <w:rFonts w:ascii="Cambria Math" w:hAnsi="Cambria Math" w:cs="Arial"/>
            </w:rPr>
            <m:t>Impact</m:t>
          </m:r>
          <m:r>
            <w:rPr>
              <w:rFonts w:ascii="Cambria Math" w:cs="Arial"/>
            </w:rPr>
            <m:t>=</m:t>
          </m:r>
          <m:r>
            <w:rPr>
              <w:rFonts w:ascii="Cambria Math" w:hAnsi="Cambria Math" w:cs="Arial"/>
            </w:rPr>
            <m:t>a</m:t>
          </m:r>
          <m:r>
            <w:rPr>
              <w:rFonts w:ascii="Cambria Math" w:cs="Arial"/>
            </w:rPr>
            <m:t>+b</m:t>
          </m:r>
          <m:sSub>
            <m:sSubPr>
              <m:ctrlPr>
                <w:rPr>
                  <w:rFonts w:ascii="Cambria Math" w:hAnsi="Cambria Math" w:cs="Arial"/>
                  <w:sz w:val="24"/>
                  <w:szCs w:val="24"/>
                </w:rPr>
              </m:ctrlPr>
            </m:sSubPr>
            <m:e>
              <m:r>
                <w:rPr>
                  <w:rFonts w:ascii="Cambria Math" w:hAnsi="Cambria Math" w:cs="Arial"/>
                </w:rPr>
                <m:t>∙</m:t>
              </m:r>
              <m:r>
                <w:rPr>
                  <w:rFonts w:ascii="Cambria Math" w:cs="Arial"/>
                </w:rPr>
                <m:t>mean17</m:t>
              </m:r>
            </m:e>
            <m:sub>
              <m:r>
                <m:rPr>
                  <m:sty m:val="p"/>
                </m:rPr>
                <w:rPr>
                  <w:rFonts w:ascii="Cambria Math" w:hAnsi="Cambria Math" w:cs="Arial"/>
                  <w:sz w:val="24"/>
                  <w:szCs w:val="24"/>
                </w:rPr>
                <m:t xml:space="preserve"> </m:t>
              </m:r>
            </m:sub>
          </m:sSub>
          <m:r>
            <m:rPr>
              <m:sty m:val="b"/>
            </m:rPr>
            <w:rPr>
              <w:rFonts w:ascii="Cambria Math" w:hAnsi="Cambria Math"/>
            </w:rPr>
            <m:t>+ε</m:t>
          </m:r>
        </m:oMath>
      </m:oMathPara>
    </w:p>
    <w:p w:rsidR="0039141A" w:rsidRPr="004228FD" w:rsidRDefault="0039141A" w:rsidP="0039141A">
      <w:pPr>
        <w:pStyle w:val="TableFigureCaption"/>
      </w:pPr>
      <w:r>
        <w:t>Table 5-1:</w:t>
      </w:r>
      <w:r w:rsidRPr="004228FD">
        <w:t xml:space="preserve"> Description of </w:t>
      </w:r>
      <w:r w:rsidR="00084DA8">
        <w:t>Opt-in PTR</w:t>
      </w:r>
      <w:r w:rsidRPr="004228FD">
        <w:t xml:space="preserve"> Ex Ante Load Regression Variables</w:t>
      </w:r>
    </w:p>
    <w:tbl>
      <w:tblPr>
        <w:tblW w:w="6120" w:type="dxa"/>
        <w:jc w:val="center"/>
        <w:tblLook w:val="04A0" w:firstRow="1" w:lastRow="0" w:firstColumn="1" w:lastColumn="0" w:noHBand="0" w:noVBand="1"/>
      </w:tblPr>
      <w:tblGrid>
        <w:gridCol w:w="1180"/>
        <w:gridCol w:w="4940"/>
      </w:tblGrid>
      <w:tr w:rsidR="0039141A" w:rsidRPr="004228FD" w:rsidTr="0039141A">
        <w:trPr>
          <w:trHeight w:val="315"/>
          <w:jc w:val="center"/>
        </w:trPr>
        <w:tc>
          <w:tcPr>
            <w:tcW w:w="1180" w:type="dxa"/>
            <w:tcBorders>
              <w:top w:val="single" w:sz="8" w:space="0" w:color="auto"/>
              <w:left w:val="single" w:sz="8" w:space="0" w:color="auto"/>
              <w:bottom w:val="single" w:sz="8" w:space="0" w:color="auto"/>
              <w:right w:val="single" w:sz="8" w:space="0" w:color="FFFFFF"/>
            </w:tcBorders>
            <w:shd w:val="clear" w:color="000000" w:fill="1F497D"/>
            <w:vAlign w:val="center"/>
            <w:hideMark/>
          </w:tcPr>
          <w:p w:rsidR="0039141A" w:rsidRPr="002A2356" w:rsidRDefault="0039141A" w:rsidP="0039141A">
            <w:pPr>
              <w:pStyle w:val="TableHeader"/>
              <w:rPr>
                <w:rFonts w:ascii="Arial" w:hAnsi="Arial" w:cs="Arial"/>
              </w:rPr>
            </w:pPr>
            <w:r w:rsidRPr="002A2356">
              <w:rPr>
                <w:rFonts w:ascii="Arial" w:hAnsi="Arial" w:cs="Arial"/>
              </w:rPr>
              <w:t>Variable</w:t>
            </w:r>
          </w:p>
        </w:tc>
        <w:tc>
          <w:tcPr>
            <w:tcW w:w="4940" w:type="dxa"/>
            <w:tcBorders>
              <w:top w:val="single" w:sz="8" w:space="0" w:color="auto"/>
              <w:left w:val="nil"/>
              <w:bottom w:val="single" w:sz="8" w:space="0" w:color="auto"/>
              <w:right w:val="single" w:sz="8" w:space="0" w:color="auto"/>
            </w:tcBorders>
            <w:shd w:val="clear" w:color="000000" w:fill="1F497D"/>
            <w:vAlign w:val="center"/>
            <w:hideMark/>
          </w:tcPr>
          <w:p w:rsidR="0039141A" w:rsidRPr="002A2356" w:rsidRDefault="0039141A" w:rsidP="0039141A">
            <w:pPr>
              <w:pStyle w:val="TableHeader"/>
              <w:rPr>
                <w:rFonts w:ascii="Arial" w:hAnsi="Arial" w:cs="Arial"/>
              </w:rPr>
            </w:pPr>
            <w:r w:rsidRPr="002A2356">
              <w:rPr>
                <w:rFonts w:ascii="Arial" w:hAnsi="Arial" w:cs="Arial"/>
              </w:rPr>
              <w:t>Description</w:t>
            </w:r>
          </w:p>
        </w:tc>
      </w:tr>
      <w:tr w:rsidR="0039141A" w:rsidRPr="004228FD" w:rsidTr="0039141A">
        <w:trPr>
          <w:trHeight w:val="495"/>
          <w:jc w:val="center"/>
        </w:trPr>
        <w:tc>
          <w:tcPr>
            <w:tcW w:w="1180" w:type="dxa"/>
            <w:tcBorders>
              <w:top w:val="nil"/>
              <w:left w:val="single" w:sz="8" w:space="0" w:color="auto"/>
              <w:bottom w:val="single" w:sz="8" w:space="0" w:color="auto"/>
              <w:right w:val="single" w:sz="8" w:space="0" w:color="auto"/>
            </w:tcBorders>
            <w:shd w:val="clear" w:color="000000" w:fill="FFFFFF"/>
            <w:vAlign w:val="center"/>
            <w:hideMark/>
          </w:tcPr>
          <w:p w:rsidR="0039141A" w:rsidRPr="002A2356" w:rsidRDefault="0039141A" w:rsidP="0039141A">
            <w:pPr>
              <w:spacing w:after="0" w:line="240" w:lineRule="auto"/>
              <w:jc w:val="center"/>
              <w:rPr>
                <w:rFonts w:ascii="Arial" w:eastAsia="Times New Roman" w:hAnsi="Arial" w:cs="Arial"/>
                <w:i/>
                <w:iCs/>
                <w:color w:val="000000"/>
                <w:sz w:val="18"/>
                <w:szCs w:val="18"/>
              </w:rPr>
            </w:pPr>
            <w:r w:rsidRPr="002A2356">
              <w:rPr>
                <w:rFonts w:ascii="Arial" w:eastAsia="Times New Roman" w:hAnsi="Arial" w:cs="Arial"/>
                <w:i/>
                <w:iCs/>
                <w:color w:val="000000"/>
                <w:sz w:val="18"/>
                <w:szCs w:val="18"/>
              </w:rPr>
              <w:t>Impact (kW)</w:t>
            </w:r>
          </w:p>
        </w:tc>
        <w:tc>
          <w:tcPr>
            <w:tcW w:w="4940" w:type="dxa"/>
            <w:tcBorders>
              <w:top w:val="nil"/>
              <w:left w:val="nil"/>
              <w:bottom w:val="single" w:sz="8" w:space="0" w:color="auto"/>
              <w:right w:val="single" w:sz="8" w:space="0" w:color="auto"/>
            </w:tcBorders>
            <w:shd w:val="clear" w:color="000000" w:fill="FFFFFF"/>
            <w:vAlign w:val="center"/>
            <w:hideMark/>
          </w:tcPr>
          <w:p w:rsidR="0039141A" w:rsidRPr="002A2356" w:rsidRDefault="0039141A" w:rsidP="0039141A">
            <w:pPr>
              <w:pStyle w:val="TableText"/>
              <w:rPr>
                <w:rFonts w:ascii="Arial" w:hAnsi="Arial" w:cs="Arial"/>
              </w:rPr>
            </w:pPr>
            <w:r w:rsidRPr="002A2356">
              <w:rPr>
                <w:rFonts w:ascii="Arial" w:hAnsi="Arial" w:cs="Arial"/>
              </w:rPr>
              <w:t>Per customer ex post load impact for each event day, averaged over the event period</w:t>
            </w:r>
          </w:p>
        </w:tc>
      </w:tr>
      <w:tr w:rsidR="0039141A" w:rsidRPr="004228FD" w:rsidTr="0039141A">
        <w:trPr>
          <w:trHeight w:val="315"/>
          <w:jc w:val="center"/>
        </w:trPr>
        <w:tc>
          <w:tcPr>
            <w:tcW w:w="1180" w:type="dxa"/>
            <w:tcBorders>
              <w:top w:val="nil"/>
              <w:left w:val="single" w:sz="8" w:space="0" w:color="auto"/>
              <w:bottom w:val="single" w:sz="8" w:space="0" w:color="auto"/>
              <w:right w:val="single" w:sz="8" w:space="0" w:color="auto"/>
            </w:tcBorders>
            <w:shd w:val="clear" w:color="000000" w:fill="FFFFFF"/>
            <w:vAlign w:val="center"/>
            <w:hideMark/>
          </w:tcPr>
          <w:p w:rsidR="0039141A" w:rsidRPr="00202316" w:rsidRDefault="0039141A" w:rsidP="0039141A">
            <w:pPr>
              <w:spacing w:after="0" w:line="240" w:lineRule="auto"/>
              <w:rPr>
                <w:rFonts w:ascii="Arial" w:eastAsia="Times New Roman" w:hAnsi="Arial" w:cs="Arial"/>
                <w:i/>
                <w:iCs/>
                <w:color w:val="000000"/>
                <w:sz w:val="18"/>
                <w:szCs w:val="18"/>
              </w:rPr>
            </w:pPr>
            <w:r w:rsidRPr="00202316">
              <w:rPr>
                <w:rFonts w:ascii="Arial" w:eastAsia="Times New Roman" w:hAnsi="Arial" w:cs="Arial"/>
                <w:i/>
                <w:iCs/>
                <w:color w:val="000000"/>
                <w:sz w:val="18"/>
                <w:szCs w:val="18"/>
              </w:rPr>
              <w:t>a</w:t>
            </w:r>
          </w:p>
        </w:tc>
        <w:tc>
          <w:tcPr>
            <w:tcW w:w="4940" w:type="dxa"/>
            <w:tcBorders>
              <w:top w:val="nil"/>
              <w:left w:val="nil"/>
              <w:bottom w:val="single" w:sz="8" w:space="0" w:color="auto"/>
              <w:right w:val="single" w:sz="8" w:space="0" w:color="auto"/>
            </w:tcBorders>
            <w:shd w:val="clear" w:color="000000" w:fill="FFFFFF"/>
            <w:vAlign w:val="center"/>
            <w:hideMark/>
          </w:tcPr>
          <w:p w:rsidR="0039141A" w:rsidRPr="002A2356" w:rsidRDefault="0039141A" w:rsidP="0039141A">
            <w:pPr>
              <w:pStyle w:val="TableText"/>
              <w:rPr>
                <w:rFonts w:ascii="Arial" w:hAnsi="Arial" w:cs="Arial"/>
              </w:rPr>
            </w:pPr>
            <w:r w:rsidRPr="002A2356">
              <w:rPr>
                <w:rFonts w:ascii="Arial" w:hAnsi="Arial" w:cs="Arial"/>
              </w:rPr>
              <w:t>Estimated constant</w:t>
            </w:r>
          </w:p>
        </w:tc>
      </w:tr>
      <w:tr w:rsidR="0039141A" w:rsidRPr="004228FD" w:rsidTr="0039141A">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9141A" w:rsidRPr="00202316" w:rsidRDefault="0039141A" w:rsidP="0039141A">
            <w:pPr>
              <w:spacing w:after="0" w:line="240" w:lineRule="auto"/>
              <w:rPr>
                <w:rFonts w:ascii="Arial" w:eastAsia="Times New Roman" w:hAnsi="Arial" w:cs="Arial"/>
                <w:i/>
                <w:iCs/>
                <w:color w:val="000000"/>
                <w:sz w:val="18"/>
                <w:szCs w:val="18"/>
              </w:rPr>
            </w:pPr>
            <w:r w:rsidRPr="00202316">
              <w:rPr>
                <w:rFonts w:ascii="Arial" w:eastAsia="Times New Roman" w:hAnsi="Arial" w:cs="Arial"/>
                <w:i/>
                <w:iCs/>
                <w:color w:val="000000"/>
                <w:sz w:val="18"/>
                <w:szCs w:val="18"/>
              </w:rPr>
              <w:t>b</w:t>
            </w:r>
          </w:p>
        </w:tc>
        <w:tc>
          <w:tcPr>
            <w:tcW w:w="4940" w:type="dxa"/>
            <w:tcBorders>
              <w:top w:val="nil"/>
              <w:left w:val="nil"/>
              <w:bottom w:val="single" w:sz="8" w:space="0" w:color="auto"/>
              <w:right w:val="single" w:sz="8" w:space="0" w:color="auto"/>
            </w:tcBorders>
            <w:shd w:val="clear" w:color="auto" w:fill="auto"/>
            <w:vAlign w:val="center"/>
            <w:hideMark/>
          </w:tcPr>
          <w:p w:rsidR="0039141A" w:rsidRPr="002A2356" w:rsidRDefault="0039141A" w:rsidP="0039141A">
            <w:pPr>
              <w:pStyle w:val="TableText"/>
              <w:rPr>
                <w:rFonts w:ascii="Arial" w:hAnsi="Arial" w:cs="Arial"/>
              </w:rPr>
            </w:pPr>
            <w:r w:rsidRPr="002A2356">
              <w:rPr>
                <w:rFonts w:ascii="Arial" w:hAnsi="Arial" w:cs="Arial"/>
              </w:rPr>
              <w:t>Estimated parameter coefficient</w:t>
            </w:r>
          </w:p>
        </w:tc>
      </w:tr>
      <w:tr w:rsidR="0039141A" w:rsidRPr="004228FD" w:rsidTr="0039141A">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9141A" w:rsidRPr="00202316" w:rsidRDefault="0039141A" w:rsidP="0039141A">
            <w:pPr>
              <w:spacing w:after="0" w:line="240" w:lineRule="auto"/>
              <w:rPr>
                <w:rFonts w:ascii="Arial" w:eastAsia="Times New Roman" w:hAnsi="Arial" w:cs="Arial"/>
                <w:i/>
                <w:iCs/>
                <w:color w:val="000000"/>
                <w:sz w:val="18"/>
                <w:szCs w:val="18"/>
              </w:rPr>
            </w:pPr>
            <w:r w:rsidRPr="00202316">
              <w:rPr>
                <w:rFonts w:ascii="Arial" w:eastAsia="Times New Roman" w:hAnsi="Arial" w:cs="Arial"/>
                <w:i/>
                <w:iCs/>
                <w:color w:val="000000"/>
                <w:sz w:val="18"/>
                <w:szCs w:val="18"/>
              </w:rPr>
              <w:t>mean17</w:t>
            </w:r>
          </w:p>
        </w:tc>
        <w:tc>
          <w:tcPr>
            <w:tcW w:w="4940" w:type="dxa"/>
            <w:tcBorders>
              <w:top w:val="nil"/>
              <w:left w:val="nil"/>
              <w:bottom w:val="single" w:sz="8" w:space="0" w:color="auto"/>
              <w:right w:val="single" w:sz="8" w:space="0" w:color="auto"/>
            </w:tcBorders>
            <w:shd w:val="clear" w:color="auto" w:fill="auto"/>
            <w:vAlign w:val="center"/>
            <w:hideMark/>
          </w:tcPr>
          <w:p w:rsidR="0039141A" w:rsidRPr="002A2356" w:rsidRDefault="006330B6" w:rsidP="004C0146">
            <w:pPr>
              <w:pStyle w:val="TableText"/>
              <w:rPr>
                <w:rFonts w:ascii="Arial" w:hAnsi="Arial" w:cs="Arial"/>
              </w:rPr>
            </w:pPr>
            <w:r w:rsidRPr="002A2356">
              <w:rPr>
                <w:rFonts w:ascii="Arial" w:hAnsi="Arial" w:cs="Arial"/>
              </w:rPr>
              <w:t>Average temperature from</w:t>
            </w:r>
            <w:r w:rsidR="0039141A" w:rsidRPr="002A2356">
              <w:rPr>
                <w:rFonts w:ascii="Arial" w:hAnsi="Arial" w:cs="Arial"/>
              </w:rPr>
              <w:t xml:space="preserve"> </w:t>
            </w:r>
            <w:r w:rsidR="004C0146" w:rsidRPr="002A2356">
              <w:rPr>
                <w:rFonts w:ascii="Arial" w:hAnsi="Arial" w:cs="Arial"/>
              </w:rPr>
              <w:t>12 AM</w:t>
            </w:r>
            <w:r w:rsidR="0039141A" w:rsidRPr="002A2356">
              <w:rPr>
                <w:rFonts w:ascii="Arial" w:hAnsi="Arial" w:cs="Arial"/>
              </w:rPr>
              <w:t xml:space="preserve"> to 5 PM</w:t>
            </w:r>
          </w:p>
        </w:tc>
      </w:tr>
      <w:tr w:rsidR="0039141A" w:rsidRPr="004228FD" w:rsidTr="0039141A">
        <w:trPr>
          <w:trHeight w:val="49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9141A" w:rsidRPr="002A2356" w:rsidRDefault="0039141A" w:rsidP="0039141A">
            <w:pPr>
              <w:spacing w:after="0" w:line="240" w:lineRule="auto"/>
              <w:rPr>
                <w:rFonts w:ascii="Arial" w:eastAsia="Times New Roman" w:hAnsi="Arial" w:cs="Arial"/>
                <w:i/>
                <w:iCs/>
                <w:color w:val="000000"/>
                <w:sz w:val="18"/>
                <w:szCs w:val="18"/>
              </w:rPr>
            </w:pPr>
            <w:r w:rsidRPr="002A2356">
              <w:rPr>
                <w:rFonts w:ascii="Arial" w:eastAsia="Times New Roman" w:hAnsi="Arial" w:cs="Arial"/>
                <w:i/>
                <w:iCs/>
                <w:color w:val="000000"/>
                <w:sz w:val="18"/>
                <w:szCs w:val="18"/>
              </w:rPr>
              <w:t>Ɛ</w:t>
            </w:r>
          </w:p>
        </w:tc>
        <w:tc>
          <w:tcPr>
            <w:tcW w:w="4940" w:type="dxa"/>
            <w:tcBorders>
              <w:top w:val="nil"/>
              <w:left w:val="nil"/>
              <w:bottom w:val="single" w:sz="8" w:space="0" w:color="auto"/>
              <w:right w:val="single" w:sz="8" w:space="0" w:color="auto"/>
            </w:tcBorders>
            <w:shd w:val="clear" w:color="auto" w:fill="auto"/>
            <w:vAlign w:val="center"/>
            <w:hideMark/>
          </w:tcPr>
          <w:p w:rsidR="0039141A" w:rsidRPr="002A2356" w:rsidRDefault="0039141A" w:rsidP="0039141A">
            <w:pPr>
              <w:pStyle w:val="TableText"/>
              <w:rPr>
                <w:rFonts w:ascii="Arial" w:hAnsi="Arial" w:cs="Arial"/>
              </w:rPr>
            </w:pPr>
            <w:r w:rsidRPr="002A2356">
              <w:rPr>
                <w:rFonts w:ascii="Arial" w:hAnsi="Arial" w:cs="Arial"/>
              </w:rPr>
              <w:t>The error term, assumed to be a mean zero and uncorrelated with any of the independent variables</w:t>
            </w:r>
          </w:p>
        </w:tc>
      </w:tr>
    </w:tbl>
    <w:p w:rsidR="0039141A" w:rsidRPr="004228FD" w:rsidRDefault="0039141A" w:rsidP="0039141A">
      <w:pPr>
        <w:pStyle w:val="BodyParaAfterTableFigure"/>
      </w:pPr>
      <w:r w:rsidRPr="004228FD">
        <w:t>It is quite likely that event impacts depend on variables other than this average of recent temperatures, but with limited event impact estimates for modeling and with virtually no other time-varying characteristics to use for modeling, it is not possible to identify these effects sufficiently accurate</w:t>
      </w:r>
      <w:r w:rsidR="006330B6">
        <w:t>ly to</w:t>
      </w:r>
      <w:r w:rsidR="00202316">
        <w:t> </w:t>
      </w:r>
      <w:r w:rsidR="006330B6">
        <w:t>be</w:t>
      </w:r>
      <w:r w:rsidR="00202316">
        <w:t> </w:t>
      </w:r>
      <w:r w:rsidR="006330B6">
        <w:t>of use in prediction.</w:t>
      </w:r>
    </w:p>
    <w:p w:rsidR="0039141A" w:rsidRDefault="0039141A" w:rsidP="0039141A">
      <w:pPr>
        <w:pStyle w:val="BodyParaAfterTableFigure"/>
        <w:rPr>
          <w:rFonts w:ascii="Calibri" w:hAnsi="Calibri"/>
          <w:b/>
        </w:rPr>
      </w:pPr>
      <w:r w:rsidRPr="004228FD">
        <w:t>Figure 5-1 show</w:t>
      </w:r>
      <w:r w:rsidR="00F1362A">
        <w:t>s</w:t>
      </w:r>
      <w:r w:rsidRPr="004228FD">
        <w:t xml:space="preserve"> the results of the regression for </w:t>
      </w:r>
      <w:r w:rsidR="00F1362A">
        <w:t>opt-in PTR</w:t>
      </w:r>
      <w:r w:rsidRPr="004228FD">
        <w:t xml:space="preserve">-only customers.  The </w:t>
      </w:r>
      <w:r w:rsidR="00F1362A">
        <w:t>b</w:t>
      </w:r>
      <w:r w:rsidR="004A2E70">
        <w:t>lue circle</w:t>
      </w:r>
      <w:r w:rsidR="00F1362A">
        <w:t>s</w:t>
      </w:r>
      <w:r w:rsidRPr="004228FD">
        <w:t xml:space="preserve"> show </w:t>
      </w:r>
      <w:r w:rsidR="00F1362A">
        <w:t>the 2012 and 2013</w:t>
      </w:r>
      <w:r w:rsidRPr="004228FD">
        <w:t xml:space="preserve"> ex post</w:t>
      </w:r>
      <w:r w:rsidR="00F1362A">
        <w:t xml:space="preserve"> load impact estimates for </w:t>
      </w:r>
      <w:r w:rsidR="004C0146">
        <w:t xml:space="preserve">the representative population in </w:t>
      </w:r>
      <w:r w:rsidR="00F1362A">
        <w:t>each climate zone (excluding the September 15, 2012 outlier)</w:t>
      </w:r>
      <w:r w:rsidRPr="004228FD">
        <w:t xml:space="preserve">.  The </w:t>
      </w:r>
      <w:r w:rsidR="004C0146">
        <w:t xml:space="preserve">linear </w:t>
      </w:r>
      <w:proofErr w:type="spellStart"/>
      <w:r w:rsidRPr="004228FD">
        <w:t>trendline</w:t>
      </w:r>
      <w:proofErr w:type="spellEnd"/>
      <w:r w:rsidRPr="004228FD">
        <w:t xml:space="preserve"> show</w:t>
      </w:r>
      <w:r w:rsidR="004C0146">
        <w:t>s</w:t>
      </w:r>
      <w:r w:rsidRPr="004228FD">
        <w:t xml:space="preserve"> the average impacts </w:t>
      </w:r>
      <w:r>
        <w:t xml:space="preserve">that were used </w:t>
      </w:r>
      <w:r w:rsidRPr="004228FD">
        <w:t xml:space="preserve">as a basis for ex ante forecasts.  </w:t>
      </w:r>
      <w:r w:rsidR="004C0146">
        <w:t xml:space="preserve">However, the average impact estimate in the </w:t>
      </w:r>
      <w:proofErr w:type="spellStart"/>
      <w:r w:rsidR="004C0146">
        <w:t>ex ante</w:t>
      </w:r>
      <w:proofErr w:type="spellEnd"/>
      <w:r w:rsidR="004C0146">
        <w:t xml:space="preserve"> analysis is capped at around 0.14 kW</w:t>
      </w:r>
      <w:r w:rsidR="004C0146">
        <w:rPr>
          <w:bCs/>
        </w:rPr>
        <w:t xml:space="preserve"> in order to avoid extrapolating into temperature conditions that were not observed in the model.  Similarly, the average impact estimate has a lower bound of 0.05 kW for </w:t>
      </w:r>
      <w:r w:rsidR="004A2E70">
        <w:rPr>
          <w:bCs/>
        </w:rPr>
        <w:t xml:space="preserve">the </w:t>
      </w:r>
      <w:r w:rsidR="004C0146">
        <w:rPr>
          <w:bCs/>
        </w:rPr>
        <w:t>relatively cool ex ante weather conditions in winter months.</w:t>
      </w:r>
      <w:r w:rsidR="004A2E70">
        <w:rPr>
          <w:bCs/>
        </w:rPr>
        <w:t xml:space="preserve">  An average impact estimate of 0.05 kW is likely to be conservative for any event day, but with the 2012</w:t>
      </w:r>
      <w:r w:rsidR="00202316">
        <w:t>–</w:t>
      </w:r>
      <w:r w:rsidR="004A2E70">
        <w:rPr>
          <w:bCs/>
        </w:rPr>
        <w:t>2013 PTR events only occurring on hot summer days, there wasn’t information on how customers respond in winter months.</w:t>
      </w:r>
    </w:p>
    <w:p w:rsidR="0039141A" w:rsidRPr="004228FD" w:rsidRDefault="0039141A" w:rsidP="0039141A">
      <w:pPr>
        <w:pStyle w:val="TableFigureCaption"/>
      </w:pPr>
      <w:r w:rsidRPr="004228FD">
        <w:lastRenderedPageBreak/>
        <w:t xml:space="preserve">Figure 5-1: Ex Post and Ex Ante Impacts versus </w:t>
      </w:r>
      <w:r w:rsidRPr="004228FD">
        <w:rPr>
          <w:i/>
        </w:rPr>
        <w:t>Mean17</w:t>
      </w:r>
      <w:r w:rsidRPr="004228FD">
        <w:t xml:space="preserve"> for </w:t>
      </w:r>
      <w:r w:rsidR="00084DA8">
        <w:t>Opt-in PTR</w:t>
      </w:r>
      <w:r w:rsidR="00F1362A">
        <w:t>-o</w:t>
      </w:r>
      <w:r w:rsidRPr="004228FD">
        <w:t>nly Customers</w:t>
      </w:r>
    </w:p>
    <w:p w:rsidR="0039141A" w:rsidRDefault="004A2E70" w:rsidP="0039141A">
      <w:pPr>
        <w:pStyle w:val="BodyParagraph"/>
        <w:jc w:val="center"/>
        <w:rPr>
          <w:highlight w:val="lightGray"/>
        </w:rPr>
      </w:pPr>
      <w:r>
        <w:rPr>
          <w:noProof/>
        </w:rPr>
        <w:drawing>
          <wp:inline distT="0" distB="0" distL="0" distR="0" wp14:anchorId="63966FC4" wp14:editId="1D4A9FFA">
            <wp:extent cx="4508695" cy="2681875"/>
            <wp:effectExtent l="19050" t="19050" r="2540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8108" cy="2693422"/>
                    </a:xfrm>
                    <a:prstGeom prst="rect">
                      <a:avLst/>
                    </a:prstGeom>
                    <a:noFill/>
                    <a:ln>
                      <a:solidFill>
                        <a:schemeClr val="tx1"/>
                      </a:solidFill>
                    </a:ln>
                  </pic:spPr>
                </pic:pic>
              </a:graphicData>
            </a:graphic>
          </wp:inline>
        </w:drawing>
      </w:r>
    </w:p>
    <w:p w:rsidR="004A2E70" w:rsidRDefault="004A2E70" w:rsidP="00E25C21">
      <w:pPr>
        <w:pStyle w:val="Heading3"/>
      </w:pPr>
      <w:bookmarkStart w:id="31" w:name="_Toc383447576"/>
      <w:r>
        <w:t xml:space="preserve">Dually-enrolled </w:t>
      </w:r>
      <w:r w:rsidR="00CF0DE2">
        <w:t>Impact Model</w:t>
      </w:r>
      <w:bookmarkEnd w:id="31"/>
    </w:p>
    <w:p w:rsidR="00E25C21" w:rsidRDefault="004A2E70" w:rsidP="00E25C21">
      <w:pPr>
        <w:pStyle w:val="BodyParagraph"/>
      </w:pPr>
      <w:r>
        <w:t>As discussed above, the analysis of historical event impacts for customers dually-enrolled in Summer Saver</w:t>
      </w:r>
      <w:r w:rsidRPr="004A2E70">
        <w:t xml:space="preserve"> </w:t>
      </w:r>
      <w:r w:rsidR="00CF0DE2">
        <w:t>lacked</w:t>
      </w:r>
      <w:r w:rsidRPr="004A2E70">
        <w:t xml:space="preserve"> statistical power because there were only 2,300 Summer Saver customers that participated in all opt-in PTR events in 2012 and 2013, relative to nearly 29,000 customers in the opt-in PTR-only group.  </w:t>
      </w:r>
      <w:r w:rsidR="00CF0DE2">
        <w:t xml:space="preserve">In addition, three of the eight historical opt-in PTR events overlapped with Summer Saver event days, so those data points could not be used, further restricting statistical power.  </w:t>
      </w:r>
      <w:r w:rsidRPr="004A2E70">
        <w:t xml:space="preserve">As a result, the model for dually-enrolled customers </w:t>
      </w:r>
      <w:r>
        <w:t>was</w:t>
      </w:r>
      <w:r w:rsidRPr="004A2E70">
        <w:t xml:space="preserve"> adapted from the mu</w:t>
      </w:r>
      <w:r>
        <w:t>ch larger opt-in PTR-only group</w:t>
      </w:r>
      <w:r w:rsidRPr="004A2E70">
        <w:t>.</w:t>
      </w:r>
      <w:r>
        <w:t xml:space="preserve">  In the ex post analysis summarized in Section 4, both Summer Saver and non-Summer Saver customers </w:t>
      </w:r>
      <w:r w:rsidR="00660FEB">
        <w:t xml:space="preserve">deliver an </w:t>
      </w:r>
      <w:r>
        <w:t>impact</w:t>
      </w:r>
      <w:r w:rsidR="00660FEB">
        <w:t xml:space="preserve"> of around 7% for opt-in PTR events</w:t>
      </w:r>
      <w:r>
        <w:t xml:space="preserve">.  However, </w:t>
      </w:r>
      <w:r w:rsidR="00660FEB">
        <w:t xml:space="preserve">all dually-enrolled </w:t>
      </w:r>
      <w:r>
        <w:t>customers</w:t>
      </w:r>
      <w:r w:rsidR="00660FEB">
        <w:t xml:space="preserve"> have a central air conditioning system, which is a requirement for participating in Summer Saver.  Therefore, dually-enrolled customers have</w:t>
      </w:r>
      <w:r>
        <w:t xml:space="preserve"> higher </w:t>
      </w:r>
      <w:r w:rsidR="00660FEB">
        <w:t>usage than opt-in PTR-only customers.  As a result</w:t>
      </w:r>
      <w:r>
        <w:t xml:space="preserve">, </w:t>
      </w:r>
      <w:r w:rsidR="00660FEB">
        <w:t>the ex post load impact estimate for dually-enrolled customer</w:t>
      </w:r>
      <w:r w:rsidR="00936874">
        <w:t>s</w:t>
      </w:r>
      <w:r w:rsidR="00660FEB">
        <w:t xml:space="preserve"> was </w:t>
      </w:r>
      <w:r>
        <w:t>27% higher</w:t>
      </w:r>
      <w:r w:rsidR="00660FEB">
        <w:t xml:space="preserve"> than that of opt-in PTR-only customers</w:t>
      </w:r>
      <w:r>
        <w:t xml:space="preserve">.  </w:t>
      </w:r>
      <w:r w:rsidR="00660FEB">
        <w:t xml:space="preserve">This is the most recent information on how dually-enrolled customers perform relative to opt-in PTR-only customers.  </w:t>
      </w:r>
      <w:r w:rsidR="00CD4CE6">
        <w:t xml:space="preserve">Event performance in terms of percent impacts is nearly identical, </w:t>
      </w:r>
      <w:r w:rsidR="00E25C21">
        <w:t>so the</w:t>
      </w:r>
      <w:r w:rsidR="00CD4CE6">
        <w:t xml:space="preserve"> </w:t>
      </w:r>
      <w:proofErr w:type="spellStart"/>
      <w:r w:rsidR="00CD4CE6">
        <w:t>ex ante</w:t>
      </w:r>
      <w:proofErr w:type="spellEnd"/>
      <w:r w:rsidR="00CD4CE6">
        <w:t xml:space="preserve"> analysis for d</w:t>
      </w:r>
      <w:r w:rsidR="00E25C21">
        <w:t>ually-enrolled customers draws from the opt-in PTR-only</w:t>
      </w:r>
      <w:r w:rsidR="00CD4CE6">
        <w:t xml:space="preserve"> model</w:t>
      </w:r>
      <w:r w:rsidR="00E25C21">
        <w:t xml:space="preserve"> described in Section 5.1.1</w:t>
      </w:r>
      <w:r w:rsidR="00CD4CE6">
        <w:t xml:space="preserve">.  However, given that absolute impacts are 27% higher </w:t>
      </w:r>
      <w:r w:rsidR="00E25C21">
        <w:t xml:space="preserve">due </w:t>
      </w:r>
      <w:r w:rsidR="00CD4CE6">
        <w:t>to higher usage</w:t>
      </w:r>
      <w:r w:rsidR="00E25C21">
        <w:t xml:space="preserve">, the opt-in PTR-only model estimates are increased by 27% for dually-enrolled customers in the </w:t>
      </w:r>
      <w:proofErr w:type="spellStart"/>
      <w:r w:rsidR="00E25C21">
        <w:t>ex ante</w:t>
      </w:r>
      <w:proofErr w:type="spellEnd"/>
      <w:r w:rsidR="00E25C21">
        <w:t xml:space="preserve"> analysis.</w:t>
      </w:r>
    </w:p>
    <w:p w:rsidR="00282740" w:rsidRPr="00282740" w:rsidRDefault="001E3C08" w:rsidP="00282740">
      <w:pPr>
        <w:pStyle w:val="Heading3"/>
        <w:rPr>
          <w:rFonts w:ascii="Calibri" w:hAnsi="Calibri"/>
        </w:rPr>
      </w:pPr>
      <w:bookmarkStart w:id="32" w:name="_Toc383447577"/>
      <w:r w:rsidRPr="002B51F8">
        <w:t>Converting Average Impact to Hourly Impact</w:t>
      </w:r>
      <w:r>
        <w:t>s</w:t>
      </w:r>
      <w:bookmarkEnd w:id="32"/>
    </w:p>
    <w:p w:rsidR="0039141A" w:rsidRPr="002B51F8" w:rsidRDefault="0039141A" w:rsidP="00E25C21">
      <w:pPr>
        <w:pStyle w:val="BodyParagraph"/>
      </w:pPr>
      <w:r w:rsidRPr="002B51F8">
        <w:t xml:space="preserve">The next step in estimating load impacts was to translate event-level impact estimates to impacts for each </w:t>
      </w:r>
      <w:r w:rsidR="00282740">
        <w:t>event and post-event hour</w:t>
      </w:r>
      <w:r w:rsidRPr="002B51F8">
        <w:t>.  First, a ratio of each hour’s impacts to the average impact across the entire event window was calculated.  This ratio was calculated using the average ex post impact results for each category of customers.  For example, the ratio for the hour from 3 to 4 PM was calculated by taking the average hourly ex post impact from 3 to 4 PM and dividing it by the average ex post impact for the entire event window.  Table 5-2 gives an example of this process.  The second column of Table 5-2 shows the predicted average event impact across all event hours (i.e.</w:t>
      </w:r>
      <w:r w:rsidR="00202316">
        <w:t>,</w:t>
      </w:r>
      <w:r w:rsidRPr="002B51F8">
        <w:t xml:space="preserve"> the output from the </w:t>
      </w:r>
      <w:r w:rsidR="00282740">
        <w:t xml:space="preserve">impact </w:t>
      </w:r>
      <w:r w:rsidR="00282740">
        <w:lastRenderedPageBreak/>
        <w:t>model</w:t>
      </w:r>
      <w:r w:rsidRPr="002B51F8">
        <w:t xml:space="preserve">) using the entire territory on a typical event day </w:t>
      </w:r>
      <w:r>
        <w:t>i</w:t>
      </w:r>
      <w:r w:rsidRPr="002B51F8">
        <w:t>n a 1-in-2 weather year as an example.  To illustrate, the third column shows the ratio of hourly impact to average whole-event impacts.  To calculate the average hourly impact, the average predicted impact was simply multiplied b</w:t>
      </w:r>
      <w:r w:rsidR="00282740">
        <w:t>y the category-specific ratio.</w:t>
      </w:r>
      <w:r w:rsidR="000C7913">
        <w:t xml:space="preserve">  </w:t>
      </w:r>
      <w:r w:rsidR="001C29B1">
        <w:t>The only exception to this conversion process is made for post-event hours during winter months.  From November through March, impacts are assumed to be zero during post-event hours.  The relative magnitude of load shifting to post-event hours is expected to be different during winter months, but without any winter events in 2012 and 2013, the post-event impact is simply assumed to be zero from November through March.</w:t>
      </w:r>
    </w:p>
    <w:p w:rsidR="00282740" w:rsidRPr="00282740" w:rsidRDefault="0039141A" w:rsidP="00282740">
      <w:pPr>
        <w:pStyle w:val="TableFigureCaption"/>
      </w:pPr>
      <w:r w:rsidRPr="002B51F8">
        <w:t>Table 5-2: Example of Converting Average Impact to Hourly Impact</w:t>
      </w:r>
      <w:r w:rsidR="00936874">
        <w:t>s</w:t>
      </w:r>
      <w:r w:rsidRPr="002B51F8">
        <w:t xml:space="preserve"> from 1</w:t>
      </w:r>
      <w:r w:rsidR="00282740">
        <w:t>1 AM to Midnight</w:t>
      </w:r>
      <w:r w:rsidR="00282740">
        <w:br/>
      </w:r>
      <w:r w:rsidRPr="002B51F8">
        <w:t>Territory Wide, 1-in-2 Typical Event Day</w:t>
      </w:r>
    </w:p>
    <w:tbl>
      <w:tblPr>
        <w:tblW w:w="5459" w:type="dxa"/>
        <w:jc w:val="center"/>
        <w:tblLook w:val="04A0" w:firstRow="1" w:lastRow="0" w:firstColumn="1" w:lastColumn="0" w:noHBand="0" w:noVBand="1"/>
      </w:tblPr>
      <w:tblGrid>
        <w:gridCol w:w="1098"/>
        <w:gridCol w:w="1472"/>
        <w:gridCol w:w="1417"/>
        <w:gridCol w:w="1472"/>
      </w:tblGrid>
      <w:tr w:rsidR="00282740" w:rsidRPr="00282740" w:rsidTr="00282740">
        <w:trPr>
          <w:trHeight w:val="765"/>
          <w:jc w:val="center"/>
        </w:trPr>
        <w:tc>
          <w:tcPr>
            <w:tcW w:w="1098" w:type="dxa"/>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282740" w:rsidRPr="00282740" w:rsidRDefault="00282740" w:rsidP="00282740">
            <w:pPr>
              <w:spacing w:before="60" w:after="60" w:line="240" w:lineRule="auto"/>
              <w:jc w:val="center"/>
              <w:rPr>
                <w:rFonts w:ascii="Arial" w:eastAsia="Times New Roman" w:hAnsi="Arial" w:cs="Arial"/>
                <w:b/>
                <w:bCs/>
                <w:color w:val="FFFFFF"/>
                <w:sz w:val="18"/>
                <w:szCs w:val="18"/>
              </w:rPr>
            </w:pPr>
            <w:r w:rsidRPr="00282740">
              <w:rPr>
                <w:rFonts w:ascii="Arial" w:eastAsia="Times New Roman" w:hAnsi="Arial" w:cs="Arial"/>
                <w:b/>
                <w:bCs/>
                <w:color w:val="FFFFFF"/>
                <w:sz w:val="18"/>
                <w:szCs w:val="18"/>
              </w:rPr>
              <w:t>Hour Ending</w:t>
            </w:r>
          </w:p>
        </w:tc>
        <w:tc>
          <w:tcPr>
            <w:tcW w:w="1472" w:type="dxa"/>
            <w:tcBorders>
              <w:top w:val="single" w:sz="4" w:space="0" w:color="000000"/>
              <w:left w:val="nil"/>
              <w:bottom w:val="single" w:sz="4" w:space="0" w:color="000000"/>
              <w:right w:val="single" w:sz="4" w:space="0" w:color="FFFFFF"/>
            </w:tcBorders>
            <w:shd w:val="clear" w:color="000000" w:fill="1F497D"/>
            <w:vAlign w:val="center"/>
            <w:hideMark/>
          </w:tcPr>
          <w:p w:rsidR="00282740" w:rsidRPr="00282740" w:rsidRDefault="00282740" w:rsidP="00282740">
            <w:pPr>
              <w:spacing w:before="60" w:after="60" w:line="240" w:lineRule="auto"/>
              <w:jc w:val="center"/>
              <w:rPr>
                <w:rFonts w:ascii="Arial" w:eastAsia="Times New Roman" w:hAnsi="Arial" w:cs="Arial"/>
                <w:b/>
                <w:bCs/>
                <w:color w:val="FFFFFF"/>
                <w:sz w:val="18"/>
                <w:szCs w:val="18"/>
              </w:rPr>
            </w:pPr>
            <w:r w:rsidRPr="00282740">
              <w:rPr>
                <w:rFonts w:ascii="Arial" w:eastAsia="Times New Roman" w:hAnsi="Arial" w:cs="Arial"/>
                <w:b/>
                <w:bCs/>
                <w:color w:val="FFFFFF"/>
                <w:sz w:val="18"/>
                <w:szCs w:val="18"/>
              </w:rPr>
              <w:t>Predicted Average Impact (kW)*</w:t>
            </w:r>
          </w:p>
        </w:tc>
        <w:tc>
          <w:tcPr>
            <w:tcW w:w="1417" w:type="dxa"/>
            <w:tcBorders>
              <w:top w:val="single" w:sz="4" w:space="0" w:color="000000"/>
              <w:left w:val="nil"/>
              <w:bottom w:val="single" w:sz="4" w:space="0" w:color="000000"/>
              <w:right w:val="single" w:sz="4" w:space="0" w:color="FFFFFF"/>
            </w:tcBorders>
            <w:shd w:val="clear" w:color="000000" w:fill="1F497D"/>
            <w:vAlign w:val="center"/>
            <w:hideMark/>
          </w:tcPr>
          <w:p w:rsidR="00282740" w:rsidRPr="00282740" w:rsidRDefault="00282740" w:rsidP="00282740">
            <w:pPr>
              <w:spacing w:before="60" w:after="60" w:line="240" w:lineRule="auto"/>
              <w:jc w:val="center"/>
              <w:rPr>
                <w:rFonts w:ascii="Arial" w:eastAsia="Times New Roman" w:hAnsi="Arial" w:cs="Arial"/>
                <w:b/>
                <w:bCs/>
                <w:color w:val="FFFFFF"/>
                <w:sz w:val="18"/>
                <w:szCs w:val="18"/>
              </w:rPr>
            </w:pPr>
            <w:r w:rsidRPr="00282740">
              <w:rPr>
                <w:rFonts w:ascii="Arial" w:eastAsia="Times New Roman" w:hAnsi="Arial" w:cs="Arial"/>
                <w:b/>
                <w:bCs/>
                <w:color w:val="FFFFFF"/>
                <w:sz w:val="18"/>
                <w:szCs w:val="18"/>
              </w:rPr>
              <w:t>Ratio (based on ex post impacts)</w:t>
            </w:r>
          </w:p>
        </w:tc>
        <w:tc>
          <w:tcPr>
            <w:tcW w:w="1472" w:type="dxa"/>
            <w:tcBorders>
              <w:top w:val="single" w:sz="4" w:space="0" w:color="000000"/>
              <w:left w:val="nil"/>
              <w:bottom w:val="single" w:sz="4" w:space="0" w:color="000000"/>
              <w:right w:val="single" w:sz="4" w:space="0" w:color="000000"/>
            </w:tcBorders>
            <w:shd w:val="clear" w:color="000000" w:fill="1F497D"/>
            <w:vAlign w:val="center"/>
            <w:hideMark/>
          </w:tcPr>
          <w:p w:rsidR="00282740" w:rsidRPr="00282740" w:rsidRDefault="00282740" w:rsidP="00282740">
            <w:pPr>
              <w:spacing w:before="60" w:after="60" w:line="240" w:lineRule="auto"/>
              <w:jc w:val="center"/>
              <w:rPr>
                <w:rFonts w:ascii="Arial" w:eastAsia="Times New Roman" w:hAnsi="Arial" w:cs="Arial"/>
                <w:b/>
                <w:bCs/>
                <w:color w:val="FFFFFF"/>
                <w:sz w:val="18"/>
                <w:szCs w:val="18"/>
              </w:rPr>
            </w:pPr>
            <w:r w:rsidRPr="00282740">
              <w:rPr>
                <w:rFonts w:ascii="Arial" w:eastAsia="Times New Roman" w:hAnsi="Arial" w:cs="Arial"/>
                <w:b/>
                <w:bCs/>
                <w:color w:val="FFFFFF"/>
                <w:sz w:val="18"/>
                <w:szCs w:val="18"/>
              </w:rPr>
              <w:t>Predicted Hourly Impact (kW)</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12:00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0.68</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0.08</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0.92</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0.10</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2:00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1.05</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0.12</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3:00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1.10</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0.12</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4:00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1.08</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0.12</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5:00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1.16</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0.13</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6:00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1.01</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7:00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0.12</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0.01</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8:00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-0.21</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-0.02</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9:00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-0.33</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-0.04</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10:00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-0.19</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-0.02</w:t>
            </w:r>
          </w:p>
        </w:tc>
      </w:tr>
      <w:tr w:rsidR="00282740" w:rsidRPr="00282740" w:rsidTr="00282740">
        <w:trPr>
          <w:trHeight w:val="300"/>
          <w:jc w:val="center"/>
        </w:trPr>
        <w:tc>
          <w:tcPr>
            <w:tcW w:w="1098" w:type="dxa"/>
            <w:tcBorders>
              <w:top w:val="nil"/>
              <w:left w:val="single" w:sz="4" w:space="0" w:color="000000"/>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11:00 PM</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-0.19</w:t>
            </w:r>
          </w:p>
        </w:tc>
        <w:tc>
          <w:tcPr>
            <w:tcW w:w="1472" w:type="dxa"/>
            <w:tcBorders>
              <w:top w:val="nil"/>
              <w:left w:val="nil"/>
              <w:bottom w:val="single" w:sz="4" w:space="0" w:color="000000"/>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-0.02</w:t>
            </w:r>
          </w:p>
        </w:tc>
      </w:tr>
      <w:tr w:rsidR="00282740" w:rsidRPr="00282740" w:rsidTr="00282740">
        <w:trPr>
          <w:trHeight w:val="300"/>
          <w:jc w:val="center"/>
        </w:trPr>
        <w:tc>
          <w:tcPr>
            <w:tcW w:w="1098" w:type="dxa"/>
            <w:tcBorders>
              <w:top w:val="nil"/>
              <w:left w:val="single" w:sz="4" w:space="0" w:color="000000"/>
              <w:bottom w:val="single" w:sz="4" w:space="0" w:color="auto"/>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12:00 AM</w:t>
            </w:r>
          </w:p>
        </w:tc>
        <w:tc>
          <w:tcPr>
            <w:tcW w:w="1472" w:type="dxa"/>
            <w:tcBorders>
              <w:top w:val="nil"/>
              <w:left w:val="nil"/>
              <w:bottom w:val="single" w:sz="4" w:space="0" w:color="auto"/>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0.11</w:t>
            </w:r>
          </w:p>
        </w:tc>
        <w:tc>
          <w:tcPr>
            <w:tcW w:w="1417" w:type="dxa"/>
            <w:tcBorders>
              <w:top w:val="nil"/>
              <w:left w:val="nil"/>
              <w:bottom w:val="single" w:sz="4" w:space="0" w:color="auto"/>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-0.16</w:t>
            </w:r>
          </w:p>
        </w:tc>
        <w:tc>
          <w:tcPr>
            <w:tcW w:w="1472" w:type="dxa"/>
            <w:tcBorders>
              <w:top w:val="nil"/>
              <w:left w:val="nil"/>
              <w:bottom w:val="single" w:sz="4" w:space="0" w:color="auto"/>
              <w:right w:val="single" w:sz="4" w:space="0" w:color="000000"/>
            </w:tcBorders>
            <w:shd w:val="clear" w:color="auto" w:fill="auto"/>
            <w:noWrap/>
            <w:vAlign w:val="center"/>
            <w:hideMark/>
          </w:tcPr>
          <w:p w:rsidR="00282740" w:rsidRPr="00282740" w:rsidRDefault="00282740" w:rsidP="00282740">
            <w:pPr>
              <w:spacing w:before="60" w:after="60" w:line="240" w:lineRule="auto"/>
              <w:jc w:val="center"/>
              <w:rPr>
                <w:rFonts w:ascii="Arial" w:eastAsia="Times New Roman" w:hAnsi="Arial" w:cs="Arial"/>
                <w:color w:val="000000"/>
                <w:sz w:val="16"/>
                <w:szCs w:val="16"/>
              </w:rPr>
            </w:pPr>
            <w:r w:rsidRPr="00282740">
              <w:rPr>
                <w:rFonts w:ascii="Arial" w:eastAsia="Times New Roman" w:hAnsi="Arial" w:cs="Arial"/>
                <w:color w:val="000000"/>
                <w:sz w:val="16"/>
                <w:szCs w:val="16"/>
              </w:rPr>
              <w:t>-0.02</w:t>
            </w:r>
          </w:p>
        </w:tc>
      </w:tr>
      <w:tr w:rsidR="00282740" w:rsidRPr="00282740" w:rsidTr="00202316">
        <w:trPr>
          <w:trHeight w:val="300"/>
          <w:jc w:val="center"/>
        </w:trPr>
        <w:tc>
          <w:tcPr>
            <w:tcW w:w="5459" w:type="dxa"/>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282740" w:rsidRPr="00282740" w:rsidRDefault="00282740" w:rsidP="002A2356">
            <w:pPr>
              <w:pStyle w:val="Footnote"/>
              <w:rPr>
                <w:rFonts w:eastAsia="Times New Roman"/>
              </w:rPr>
            </w:pPr>
            <w:r w:rsidRPr="00282740">
              <w:rPr>
                <w:rFonts w:eastAsia="Times New Roman"/>
              </w:rPr>
              <w:t xml:space="preserve">*output from ex ante model; model predicts one average value for all </w:t>
            </w:r>
            <w:r w:rsidR="00936874">
              <w:rPr>
                <w:rFonts w:eastAsia="Times New Roman"/>
              </w:rPr>
              <w:t xml:space="preserve">event </w:t>
            </w:r>
            <w:r w:rsidRPr="00282740">
              <w:rPr>
                <w:rFonts w:eastAsia="Times New Roman"/>
              </w:rPr>
              <w:t>hours</w:t>
            </w:r>
          </w:p>
        </w:tc>
      </w:tr>
    </w:tbl>
    <w:p w:rsidR="0039141A" w:rsidRDefault="0039141A" w:rsidP="005509C1">
      <w:pPr>
        <w:pStyle w:val="BodyParaAfterTableFigure"/>
      </w:pPr>
      <w:r w:rsidRPr="002B51F8">
        <w:t>The implication of this strategy is that the ratio between any two hours of predicted event impacts is</w:t>
      </w:r>
      <w:r w:rsidR="00202316">
        <w:t> </w:t>
      </w:r>
      <w:r w:rsidRPr="002B51F8">
        <w:t>consta</w:t>
      </w:r>
      <w:r w:rsidR="001C29B1">
        <w:t>nt across nearly all ex ante conditions</w:t>
      </w:r>
      <w:r w:rsidRPr="002B51F8">
        <w:t>.  While this is an assumption forced on the data, it is roughly accurate.  Moreover, the available data do not allow for accurately modeling the nuanced relative differences in the event impacts for different hours that may occur under different conditions.  The emphasis is on accurately predicting average event impact</w:t>
      </w:r>
      <w:r>
        <w:t>s</w:t>
      </w:r>
      <w:r w:rsidRPr="002B51F8">
        <w:t xml:space="preserve"> and average impact</w:t>
      </w:r>
      <w:r>
        <w:t>s</w:t>
      </w:r>
      <w:r w:rsidRPr="002B51F8">
        <w:t xml:space="preserve"> for each hour, without additionally trying to estimate whether, for example, impacts at 2 PM tend to be relatively </w:t>
      </w:r>
      <w:r w:rsidR="00936874">
        <w:t>high</w:t>
      </w:r>
      <w:r w:rsidRPr="002B51F8">
        <w:t>er than impacts at 3 PM on ho</w:t>
      </w:r>
      <w:r w:rsidR="005509C1">
        <w:t>t days compared to cooler days.</w:t>
      </w:r>
    </w:p>
    <w:p w:rsidR="00CF0DE2" w:rsidRDefault="00CF0DE2" w:rsidP="00CF0DE2">
      <w:pPr>
        <w:pStyle w:val="Heading2"/>
      </w:pPr>
      <w:bookmarkStart w:id="33" w:name="_Toc352567313"/>
      <w:bookmarkStart w:id="34" w:name="_Toc382482603"/>
      <w:bookmarkStart w:id="35" w:name="_Toc383447578"/>
      <w:r w:rsidRPr="00B017D2">
        <w:t xml:space="preserve">Estimating Ex Ante Load Impacts for </w:t>
      </w:r>
      <w:r>
        <w:t>SCTD</w:t>
      </w:r>
      <w:bookmarkEnd w:id="35"/>
    </w:p>
    <w:p w:rsidR="00D53249" w:rsidRDefault="00100869" w:rsidP="00D53249">
      <w:pPr>
        <w:pStyle w:val="BodyParagraph"/>
      </w:pPr>
      <w:r>
        <w:t xml:space="preserve">In 2014 and 2015, SDG&amp;E plans to deploy over 10,000 PCTs through the SCTD program.  These PCTs will be activated through Wi-Fi </w:t>
      </w:r>
      <w:r w:rsidR="00D53249">
        <w:t>and/</w:t>
      </w:r>
      <w:r>
        <w:t xml:space="preserve">or </w:t>
      </w:r>
      <w:proofErr w:type="spellStart"/>
      <w:r>
        <w:t>zigbee</w:t>
      </w:r>
      <w:proofErr w:type="spellEnd"/>
      <w:r w:rsidR="00D53249">
        <w:t xml:space="preserve"> (when possible)</w:t>
      </w:r>
      <w:r>
        <w:t xml:space="preserve"> communications</w:t>
      </w:r>
      <w:r w:rsidR="00D53249">
        <w:t xml:space="preserve"> </w:t>
      </w:r>
      <w:r>
        <w:t xml:space="preserve">on PTR event days.  Half of SCTD </w:t>
      </w:r>
      <w:r w:rsidR="00D53249">
        <w:t>PCTs</w:t>
      </w:r>
      <w:r>
        <w:t xml:space="preserve"> will </w:t>
      </w:r>
      <w:r w:rsidR="00025E86">
        <w:t>feature</w:t>
      </w:r>
      <w:r>
        <w:t xml:space="preserve"> a 4</w:t>
      </w:r>
      <w:r w:rsidR="00D53249">
        <w:t>-</w:t>
      </w:r>
      <w:r>
        <w:t xml:space="preserve">degree </w:t>
      </w:r>
      <w:r w:rsidR="00D53249">
        <w:t xml:space="preserve">temperature </w:t>
      </w:r>
      <w:r>
        <w:t xml:space="preserve">setback and </w:t>
      </w:r>
      <w:r w:rsidR="00D53249">
        <w:t xml:space="preserve">the other </w:t>
      </w:r>
      <w:r>
        <w:t xml:space="preserve">half will have </w:t>
      </w:r>
      <w:r w:rsidR="00936874">
        <w:t xml:space="preserve">a </w:t>
      </w:r>
      <w:r>
        <w:t>50% cycling</w:t>
      </w:r>
      <w:r w:rsidR="00025E86">
        <w:t xml:space="preserve"> curtailment strategy</w:t>
      </w:r>
      <w:r w:rsidR="00D53249">
        <w:t xml:space="preserve">.  SDG&amp;E plans to curtail load in 4-hour increments on PTR event days.  Although </w:t>
      </w:r>
      <w:r w:rsidR="00D53249">
        <w:lastRenderedPageBreak/>
        <w:t>SDG&amp;E has the flexibility to</w:t>
      </w:r>
      <w:r w:rsidR="00936874">
        <w:t xml:space="preserve"> curtail load</w:t>
      </w:r>
      <w:r w:rsidR="00D53249">
        <w:t xml:space="preserve"> during any 4-hour period between 11 AM and 6 PM, it is expected that most of the time curtailment will occur</w:t>
      </w:r>
      <w:r w:rsidR="00936874">
        <w:t xml:space="preserve"> from 2</w:t>
      </w:r>
      <w:r w:rsidR="00D53249">
        <w:t xml:space="preserve"> to 6 PM.  Nonetheless, given that the event window is flexible, impacts are estimated for the 5-hour summer </w:t>
      </w:r>
      <w:r w:rsidR="00936874">
        <w:t>resource adequacy window of 1</w:t>
      </w:r>
      <w:r w:rsidR="00D53249">
        <w:t xml:space="preserve"> to 6 PM.  Impacts for November through April are assumed to be zero</w:t>
      </w:r>
      <w:r w:rsidR="00025E86">
        <w:t>, considering that air conditioning load is expected to be negligible during those months.</w:t>
      </w:r>
    </w:p>
    <w:p w:rsidR="00025E86" w:rsidRDefault="006F1746" w:rsidP="00D53249">
      <w:pPr>
        <w:pStyle w:val="BodyParagraph"/>
      </w:pPr>
      <w:r>
        <w:t xml:space="preserve">SDG&amp;E plans to market the SCTD program to 190,000 targeted customers with usage patterns that indicate that they have an air conditioner and use it during peak periods.  To develop the hourly reference loads in the </w:t>
      </w:r>
      <w:proofErr w:type="spellStart"/>
      <w:r>
        <w:t>ex ante</w:t>
      </w:r>
      <w:proofErr w:type="spellEnd"/>
      <w:r>
        <w:t xml:space="preserve"> analysis, Nexant analyzed the 2013 aggregate hourly interval usage data for these 190,000 customers, using a simple regression model that relates hourly usage to temperature, month and day of week</w:t>
      </w:r>
      <w:r w:rsidR="005E294D">
        <w:t xml:space="preserve"> (same model that was used to develop r</w:t>
      </w:r>
      <w:r w:rsidR="00936874">
        <w:t xml:space="preserve">eference loads for </w:t>
      </w:r>
      <w:r w:rsidR="005E294D">
        <w:t>opt-in PTR customers)</w:t>
      </w:r>
      <w:r>
        <w:t>.  At this point</w:t>
      </w:r>
      <w:r w:rsidR="005E294D">
        <w:t xml:space="preserve">, it not known which of the 190,000 customers will enroll, so the aggregate data for all customers that will receive SCTD marketing </w:t>
      </w:r>
      <w:r w:rsidR="00936874">
        <w:t xml:space="preserve">materials </w:t>
      </w:r>
      <w:r w:rsidR="005E294D">
        <w:t xml:space="preserve">was analyzed.  This produced the hourly </w:t>
      </w:r>
      <w:r w:rsidR="005E294D" w:rsidRPr="00B017D2">
        <w:t>whole-house reference loads for each set of ex ante</w:t>
      </w:r>
      <w:r w:rsidR="005E294D">
        <w:t xml:space="preserve"> weather conditions.</w:t>
      </w:r>
    </w:p>
    <w:p w:rsidR="00533D26" w:rsidRDefault="00152489" w:rsidP="00152489">
      <w:pPr>
        <w:pStyle w:val="BodyParagraph"/>
      </w:pPr>
      <w:r>
        <w:t xml:space="preserve">To develop the impact estimates, the </w:t>
      </w:r>
      <w:proofErr w:type="spellStart"/>
      <w:r>
        <w:t>ex ante</w:t>
      </w:r>
      <w:proofErr w:type="spellEnd"/>
      <w:r>
        <w:t xml:space="preserve"> evaluation incorporated information from PG&amp;E’s </w:t>
      </w:r>
      <w:proofErr w:type="spellStart"/>
      <w:r>
        <w:t>SmartRate</w:t>
      </w:r>
      <w:proofErr w:type="spellEnd"/>
      <w:r>
        <w:t xml:space="preserve"> program.  While SDG&amp;E does have Summer Saver customers that are dually-enrolled in opt-in PTR, the Summer Saver air conditioners were not activated for PTR events in the past, and SDG&amp;E does not plan to do so in the future (unless the two program event days happen to overlap).  SDG&amp;E also has many Summer Saver customers that are not enrolled in opt-in PTR, but the fully automated impacts that those customers provide may not be representative of how an SCTD customer will perform on PTR events.</w:t>
      </w:r>
      <w:r w:rsidR="00B858B0">
        <w:t xml:space="preserve">  The </w:t>
      </w:r>
      <w:proofErr w:type="spellStart"/>
      <w:r w:rsidR="00B858B0">
        <w:t>SmartRate</w:t>
      </w:r>
      <w:proofErr w:type="spellEnd"/>
      <w:r w:rsidR="00B858B0">
        <w:t xml:space="preserve"> program was most applicable because it has dually-enrolled (</w:t>
      </w:r>
      <w:proofErr w:type="spellStart"/>
      <w:r w:rsidR="00B858B0">
        <w:t>SmartAC</w:t>
      </w:r>
      <w:proofErr w:type="spellEnd"/>
      <w:r w:rsidR="00B858B0">
        <w:t xml:space="preserve">) customers whose air conditioners are cycled at 50% during </w:t>
      </w:r>
      <w:proofErr w:type="spellStart"/>
      <w:r w:rsidR="00B858B0">
        <w:t>SmartRate</w:t>
      </w:r>
      <w:proofErr w:type="spellEnd"/>
      <w:r w:rsidR="00B858B0">
        <w:t xml:space="preserve"> events.  Therefore, this source of information was most relevant to opt-in PTR customers that will have air conditioning usage curtailed during PTR events, as part of the SCTD program.</w:t>
      </w:r>
    </w:p>
    <w:p w:rsidR="00386355" w:rsidRDefault="00B858B0" w:rsidP="00152489">
      <w:pPr>
        <w:pStyle w:val="BodyParagraph"/>
      </w:pPr>
      <w:r>
        <w:t xml:space="preserve">Given that usage </w:t>
      </w:r>
      <w:r w:rsidR="0070774A">
        <w:t>patterns are different</w:t>
      </w:r>
      <w:r>
        <w:t xml:space="preserve"> in PG&amp;E’s service territory, the </w:t>
      </w:r>
      <w:r w:rsidR="00E9470D">
        <w:t xml:space="preserve">SCTD ex ante </w:t>
      </w:r>
      <w:r>
        <w:t xml:space="preserve">impact model </w:t>
      </w:r>
      <w:r w:rsidR="0070774A">
        <w:t xml:space="preserve">focused on the percent impacts of dually-enrolled customers during </w:t>
      </w:r>
      <w:proofErr w:type="spellStart"/>
      <w:r w:rsidR="0070774A">
        <w:t>SmartRate</w:t>
      </w:r>
      <w:proofErr w:type="spellEnd"/>
      <w:r w:rsidR="0070774A">
        <w:t xml:space="preserve"> events.  As such, the model described here is nearly identical to</w:t>
      </w:r>
      <w:r w:rsidR="003B1B88">
        <w:t xml:space="preserve"> the opt-in PTR-only impact model</w:t>
      </w:r>
      <w:r w:rsidR="0070774A">
        <w:t xml:space="preserve"> </w:t>
      </w:r>
      <w:r w:rsidR="003B1B88">
        <w:t xml:space="preserve">and to </w:t>
      </w:r>
      <w:r w:rsidR="0070774A">
        <w:t xml:space="preserve">the </w:t>
      </w:r>
      <w:r w:rsidR="003B1B88">
        <w:t>model</w:t>
      </w:r>
      <w:r w:rsidR="0070774A">
        <w:t xml:space="preserve"> described in the 2013 </w:t>
      </w:r>
      <w:proofErr w:type="spellStart"/>
      <w:r w:rsidR="0070774A">
        <w:t>SmartRate</w:t>
      </w:r>
      <w:proofErr w:type="spellEnd"/>
      <w:r w:rsidR="0070774A">
        <w:t xml:space="preserve"> load impact evaluation that Nexant conducted for PG&amp;E, except the dependent variable in the model is </w:t>
      </w:r>
      <w:r w:rsidR="00DF6E05">
        <w:t xml:space="preserve">the </w:t>
      </w:r>
      <w:r w:rsidR="0070774A">
        <w:t>percent impact instead of kW impact.</w:t>
      </w:r>
      <w:r w:rsidR="00DF6E05">
        <w:t xml:space="preserve">  </w:t>
      </w:r>
      <w:r w:rsidR="002D0416">
        <w:t>Figure 5-2</w:t>
      </w:r>
      <w:r w:rsidR="00DF6E05">
        <w:t xml:space="preserve"> s</w:t>
      </w:r>
      <w:r w:rsidR="002D0416">
        <w:t>ummarizes the impact model that was used for SCTD customers.  The blue line represents the linear</w:t>
      </w:r>
      <w:r w:rsidR="00DF6E05">
        <w:t xml:space="preserve"> relationship between </w:t>
      </w:r>
      <w:r w:rsidR="00DF6E05" w:rsidRPr="002D0416">
        <w:rPr>
          <w:i/>
        </w:rPr>
        <w:t>Mean17</w:t>
      </w:r>
      <w:r w:rsidR="00DF6E05">
        <w:t xml:space="preserve"> (midnight</w:t>
      </w:r>
      <w:r w:rsidR="00E9470D">
        <w:t xml:space="preserve"> to </w:t>
      </w:r>
      <w:r w:rsidR="00DF6E05">
        <w:t xml:space="preserve">5 PM average temperature) and </w:t>
      </w:r>
      <w:r w:rsidR="002D0416">
        <w:t>the percent</w:t>
      </w:r>
      <w:r w:rsidR="00DF6E05">
        <w:t xml:space="preserve"> impact on whole house load</w:t>
      </w:r>
      <w:r w:rsidR="002D0416">
        <w:t xml:space="preserve"> when </w:t>
      </w:r>
      <w:proofErr w:type="spellStart"/>
      <w:r w:rsidR="002D0416">
        <w:t>SmartAC</w:t>
      </w:r>
      <w:proofErr w:type="spellEnd"/>
      <w:r w:rsidR="002D0416">
        <w:t xml:space="preserve"> switches are activated during </w:t>
      </w:r>
      <w:proofErr w:type="spellStart"/>
      <w:r w:rsidR="002D0416">
        <w:t>SmartRate</w:t>
      </w:r>
      <w:proofErr w:type="spellEnd"/>
      <w:r w:rsidR="002D0416">
        <w:t xml:space="preserve"> events.  </w:t>
      </w:r>
      <w:r w:rsidR="003B1B88">
        <w:t xml:space="preserve">That linear model is used to estimate SCTD percent impacts under ex ante weather conditions.  </w:t>
      </w:r>
      <w:r w:rsidR="00386355">
        <w:t xml:space="preserve">The red squares </w:t>
      </w:r>
      <w:r w:rsidR="003B1B88">
        <w:t>represent</w:t>
      </w:r>
      <w:r w:rsidR="00386355">
        <w:t xml:space="preserve"> the 2013 Summer Saver ex post load impact estimates for customers on 50% cycling, which align relatively closely with the PG&amp;E percent impacts.  These Summer Saver </w:t>
      </w:r>
      <w:r w:rsidR="003B1B88">
        <w:t>estimates</w:t>
      </w:r>
      <w:r w:rsidR="00386355">
        <w:t xml:space="preserve"> do not factor into the </w:t>
      </w:r>
      <w:r w:rsidR="003B1B88">
        <w:t xml:space="preserve">SCTD impact </w:t>
      </w:r>
      <w:r w:rsidR="00386355">
        <w:t xml:space="preserve">model.  They are simply meant to provide </w:t>
      </w:r>
      <w:r w:rsidR="003B1B88">
        <w:t>additional</w:t>
      </w:r>
      <w:r w:rsidR="00386355">
        <w:t xml:space="preserve"> indication of what can be expected from controlling air conditioning</w:t>
      </w:r>
      <w:r w:rsidR="00386355" w:rsidRPr="00025E86">
        <w:t xml:space="preserve"> loads in San Diego, which further supports that using the </w:t>
      </w:r>
      <w:proofErr w:type="spellStart"/>
      <w:r w:rsidR="00386355" w:rsidRPr="00025E86">
        <w:t>SmartRate-SmartAC</w:t>
      </w:r>
      <w:proofErr w:type="spellEnd"/>
      <w:r w:rsidR="00386355" w:rsidRPr="00025E86">
        <w:t xml:space="preserve"> model is reasonable</w:t>
      </w:r>
      <w:r w:rsidR="003B1B88">
        <w:t>, considering that the two sources of information closely align</w:t>
      </w:r>
      <w:r w:rsidR="00386355" w:rsidRPr="00025E86">
        <w:t>.</w:t>
      </w:r>
    </w:p>
    <w:p w:rsidR="00DF6E05" w:rsidRDefault="00DF6E05" w:rsidP="00DF6E05">
      <w:pPr>
        <w:pStyle w:val="TableFigureCaption"/>
      </w:pPr>
      <w:r>
        <w:lastRenderedPageBreak/>
        <w:t>Figure 5-2: Impact Model for SCTD Customers</w:t>
      </w:r>
      <w:r w:rsidR="003B1B88">
        <w:br/>
        <w:t>(2013 Summer Saver Results are Provided as a Comparison)</w:t>
      </w:r>
    </w:p>
    <w:p w:rsidR="00152489" w:rsidRDefault="00B858B0" w:rsidP="00152489">
      <w:pPr>
        <w:pStyle w:val="BodyParagraph"/>
        <w:jc w:val="center"/>
      </w:pPr>
      <w:r>
        <w:rPr>
          <w:noProof/>
        </w:rPr>
        <w:drawing>
          <wp:inline distT="0" distB="0" distL="0" distR="0" wp14:anchorId="52E7F144" wp14:editId="271FA76E">
            <wp:extent cx="4229922" cy="2349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221" cy="2348666"/>
                    </a:xfrm>
                    <a:prstGeom prst="rect">
                      <a:avLst/>
                    </a:prstGeom>
                    <a:noFill/>
                  </pic:spPr>
                </pic:pic>
              </a:graphicData>
            </a:graphic>
          </wp:inline>
        </w:drawing>
      </w:r>
    </w:p>
    <w:p w:rsidR="00ED1041" w:rsidRPr="00ED1041" w:rsidRDefault="00370C60" w:rsidP="00ED1041">
      <w:pPr>
        <w:pStyle w:val="BodyParagraph"/>
      </w:pPr>
      <w:r>
        <w:t xml:space="preserve">The next step was to multiply the percent impact estimate from the SCTD impact model by the </w:t>
      </w:r>
      <w:r w:rsidR="00E9470D">
        <w:t>average reference load from 1</w:t>
      </w:r>
      <w:r>
        <w:t xml:space="preserve"> to 6 PM.  This produced the average impact estimate.  As in the opt-in PTR analysis, t</w:t>
      </w:r>
      <w:r w:rsidR="00100869" w:rsidRPr="00B017D2">
        <w:t xml:space="preserve">he </w:t>
      </w:r>
      <w:proofErr w:type="spellStart"/>
      <w:r w:rsidR="00100869" w:rsidRPr="00B017D2">
        <w:t>ex</w:t>
      </w:r>
      <w:r w:rsidR="00100869">
        <w:t xml:space="preserve"> ante</w:t>
      </w:r>
      <w:proofErr w:type="spellEnd"/>
      <w:r w:rsidR="00100869">
        <w:t xml:space="preserve"> impact estimates </w:t>
      </w:r>
      <w:r w:rsidR="00100869" w:rsidRPr="00B017D2">
        <w:t>were then co</w:t>
      </w:r>
      <w:r w:rsidR="00100869">
        <w:t>nverted to hourly impacts from 1</w:t>
      </w:r>
      <w:r>
        <w:t xml:space="preserve"> PM </w:t>
      </w:r>
      <w:r w:rsidR="00100869" w:rsidRPr="00B017D2">
        <w:t xml:space="preserve">to </w:t>
      </w:r>
      <w:r w:rsidR="00100869">
        <w:t xml:space="preserve">midnight (including </w:t>
      </w:r>
      <w:r w:rsidR="00ED53DD">
        <w:t xml:space="preserve">the </w:t>
      </w:r>
      <w:r w:rsidR="00100869">
        <w:t>post-event period)</w:t>
      </w:r>
      <w:r w:rsidR="00100869" w:rsidRPr="00B017D2">
        <w:t xml:space="preserve"> using a scaling factor based </w:t>
      </w:r>
      <w:r w:rsidR="00100869">
        <w:t xml:space="preserve">on </w:t>
      </w:r>
      <w:r w:rsidR="00100869" w:rsidRPr="00B017D2">
        <w:t xml:space="preserve">the average ratio between impacts at different hours.  </w:t>
      </w:r>
      <w:r>
        <w:t>In this case, the ratios were based on the experience of SDG&amp;E’s dually-enrolled customers, considering that both sets of customers have air conditioning.</w:t>
      </w:r>
    </w:p>
    <w:p w:rsidR="0039141A" w:rsidRPr="002B51F8" w:rsidRDefault="0039141A" w:rsidP="0039141A">
      <w:pPr>
        <w:pStyle w:val="Heading2"/>
      </w:pPr>
      <w:bookmarkStart w:id="36" w:name="_Toc383447579"/>
      <w:r w:rsidRPr="002B51F8">
        <w:t xml:space="preserve">Ex Ante </w:t>
      </w:r>
      <w:r w:rsidRPr="007E0E48">
        <w:t>Load</w:t>
      </w:r>
      <w:r w:rsidRPr="002B51F8">
        <w:t xml:space="preserve"> Impact Results</w:t>
      </w:r>
      <w:bookmarkEnd w:id="33"/>
      <w:bookmarkEnd w:id="34"/>
      <w:bookmarkEnd w:id="36"/>
    </w:p>
    <w:p w:rsidR="00D07FF4" w:rsidRDefault="0039141A" w:rsidP="00D07FF4">
      <w:pPr>
        <w:pStyle w:val="BodyParagraph"/>
      </w:pPr>
      <w:r>
        <w:t>Section</w:t>
      </w:r>
      <w:r w:rsidR="00D07FF4">
        <w:t>s</w:t>
      </w:r>
      <w:r>
        <w:t xml:space="preserve"> 5.2</w:t>
      </w:r>
      <w:r w:rsidR="00D07FF4">
        <w:t xml:space="preserve"> and 5.3</w:t>
      </w:r>
      <w:r>
        <w:t xml:space="preserve"> summarized the methodology used to develop ex ante impact estimates for the </w:t>
      </w:r>
      <w:r w:rsidRPr="00D07FF4">
        <w:t>average customer that reflect ex ante weather conditions and event timing.  Aggregate ex ante estimates combine these average estimates with projections of program enrollment, developed in a separ</w:t>
      </w:r>
      <w:r w:rsidR="00D07FF4" w:rsidRPr="00D07FF4">
        <w:t>ate effort by SD</w:t>
      </w:r>
      <w:r w:rsidRPr="00D07FF4">
        <w:t>G&amp;E.</w:t>
      </w:r>
      <w:r w:rsidR="00D07FF4" w:rsidRPr="00D07FF4">
        <w:t xml:space="preserve">  SDG&amp;E expects that the opt-in PTR progra</w:t>
      </w:r>
      <w:r w:rsidR="00D07FF4" w:rsidRPr="00D07FF4">
        <w:rPr>
          <w:rStyle w:val="BodyParagraphChar"/>
        </w:rPr>
        <w:t>m</w:t>
      </w:r>
      <w:r w:rsidR="00D07FF4" w:rsidRPr="00D07FF4">
        <w:t xml:space="preserve"> will continue to grow.  By the end of summer 2014, the program is projected to grow to more than 73,000 participants and then remain constant throughout the remainder of the </w:t>
      </w:r>
      <w:proofErr w:type="spellStart"/>
      <w:r w:rsidR="00D07FF4" w:rsidRPr="00D07FF4">
        <w:t>ex ante</w:t>
      </w:r>
      <w:proofErr w:type="spellEnd"/>
      <w:r w:rsidR="00D07FF4" w:rsidRPr="00D07FF4">
        <w:t xml:space="preserve"> forecast period.  This does not include customers that will receive a PCT through the SCTD program.  The number of PCTs that are deployed through the SCTD program is expected to grow from basically zero devices to 9,500 devices by the end of summer 2014.  By the end of summer 2015, SDG&amp;E projects that there will be a total of 10,500 PCTs deployed through the SCTD program and then the number will remain constant throughout the remainder of the </w:t>
      </w:r>
      <w:proofErr w:type="spellStart"/>
      <w:r w:rsidR="00D07FF4" w:rsidRPr="00D07FF4">
        <w:t>ex ante</w:t>
      </w:r>
      <w:proofErr w:type="spellEnd"/>
      <w:r w:rsidR="00D07FF4" w:rsidRPr="00D07FF4">
        <w:t xml:space="preserve"> forecast period.  These PCTs will be activated during future PTR events.</w:t>
      </w:r>
    </w:p>
    <w:p w:rsidR="005B2501" w:rsidRPr="00DC41F3" w:rsidRDefault="005B2501" w:rsidP="005B2501">
      <w:pPr>
        <w:pStyle w:val="BodyParagraph"/>
      </w:pPr>
      <w:r w:rsidRPr="002A21D9">
        <w:t>Figures</w:t>
      </w:r>
      <w:r>
        <w:t xml:space="preserve"> 5-3</w:t>
      </w:r>
      <w:r w:rsidRPr="002A21D9">
        <w:t xml:space="preserve"> and </w:t>
      </w:r>
      <w:r>
        <w:t>5-4</w:t>
      </w:r>
      <w:r w:rsidRPr="002A21D9">
        <w:t xml:space="preserve"> show the reference load and estimated load with DR for the average </w:t>
      </w:r>
      <w:r>
        <w:t xml:space="preserve">opt-in PTR </w:t>
      </w:r>
      <w:r w:rsidRPr="002A21D9">
        <w:t xml:space="preserve">customer on a typical event day based on 1-in-2 and 1-in-10 weather year conditions for the year 2015. </w:t>
      </w:r>
      <w:r>
        <w:t xml:space="preserve"> </w:t>
      </w:r>
      <w:r w:rsidRPr="002A21D9">
        <w:t>Impacts are reported for 2015 because it is the year in which enrollment growth reach</w:t>
      </w:r>
      <w:r>
        <w:t>es</w:t>
      </w:r>
      <w:r w:rsidRPr="002A21D9">
        <w:t xml:space="preserve"> a steady state. </w:t>
      </w:r>
      <w:r>
        <w:t xml:space="preserve"> </w:t>
      </w:r>
      <w:r w:rsidRPr="005B2501">
        <w:t>For a 1-in-2 typical event day, the estimated load impact for the average participant</w:t>
      </w:r>
      <w:r w:rsidRPr="002A21D9">
        <w:t xml:space="preserve"> is </w:t>
      </w:r>
      <w:r>
        <w:t>0.12</w:t>
      </w:r>
      <w:r w:rsidR="003816DE">
        <w:t xml:space="preserve"> kW from 1</w:t>
      </w:r>
      <w:r w:rsidRPr="002A21D9">
        <w:t xml:space="preserve"> to 6 PM. </w:t>
      </w:r>
      <w:r>
        <w:t xml:space="preserve"> </w:t>
      </w:r>
      <w:r w:rsidRPr="002A21D9">
        <w:t xml:space="preserve">For a 1-in-10 typical event day, the estimated load impact for the average participant is slightly higher, at </w:t>
      </w:r>
      <w:r>
        <w:t xml:space="preserve">0.13 </w:t>
      </w:r>
      <w:r w:rsidRPr="002A21D9">
        <w:t xml:space="preserve">kW. </w:t>
      </w:r>
      <w:r>
        <w:t xml:space="preserve"> The load impact is around 9</w:t>
      </w:r>
      <w:r w:rsidRPr="002A21D9">
        <w:t>% of the reference load unde</w:t>
      </w:r>
      <w:r w:rsidRPr="00DC41F3">
        <w:t>r both weather conditions.</w:t>
      </w:r>
    </w:p>
    <w:p w:rsidR="005B2501" w:rsidRDefault="005B2501" w:rsidP="005B2501">
      <w:pPr>
        <w:pStyle w:val="BodyParagraph"/>
        <w:sectPr w:rsidR="005B2501" w:rsidSect="00AA0F3C">
          <w:footerReference w:type="default" r:id="rId30"/>
          <w:pgSz w:w="12240" w:h="15840"/>
          <w:pgMar w:top="1440" w:right="1440" w:bottom="1440" w:left="1440" w:header="720" w:footer="720" w:gutter="0"/>
          <w:cols w:space="720"/>
          <w:docGrid w:linePitch="360"/>
        </w:sectPr>
      </w:pPr>
    </w:p>
    <w:p w:rsidR="005B2501" w:rsidRPr="005B2501" w:rsidRDefault="005B2501" w:rsidP="005B2501">
      <w:pPr>
        <w:pStyle w:val="TableFigureCaption"/>
      </w:pPr>
      <w:r>
        <w:lastRenderedPageBreak/>
        <w:t>Figure 5-3: Opt-in PTR</w:t>
      </w:r>
      <w:r w:rsidRPr="00DC41F3">
        <w:t xml:space="preserve"> Average Load Impact (kW) per Customer in 2015</w:t>
      </w:r>
      <w:r w:rsidRPr="00DC41F3">
        <w:br/>
        <w:t>for a Typical Event Day Based on 1-in-2 Year Weather Conditions</w:t>
      </w:r>
    </w:p>
    <w:p w:rsidR="005B2501" w:rsidRPr="00DF12BE" w:rsidRDefault="009009D5" w:rsidP="005B2501">
      <w:pPr>
        <w:pStyle w:val="BodyParagraph"/>
        <w:ind w:left="-720" w:right="-720"/>
      </w:pPr>
      <w:r w:rsidRPr="009009D5">
        <w:rPr>
          <w:noProof/>
        </w:rPr>
        <w:drawing>
          <wp:inline distT="0" distB="0" distL="0" distR="0" wp14:anchorId="0466E5C1" wp14:editId="7A88D8D4">
            <wp:extent cx="9144653" cy="3947051"/>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144001" cy="3946769"/>
                    </a:xfrm>
                    <a:prstGeom prst="rect">
                      <a:avLst/>
                    </a:prstGeom>
                  </pic:spPr>
                </pic:pic>
              </a:graphicData>
            </a:graphic>
          </wp:inline>
        </w:drawing>
      </w:r>
    </w:p>
    <w:p w:rsidR="005B2501" w:rsidRDefault="005B2501" w:rsidP="005B2501">
      <w:pPr>
        <w:pStyle w:val="TableFigureCaption"/>
        <w:ind w:right="-720"/>
      </w:pPr>
      <w:r>
        <w:br w:type="page"/>
      </w:r>
      <w:r>
        <w:lastRenderedPageBreak/>
        <w:t>Figure 5-4: Opt-in PTR</w:t>
      </w:r>
      <w:r w:rsidRPr="00DC41F3">
        <w:t xml:space="preserve"> Average Load Impact (kW) per Customer in 201</w:t>
      </w:r>
      <w:r>
        <w:t>5</w:t>
      </w:r>
      <w:r w:rsidRPr="00DC41F3">
        <w:br/>
        <w:t>for a Typical Event Day Based on 1-in-10 Year Weather Conditions</w:t>
      </w:r>
    </w:p>
    <w:p w:rsidR="00BD296D" w:rsidRDefault="009009D5" w:rsidP="005B2501">
      <w:pPr>
        <w:pStyle w:val="BodyParagraph"/>
        <w:ind w:left="-720" w:right="-720"/>
        <w:rPr>
          <w:b/>
        </w:rPr>
        <w:sectPr w:rsidR="00BD296D" w:rsidSect="001B572D">
          <w:footerReference w:type="default" r:id="rId32"/>
          <w:pgSz w:w="15840" w:h="12240" w:orient="landscape"/>
          <w:pgMar w:top="1440" w:right="1440" w:bottom="1440" w:left="1440" w:header="720" w:footer="720" w:gutter="0"/>
          <w:cols w:space="720"/>
          <w:docGrid w:linePitch="360"/>
        </w:sectPr>
      </w:pPr>
      <w:r w:rsidRPr="009009D5">
        <w:rPr>
          <w:noProof/>
        </w:rPr>
        <w:drawing>
          <wp:inline distT="0" distB="0" distL="0" distR="0" wp14:anchorId="6EF3344D" wp14:editId="032A4E69">
            <wp:extent cx="9129410" cy="3940472"/>
            <wp:effectExtent l="0" t="0" r="0" b="317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128759" cy="3940191"/>
                    </a:xfrm>
                    <a:prstGeom prst="rect">
                      <a:avLst/>
                    </a:prstGeom>
                  </pic:spPr>
                </pic:pic>
              </a:graphicData>
            </a:graphic>
          </wp:inline>
        </w:drawing>
      </w:r>
    </w:p>
    <w:p w:rsidR="00BD296D" w:rsidRPr="00DC41F3" w:rsidRDefault="00BD296D" w:rsidP="00BD296D">
      <w:pPr>
        <w:pStyle w:val="BodyParagraph"/>
      </w:pPr>
      <w:r w:rsidRPr="002A21D9">
        <w:lastRenderedPageBreak/>
        <w:t>Figures</w:t>
      </w:r>
      <w:r>
        <w:t xml:space="preserve"> 5-5</w:t>
      </w:r>
      <w:r w:rsidRPr="002A21D9">
        <w:t xml:space="preserve"> and </w:t>
      </w:r>
      <w:r>
        <w:t>5-6</w:t>
      </w:r>
      <w:r w:rsidRPr="002A21D9">
        <w:t xml:space="preserve"> </w:t>
      </w:r>
      <w:r>
        <w:t>provide the same set of results for SCTD customers</w:t>
      </w:r>
      <w:r w:rsidRPr="002A21D9">
        <w:t xml:space="preserve">. </w:t>
      </w:r>
      <w:r>
        <w:t xml:space="preserve"> </w:t>
      </w:r>
      <w:r w:rsidR="001B572D">
        <w:t>These i</w:t>
      </w:r>
      <w:r w:rsidRPr="002A21D9">
        <w:t xml:space="preserve">mpacts are </w:t>
      </w:r>
      <w:r>
        <w:t xml:space="preserve">also </w:t>
      </w:r>
      <w:r w:rsidRPr="002A21D9">
        <w:t xml:space="preserve">reported for 2015 because it is the year in which </w:t>
      </w:r>
      <w:r>
        <w:t xml:space="preserve">SCTD </w:t>
      </w:r>
      <w:r w:rsidRPr="002A21D9">
        <w:t>enrollment growth reach</w:t>
      </w:r>
      <w:r>
        <w:t>es</w:t>
      </w:r>
      <w:r w:rsidRPr="002A21D9">
        <w:t xml:space="preserve"> a steady state. </w:t>
      </w:r>
      <w:r>
        <w:t xml:space="preserve"> </w:t>
      </w:r>
      <w:r w:rsidRPr="005B2501">
        <w:t xml:space="preserve">For a 1-in-2 typical event day, the estimated load impact for the average </w:t>
      </w:r>
      <w:r>
        <w:t xml:space="preserve">SCTD </w:t>
      </w:r>
      <w:r w:rsidRPr="005B2501">
        <w:t>participant</w:t>
      </w:r>
      <w:r w:rsidRPr="002A21D9">
        <w:t xml:space="preserve"> is </w:t>
      </w:r>
      <w:r>
        <w:t>0.45</w:t>
      </w:r>
      <w:r w:rsidRPr="002A21D9">
        <w:t xml:space="preserve"> kW from 1 to 6 PM. </w:t>
      </w:r>
      <w:r>
        <w:t xml:space="preserve"> </w:t>
      </w:r>
      <w:r w:rsidRPr="002A21D9">
        <w:t xml:space="preserve">For a 1-in-10 typical event day, the estimated load impact for the average participant is </w:t>
      </w:r>
      <w:r>
        <w:t xml:space="preserve">22% </w:t>
      </w:r>
      <w:r w:rsidRPr="002A21D9">
        <w:t xml:space="preserve">higher, at </w:t>
      </w:r>
      <w:r>
        <w:t xml:space="preserve">0.55 </w:t>
      </w:r>
      <w:r w:rsidRPr="002A21D9">
        <w:t>kW</w:t>
      </w:r>
      <w:r>
        <w:t>, which is primarily due to the higher reference load under 1-in-10 conditions</w:t>
      </w:r>
      <w:r w:rsidRPr="002A21D9">
        <w:t xml:space="preserve">. </w:t>
      </w:r>
      <w:r>
        <w:t xml:space="preserve"> The load impact is around 25</w:t>
      </w:r>
      <w:r w:rsidRPr="002A21D9">
        <w:t>% of the reference load unde</w:t>
      </w:r>
      <w:r w:rsidRPr="00DC41F3">
        <w:t>r both weather conditions.</w:t>
      </w:r>
    </w:p>
    <w:p w:rsidR="00BD296D" w:rsidRDefault="00BD296D" w:rsidP="00BD296D">
      <w:pPr>
        <w:pStyle w:val="BodyParagraph"/>
        <w:sectPr w:rsidR="00BD296D" w:rsidSect="00BD296D">
          <w:footerReference w:type="default" r:id="rId34"/>
          <w:pgSz w:w="12240" w:h="15840"/>
          <w:pgMar w:top="1440" w:right="1440" w:bottom="1440" w:left="1440" w:header="720" w:footer="720" w:gutter="0"/>
          <w:cols w:space="720"/>
          <w:docGrid w:linePitch="360"/>
        </w:sectPr>
      </w:pPr>
      <w:r w:rsidRPr="00DC41F3">
        <w:t xml:space="preserve">The remainder of the hourly ex ante load impact estimates that are required by the protocols for </w:t>
      </w:r>
      <w:r>
        <w:t>opt-in PTR and SCTD customers</w:t>
      </w:r>
      <w:r w:rsidRPr="00DC41F3">
        <w:t xml:space="preserve">, including </w:t>
      </w:r>
      <w:r w:rsidRPr="0025614C">
        <w:t>uncertainty adjusted estimates, can be found in the electronic appendix titled, "</w:t>
      </w:r>
      <w:r>
        <w:t>SDG&amp;E</w:t>
      </w:r>
      <w:r w:rsidRPr="0025614C">
        <w:t xml:space="preserve"> 2013 </w:t>
      </w:r>
      <w:r>
        <w:t>Opt-in PTR</w:t>
      </w:r>
      <w:r w:rsidRPr="0025614C">
        <w:t xml:space="preserve"> Ex</w:t>
      </w:r>
      <w:r>
        <w:t xml:space="preserve"> </w:t>
      </w:r>
      <w:r w:rsidRPr="0025614C">
        <w:t>Ante Load Impact Tables."</w:t>
      </w:r>
    </w:p>
    <w:p w:rsidR="009009D5" w:rsidRPr="005B2501" w:rsidRDefault="009009D5" w:rsidP="00BD296D">
      <w:pPr>
        <w:pStyle w:val="TableFigureCaption"/>
      </w:pPr>
      <w:r>
        <w:lastRenderedPageBreak/>
        <w:t xml:space="preserve">Figure 5-5: SCTD </w:t>
      </w:r>
      <w:r w:rsidRPr="00DC41F3">
        <w:t>Average Load Impact (kW) per Customer in 2015</w:t>
      </w:r>
      <w:r w:rsidRPr="00DC41F3">
        <w:br/>
        <w:t>for a Typical Event Day Based on 1-in-2 Year Weather Conditions</w:t>
      </w:r>
    </w:p>
    <w:p w:rsidR="009009D5" w:rsidRPr="00DF12BE" w:rsidRDefault="009009D5" w:rsidP="009009D5">
      <w:pPr>
        <w:pStyle w:val="BodyParagraph"/>
        <w:ind w:left="-720" w:right="-720"/>
      </w:pPr>
      <w:r w:rsidRPr="009009D5">
        <w:rPr>
          <w:noProof/>
        </w:rPr>
        <w:drawing>
          <wp:inline distT="0" distB="0" distL="0" distR="0" wp14:anchorId="090EBCEF" wp14:editId="1572C571">
            <wp:extent cx="9129410" cy="3940472"/>
            <wp:effectExtent l="0" t="0" r="0" b="317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128759" cy="3940191"/>
                    </a:xfrm>
                    <a:prstGeom prst="rect">
                      <a:avLst/>
                    </a:prstGeom>
                  </pic:spPr>
                </pic:pic>
              </a:graphicData>
            </a:graphic>
          </wp:inline>
        </w:drawing>
      </w:r>
    </w:p>
    <w:p w:rsidR="009009D5" w:rsidRDefault="009009D5" w:rsidP="009009D5">
      <w:pPr>
        <w:pStyle w:val="TableFigureCaption"/>
        <w:ind w:right="-720"/>
      </w:pPr>
      <w:r>
        <w:br w:type="page"/>
      </w:r>
      <w:r>
        <w:lastRenderedPageBreak/>
        <w:t>Figure 5-6: SCTD</w:t>
      </w:r>
      <w:r w:rsidRPr="00DC41F3">
        <w:t xml:space="preserve"> Average Load Impact (kW) per Customer in 201</w:t>
      </w:r>
      <w:r>
        <w:t>5</w:t>
      </w:r>
      <w:r w:rsidRPr="00DC41F3">
        <w:br/>
        <w:t>for a Typical Event Day Based on 1-in-10 Year Weather Conditions</w:t>
      </w:r>
    </w:p>
    <w:p w:rsidR="009009D5" w:rsidRDefault="001D3390" w:rsidP="009009D5">
      <w:pPr>
        <w:pStyle w:val="BodyParagraph"/>
        <w:ind w:left="-720" w:right="-720"/>
        <w:rPr>
          <w:b/>
        </w:rPr>
      </w:pPr>
      <w:r w:rsidRPr="001D3390">
        <w:rPr>
          <w:noProof/>
        </w:rPr>
        <w:drawing>
          <wp:inline distT="0" distB="0" distL="0" distR="0" wp14:anchorId="6F0D3563" wp14:editId="68C61481">
            <wp:extent cx="9159893" cy="3953629"/>
            <wp:effectExtent l="0" t="0" r="3175" b="889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159240" cy="3953347"/>
                    </a:xfrm>
                    <a:prstGeom prst="rect">
                      <a:avLst/>
                    </a:prstGeom>
                  </pic:spPr>
                </pic:pic>
              </a:graphicData>
            </a:graphic>
          </wp:inline>
        </w:drawing>
      </w:r>
    </w:p>
    <w:p w:rsidR="005B2501" w:rsidRDefault="005B2501" w:rsidP="005B2501">
      <w:pPr>
        <w:pStyle w:val="BodyParagraph"/>
      </w:pPr>
    </w:p>
    <w:p w:rsidR="009009D5" w:rsidRDefault="009009D5" w:rsidP="009009D5">
      <w:pPr>
        <w:pStyle w:val="BodyParagraph"/>
        <w:tabs>
          <w:tab w:val="left" w:pos="4227"/>
        </w:tabs>
      </w:pPr>
      <w:r>
        <w:tab/>
      </w:r>
    </w:p>
    <w:p w:rsidR="009009D5" w:rsidRDefault="009009D5" w:rsidP="009009D5"/>
    <w:p w:rsidR="005B2501" w:rsidRPr="009009D5" w:rsidRDefault="005B2501" w:rsidP="009009D5">
      <w:pPr>
        <w:sectPr w:rsidR="005B2501" w:rsidRPr="009009D5" w:rsidSect="001B572D">
          <w:footerReference w:type="default" r:id="rId37"/>
          <w:pgSz w:w="15840" w:h="12240" w:orient="landscape"/>
          <w:pgMar w:top="1440" w:right="1440" w:bottom="1440" w:left="1440" w:header="720" w:footer="720" w:gutter="0"/>
          <w:cols w:space="720"/>
          <w:docGrid w:linePitch="360"/>
        </w:sectPr>
      </w:pPr>
    </w:p>
    <w:p w:rsidR="005B2501" w:rsidRPr="00DC41F3" w:rsidRDefault="00A73303" w:rsidP="005B2501">
      <w:pPr>
        <w:pStyle w:val="BodyParagraph"/>
      </w:pPr>
      <w:r>
        <w:lastRenderedPageBreak/>
        <w:t>Table 5-3</w:t>
      </w:r>
      <w:r w:rsidR="005B2501" w:rsidRPr="00DC41F3">
        <w:t xml:space="preserve"> </w:t>
      </w:r>
      <w:r>
        <w:t>shows the aggregate on-peak opt-in PTR</w:t>
      </w:r>
      <w:r w:rsidR="005B2501" w:rsidRPr="00DC41F3">
        <w:t xml:space="preserve"> ex ante load impact estimates for each monthly system peak day by weather year and forecast year.</w:t>
      </w:r>
      <w:r>
        <w:t xml:space="preserve"> </w:t>
      </w:r>
      <w:r w:rsidR="005B2501">
        <w:t xml:space="preserve"> In accordance with the</w:t>
      </w:r>
      <w:r w:rsidR="005B2501" w:rsidRPr="00DC41F3">
        <w:t xml:space="preserve"> resource adequacy hours, the peak period is defined </w:t>
      </w:r>
      <w:r w:rsidR="003816DE">
        <w:t>as 1</w:t>
      </w:r>
      <w:r w:rsidR="005B2501" w:rsidRPr="002A21D9">
        <w:t xml:space="preserve"> to 6 PM fro</w:t>
      </w:r>
      <w:r w:rsidR="003816DE">
        <w:t>m April through October and 4</w:t>
      </w:r>
      <w:r w:rsidR="005B2501" w:rsidRPr="002A21D9">
        <w:t xml:space="preserve"> to 9 PM from November through March. </w:t>
      </w:r>
      <w:r>
        <w:t xml:space="preserve"> </w:t>
      </w:r>
      <w:r w:rsidR="005B2501" w:rsidRPr="002A21D9">
        <w:t>On</w:t>
      </w:r>
      <w:r w:rsidR="005B2501" w:rsidRPr="00DC41F3">
        <w:t xml:space="preserve">ce </w:t>
      </w:r>
      <w:r w:rsidR="005B2501" w:rsidRPr="002A21D9">
        <w:t>enrollment reach</w:t>
      </w:r>
      <w:r>
        <w:t>es a steady state in the 2015</w:t>
      </w:r>
      <w:r w:rsidR="003816DE">
        <w:t xml:space="preserve"> to </w:t>
      </w:r>
      <w:r w:rsidR="005B2501" w:rsidRPr="002A21D9">
        <w:t>2024 time period, the program is expected</w:t>
      </w:r>
      <w:r w:rsidR="005B2501" w:rsidRPr="00DC41F3">
        <w:t xml:space="preserve"> to be capable of </w:t>
      </w:r>
      <w:r w:rsidR="005B2501" w:rsidRPr="002A21D9">
        <w:t xml:space="preserve">delivering up to </w:t>
      </w:r>
      <w:r>
        <w:t>10.6</w:t>
      </w:r>
      <w:r w:rsidR="005B2501" w:rsidRPr="002A21D9">
        <w:t xml:space="preserve"> MW, which occurs during the </w:t>
      </w:r>
      <w:r>
        <w:t>September</w:t>
      </w:r>
      <w:r w:rsidR="005B2501" w:rsidRPr="002A21D9">
        <w:t xml:space="preserve"> monthly peak u</w:t>
      </w:r>
      <w:r>
        <w:t xml:space="preserve">nder 1-in-10 weather conditions.  Table 5-3 also divides these aggregate load impacts between opt-in PTR-only customers and dually-enrolled customers, which </w:t>
      </w:r>
      <w:r w:rsidR="00766A69">
        <w:t>shows how much of the resource is</w:t>
      </w:r>
      <w:r>
        <w:t xml:space="preserve"> allocated to Summer Saver in the portfolio evaluation.  For all monthly system peak days under both 1-in-2 and 1-in-10 weather conditions, dually-enrolled customers account for around 9% of aggregate load impacts.</w:t>
      </w:r>
    </w:p>
    <w:p w:rsidR="005B2501" w:rsidRDefault="00A73303" w:rsidP="005B2501">
      <w:pPr>
        <w:pStyle w:val="TableFigureCaption"/>
      </w:pPr>
      <w:r>
        <w:t>Table 5-3: Opt-in PTR</w:t>
      </w:r>
      <w:r w:rsidR="005B2501" w:rsidRPr="00DC41F3">
        <w:t xml:space="preserve"> Aggregate On-peak Load Impacts (MW) </w:t>
      </w:r>
      <w:r w:rsidR="005B2501" w:rsidRPr="00DC41F3">
        <w:br/>
        <w:t>for Each Monthly System Peak Day by Weather Year and Forecast Year</w:t>
      </w:r>
    </w:p>
    <w:tbl>
      <w:tblPr>
        <w:tblW w:w="10006" w:type="dxa"/>
        <w:jc w:val="center"/>
        <w:tblInd w:w="93" w:type="dxa"/>
        <w:tblLook w:val="04A0" w:firstRow="1" w:lastRow="0" w:firstColumn="1" w:lastColumn="0" w:noHBand="0" w:noVBand="1"/>
      </w:tblPr>
      <w:tblGrid>
        <w:gridCol w:w="1006"/>
        <w:gridCol w:w="960"/>
        <w:gridCol w:w="960"/>
        <w:gridCol w:w="1180"/>
        <w:gridCol w:w="1180"/>
        <w:gridCol w:w="1180"/>
        <w:gridCol w:w="1180"/>
        <w:gridCol w:w="1180"/>
        <w:gridCol w:w="1180"/>
      </w:tblGrid>
      <w:tr w:rsidR="00A73303" w:rsidRPr="00A73303" w:rsidTr="00B01DA0">
        <w:trPr>
          <w:trHeight w:val="570"/>
          <w:jc w:val="center"/>
        </w:trPr>
        <w:tc>
          <w:tcPr>
            <w:tcW w:w="1006" w:type="dxa"/>
            <w:vMerge w:val="restart"/>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Weather Year</w:t>
            </w:r>
          </w:p>
        </w:tc>
        <w:tc>
          <w:tcPr>
            <w:tcW w:w="960" w:type="dxa"/>
            <w:vMerge w:val="restart"/>
            <w:tcBorders>
              <w:top w:val="single" w:sz="4" w:space="0" w:color="000000"/>
              <w:left w:val="single" w:sz="4" w:space="0" w:color="FFFFFF"/>
              <w:bottom w:val="single" w:sz="4" w:space="0" w:color="FFFFFF"/>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Month</w:t>
            </w:r>
          </w:p>
        </w:tc>
        <w:tc>
          <w:tcPr>
            <w:tcW w:w="960" w:type="dxa"/>
            <w:vMerge w:val="restart"/>
            <w:tcBorders>
              <w:top w:val="single" w:sz="4" w:space="0" w:color="000000"/>
              <w:left w:val="single" w:sz="4" w:space="0" w:color="FFFFFF"/>
              <w:bottom w:val="single" w:sz="4" w:space="0" w:color="000000"/>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Peak Period</w:t>
            </w:r>
          </w:p>
        </w:tc>
        <w:tc>
          <w:tcPr>
            <w:tcW w:w="2360" w:type="dxa"/>
            <w:gridSpan w:val="2"/>
            <w:tcBorders>
              <w:top w:val="single" w:sz="4" w:space="0" w:color="000000"/>
              <w:left w:val="nil"/>
              <w:bottom w:val="single" w:sz="4" w:space="0" w:color="FFFFFF"/>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Opt-in PTR-only</w:t>
            </w:r>
          </w:p>
        </w:tc>
        <w:tc>
          <w:tcPr>
            <w:tcW w:w="2360" w:type="dxa"/>
            <w:gridSpan w:val="2"/>
            <w:tcBorders>
              <w:top w:val="single" w:sz="4" w:space="0" w:color="000000"/>
              <w:left w:val="nil"/>
              <w:bottom w:val="single" w:sz="4" w:space="0" w:color="FFFFFF"/>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Dually-enrolled Customers</w:t>
            </w:r>
          </w:p>
        </w:tc>
        <w:tc>
          <w:tcPr>
            <w:tcW w:w="2360" w:type="dxa"/>
            <w:gridSpan w:val="2"/>
            <w:tcBorders>
              <w:top w:val="single" w:sz="4" w:space="0" w:color="000000"/>
              <w:left w:val="nil"/>
              <w:bottom w:val="single" w:sz="4" w:space="0" w:color="FFFFFF"/>
              <w:right w:val="single" w:sz="4" w:space="0" w:color="000000"/>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Total</w:t>
            </w:r>
          </w:p>
        </w:tc>
      </w:tr>
      <w:tr w:rsidR="00A73303" w:rsidRPr="00A73303" w:rsidTr="00B01DA0">
        <w:trPr>
          <w:trHeight w:val="345"/>
          <w:jc w:val="center"/>
        </w:trPr>
        <w:tc>
          <w:tcPr>
            <w:tcW w:w="1006" w:type="dxa"/>
            <w:vMerge/>
            <w:tcBorders>
              <w:top w:val="single" w:sz="4" w:space="0" w:color="000000"/>
              <w:left w:val="single" w:sz="4" w:space="0" w:color="000000"/>
              <w:bottom w:val="single" w:sz="4" w:space="0" w:color="000000"/>
              <w:right w:val="single" w:sz="4" w:space="0" w:color="FFFFFF"/>
            </w:tcBorders>
            <w:vAlign w:val="center"/>
            <w:hideMark/>
          </w:tcPr>
          <w:p w:rsidR="00A73303" w:rsidRPr="00A73303" w:rsidRDefault="00A73303" w:rsidP="00A73303">
            <w:pPr>
              <w:spacing w:before="60" w:after="60" w:line="240" w:lineRule="auto"/>
              <w:rPr>
                <w:rFonts w:ascii="Arial" w:eastAsia="Times New Roman" w:hAnsi="Arial" w:cs="Arial"/>
                <w:b/>
                <w:bCs/>
                <w:color w:val="FFFFFF"/>
                <w:sz w:val="20"/>
                <w:szCs w:val="20"/>
              </w:rPr>
            </w:pPr>
          </w:p>
        </w:tc>
        <w:tc>
          <w:tcPr>
            <w:tcW w:w="960" w:type="dxa"/>
            <w:vMerge/>
            <w:tcBorders>
              <w:top w:val="single" w:sz="4" w:space="0" w:color="000000"/>
              <w:left w:val="single" w:sz="4" w:space="0" w:color="FFFFFF"/>
              <w:bottom w:val="single" w:sz="4" w:space="0" w:color="FFFFFF"/>
              <w:right w:val="single" w:sz="4" w:space="0" w:color="FFFFFF"/>
            </w:tcBorders>
            <w:vAlign w:val="center"/>
            <w:hideMark/>
          </w:tcPr>
          <w:p w:rsidR="00A73303" w:rsidRPr="00A73303" w:rsidRDefault="00A73303" w:rsidP="00A73303">
            <w:pPr>
              <w:spacing w:before="60" w:after="60" w:line="240" w:lineRule="auto"/>
              <w:rPr>
                <w:rFonts w:ascii="Arial" w:eastAsia="Times New Roman" w:hAnsi="Arial" w:cs="Arial"/>
                <w:b/>
                <w:bCs/>
                <w:color w:val="FFFFFF"/>
                <w:sz w:val="20"/>
                <w:szCs w:val="20"/>
              </w:rPr>
            </w:pPr>
          </w:p>
        </w:tc>
        <w:tc>
          <w:tcPr>
            <w:tcW w:w="960" w:type="dxa"/>
            <w:vMerge/>
            <w:tcBorders>
              <w:top w:val="single" w:sz="4" w:space="0" w:color="000000"/>
              <w:left w:val="single" w:sz="4" w:space="0" w:color="FFFFFF"/>
              <w:bottom w:val="single" w:sz="4" w:space="0" w:color="000000"/>
              <w:right w:val="single" w:sz="4" w:space="0" w:color="FFFFFF"/>
            </w:tcBorders>
            <w:vAlign w:val="center"/>
            <w:hideMark/>
          </w:tcPr>
          <w:p w:rsidR="00A73303" w:rsidRPr="00A73303" w:rsidRDefault="00A73303" w:rsidP="00A73303">
            <w:pPr>
              <w:spacing w:before="60" w:after="60" w:line="240" w:lineRule="auto"/>
              <w:rPr>
                <w:rFonts w:ascii="Arial" w:eastAsia="Times New Roman" w:hAnsi="Arial" w:cs="Arial"/>
                <w:b/>
                <w:bCs/>
                <w:color w:val="FFFFFF"/>
                <w:sz w:val="20"/>
                <w:szCs w:val="20"/>
              </w:rPr>
            </w:pPr>
          </w:p>
        </w:tc>
        <w:tc>
          <w:tcPr>
            <w:tcW w:w="1180" w:type="dxa"/>
            <w:tcBorders>
              <w:top w:val="nil"/>
              <w:left w:val="nil"/>
              <w:bottom w:val="nil"/>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2014</w:t>
            </w:r>
          </w:p>
        </w:tc>
        <w:tc>
          <w:tcPr>
            <w:tcW w:w="1180" w:type="dxa"/>
            <w:tcBorders>
              <w:top w:val="nil"/>
              <w:left w:val="nil"/>
              <w:bottom w:val="nil"/>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2015-2024</w:t>
            </w:r>
          </w:p>
        </w:tc>
        <w:tc>
          <w:tcPr>
            <w:tcW w:w="1180" w:type="dxa"/>
            <w:tcBorders>
              <w:top w:val="nil"/>
              <w:left w:val="nil"/>
              <w:bottom w:val="single" w:sz="4" w:space="0" w:color="000000"/>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2014</w:t>
            </w:r>
          </w:p>
        </w:tc>
        <w:tc>
          <w:tcPr>
            <w:tcW w:w="1180" w:type="dxa"/>
            <w:tcBorders>
              <w:top w:val="nil"/>
              <w:left w:val="nil"/>
              <w:bottom w:val="single" w:sz="4" w:space="0" w:color="000000"/>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2015-2024</w:t>
            </w:r>
          </w:p>
        </w:tc>
        <w:tc>
          <w:tcPr>
            <w:tcW w:w="1180" w:type="dxa"/>
            <w:tcBorders>
              <w:top w:val="nil"/>
              <w:left w:val="nil"/>
              <w:bottom w:val="single" w:sz="4" w:space="0" w:color="000000"/>
              <w:right w:val="single" w:sz="4" w:space="0" w:color="FFFFFF"/>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2014</w:t>
            </w:r>
          </w:p>
        </w:tc>
        <w:tc>
          <w:tcPr>
            <w:tcW w:w="1180" w:type="dxa"/>
            <w:tcBorders>
              <w:top w:val="nil"/>
              <w:left w:val="nil"/>
              <w:bottom w:val="single" w:sz="4" w:space="0" w:color="000000"/>
              <w:right w:val="single" w:sz="4" w:space="0" w:color="000000"/>
            </w:tcBorders>
            <w:shd w:val="clear" w:color="000000" w:fill="1F497D"/>
            <w:vAlign w:val="center"/>
            <w:hideMark/>
          </w:tcPr>
          <w:p w:rsidR="00A73303" w:rsidRPr="00A73303" w:rsidRDefault="00A73303" w:rsidP="00A73303">
            <w:pPr>
              <w:spacing w:before="60" w:after="60" w:line="240" w:lineRule="auto"/>
              <w:jc w:val="center"/>
              <w:rPr>
                <w:rFonts w:ascii="Arial" w:eastAsia="Times New Roman" w:hAnsi="Arial" w:cs="Arial"/>
                <w:b/>
                <w:bCs/>
                <w:color w:val="FFFFFF"/>
                <w:sz w:val="20"/>
                <w:szCs w:val="20"/>
              </w:rPr>
            </w:pPr>
            <w:r w:rsidRPr="00A73303">
              <w:rPr>
                <w:rFonts w:ascii="Arial" w:eastAsia="Times New Roman" w:hAnsi="Arial" w:cs="Arial"/>
                <w:b/>
                <w:bCs/>
                <w:color w:val="FFFFFF"/>
                <w:sz w:val="20"/>
                <w:szCs w:val="20"/>
              </w:rPr>
              <w:t>2015-2024</w:t>
            </w:r>
          </w:p>
        </w:tc>
      </w:tr>
      <w:tr w:rsidR="00A73303" w:rsidRPr="00A73303" w:rsidTr="00B01DA0">
        <w:trPr>
          <w:trHeight w:val="300"/>
          <w:jc w:val="center"/>
        </w:trPr>
        <w:tc>
          <w:tcPr>
            <w:tcW w:w="1006" w:type="dxa"/>
            <w:vMerge w:val="restart"/>
            <w:tcBorders>
              <w:top w:val="nil"/>
              <w:left w:val="single" w:sz="4" w:space="0" w:color="000000"/>
              <w:bottom w:val="single" w:sz="4" w:space="0" w:color="000000"/>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1-in-2</w:t>
            </w: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Jan</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single" w:sz="4" w:space="0" w:color="auto"/>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1.1</w:t>
            </w:r>
          </w:p>
        </w:tc>
        <w:tc>
          <w:tcPr>
            <w:tcW w:w="1180" w:type="dxa"/>
            <w:tcBorders>
              <w:top w:val="single" w:sz="4" w:space="0" w:color="auto"/>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Feb</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Mar</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Apr</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3.2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4.3</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0.3</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0.4</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3.5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4.7</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May</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3.7</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4.9</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0.4</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4.1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5.4</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Jun</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4.2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5.1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0.4</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4.6</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5.6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Jul</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0.7</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0.8</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8.9</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Aug</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7.8</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7.8</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0.8</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0.8</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8.6</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Sep</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9.4</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9.4</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0.9</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0.9</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10.3</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10.3</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Oct</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6.5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6.5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0.7</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0.7</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7.2</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Nov</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2.3</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2.3</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0.2</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2.5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2.5</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Dec</w:t>
            </w:r>
          </w:p>
        </w:tc>
        <w:tc>
          <w:tcPr>
            <w:tcW w:w="96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single" w:sz="4" w:space="0" w:color="auto"/>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single" w:sz="4" w:space="0" w:color="auto"/>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single" w:sz="4" w:space="0" w:color="auto"/>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val="restart"/>
            <w:tcBorders>
              <w:top w:val="nil"/>
              <w:left w:val="single" w:sz="4" w:space="0" w:color="000000"/>
              <w:bottom w:val="single" w:sz="4" w:space="0" w:color="000000"/>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1-in-10</w:t>
            </w: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Jan</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Feb</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Mar</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Apr</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2.8</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3.7</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0.3</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0.3</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3.0</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4.0</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May</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5.5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7.3</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0.7</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6.0</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8.0</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Jun</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6.8</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8.2</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0.7</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0.8</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9.0</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Jul</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8.8</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0.8</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0.9</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8.9</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9.7</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Aug</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9.0</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9.0</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0.9</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0.9</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9.9</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9.9</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Sep</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9.7</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9.7</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0.9</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0.9</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10.6</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10.6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Oct</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7.2</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7.2</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0.7</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0.7</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8.0</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8.0</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Nov</w:t>
            </w:r>
          </w:p>
        </w:tc>
        <w:tc>
          <w:tcPr>
            <w:tcW w:w="96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nil"/>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c>
          <w:tcPr>
            <w:tcW w:w="1180" w:type="dxa"/>
            <w:tcBorders>
              <w:top w:val="nil"/>
              <w:left w:val="nil"/>
              <w:bottom w:val="nil"/>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r w:rsidR="00A73303" w:rsidRPr="00A73303" w:rsidTr="00B01DA0">
        <w:trPr>
          <w:trHeight w:val="300"/>
          <w:jc w:val="center"/>
        </w:trPr>
        <w:tc>
          <w:tcPr>
            <w:tcW w:w="1006" w:type="dxa"/>
            <w:vMerge/>
            <w:tcBorders>
              <w:top w:val="nil"/>
              <w:left w:val="single" w:sz="4" w:space="0" w:color="000000"/>
              <w:bottom w:val="single" w:sz="4" w:space="0" w:color="000000"/>
              <w:right w:val="nil"/>
            </w:tcBorders>
            <w:vAlign w:val="center"/>
            <w:hideMark/>
          </w:tcPr>
          <w:p w:rsidR="00A73303" w:rsidRPr="00A73303" w:rsidRDefault="00A73303" w:rsidP="00A73303">
            <w:pPr>
              <w:spacing w:before="60" w:after="60" w:line="240" w:lineRule="auto"/>
              <w:rPr>
                <w:rFonts w:ascii="Arial" w:eastAsia="Times New Roman" w:hAnsi="Arial" w:cs="Arial"/>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Dec</w:t>
            </w:r>
          </w:p>
        </w:tc>
        <w:tc>
          <w:tcPr>
            <w:tcW w:w="96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lang w:eastAsia="ko-KR"/>
              </w:rPr>
              <w:t>4-9 PM</w:t>
            </w:r>
          </w:p>
        </w:tc>
        <w:tc>
          <w:tcPr>
            <w:tcW w:w="1180" w:type="dxa"/>
            <w:tcBorders>
              <w:top w:val="nil"/>
              <w:left w:val="nil"/>
              <w:bottom w:val="single" w:sz="4" w:space="0" w:color="auto"/>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1.5</w:t>
            </w:r>
          </w:p>
        </w:tc>
        <w:tc>
          <w:tcPr>
            <w:tcW w:w="1180" w:type="dxa"/>
            <w:tcBorders>
              <w:top w:val="nil"/>
              <w:left w:val="nil"/>
              <w:bottom w:val="single" w:sz="4" w:space="0" w:color="auto"/>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0.1</w:t>
            </w:r>
          </w:p>
        </w:tc>
        <w:tc>
          <w:tcPr>
            <w:tcW w:w="1180" w:type="dxa"/>
            <w:tcBorders>
              <w:top w:val="nil"/>
              <w:left w:val="nil"/>
              <w:bottom w:val="single" w:sz="4" w:space="0" w:color="auto"/>
              <w:right w:val="nil"/>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c>
          <w:tcPr>
            <w:tcW w:w="1180" w:type="dxa"/>
            <w:tcBorders>
              <w:top w:val="nil"/>
              <w:left w:val="nil"/>
              <w:bottom w:val="single" w:sz="4" w:space="0" w:color="auto"/>
              <w:right w:val="single" w:sz="4" w:space="0" w:color="auto"/>
            </w:tcBorders>
            <w:shd w:val="clear" w:color="auto" w:fill="auto"/>
            <w:noWrap/>
            <w:vAlign w:val="center"/>
            <w:hideMark/>
          </w:tcPr>
          <w:p w:rsidR="00A73303" w:rsidRPr="00A73303" w:rsidRDefault="00A73303" w:rsidP="00A73303">
            <w:pPr>
              <w:spacing w:before="60" w:after="60" w:line="240" w:lineRule="auto"/>
              <w:jc w:val="center"/>
              <w:rPr>
                <w:rFonts w:ascii="Arial" w:eastAsia="Times New Roman" w:hAnsi="Arial" w:cs="Arial"/>
                <w:color w:val="000000"/>
                <w:sz w:val="18"/>
                <w:szCs w:val="18"/>
              </w:rPr>
            </w:pPr>
            <w:r w:rsidRPr="00A73303">
              <w:rPr>
                <w:rFonts w:ascii="Arial" w:eastAsia="Times New Roman" w:hAnsi="Arial" w:cs="Arial"/>
                <w:color w:val="000000"/>
                <w:sz w:val="18"/>
                <w:szCs w:val="18"/>
              </w:rPr>
              <w:t>1.6</w:t>
            </w:r>
          </w:p>
        </w:tc>
      </w:tr>
    </w:tbl>
    <w:p w:rsidR="00D21C5B" w:rsidRDefault="00B01DA0" w:rsidP="00B01DA0">
      <w:pPr>
        <w:pStyle w:val="BodyParagraph"/>
      </w:pPr>
      <w:r>
        <w:lastRenderedPageBreak/>
        <w:t>Table 5-4</w:t>
      </w:r>
      <w:r w:rsidRPr="00DC41F3">
        <w:t xml:space="preserve"> </w:t>
      </w:r>
      <w:r>
        <w:t>shows the aggregate on-peak SCTD</w:t>
      </w:r>
      <w:r w:rsidRPr="00DC41F3">
        <w:t xml:space="preserve"> ex ante load impact estimates </w:t>
      </w:r>
      <w:r w:rsidR="00D21C5B" w:rsidRPr="00DC41F3">
        <w:t xml:space="preserve">by weather year and forecast year </w:t>
      </w:r>
      <w:r w:rsidRPr="00DC41F3">
        <w:t>for each system peak day</w:t>
      </w:r>
      <w:r w:rsidR="00D21C5B">
        <w:t xml:space="preserve"> during summer months</w:t>
      </w:r>
      <w:r w:rsidRPr="00DC41F3">
        <w:t>.</w:t>
      </w:r>
      <w:r w:rsidR="00D21C5B">
        <w:t xml:space="preserve">  As discussed in Section 5.3, SCTD impacts for November through April are assumed to be zero, considering that air conditioning load is expected to be negligible during those months.</w:t>
      </w:r>
      <w:r w:rsidRPr="002A21D9">
        <w:t xml:space="preserve"> </w:t>
      </w:r>
      <w:r>
        <w:t xml:space="preserve"> </w:t>
      </w:r>
      <w:r w:rsidRPr="002A21D9">
        <w:t>On</w:t>
      </w:r>
      <w:r w:rsidRPr="00DC41F3">
        <w:t xml:space="preserve">ce </w:t>
      </w:r>
      <w:r w:rsidRPr="002A21D9">
        <w:t>enrollment reach</w:t>
      </w:r>
      <w:r>
        <w:t xml:space="preserve">es a steady state </w:t>
      </w:r>
      <w:r w:rsidR="00D21C5B">
        <w:t xml:space="preserve">of 10,500 customers </w:t>
      </w:r>
      <w:r>
        <w:t>in the 201</w:t>
      </w:r>
      <w:r w:rsidR="00D21C5B">
        <w:t>6</w:t>
      </w:r>
      <w:r w:rsidR="003816DE">
        <w:t xml:space="preserve"> to </w:t>
      </w:r>
      <w:r w:rsidRPr="002A21D9">
        <w:t>2024 time period, the program is expected</w:t>
      </w:r>
      <w:r w:rsidRPr="00DC41F3">
        <w:t xml:space="preserve"> to be capable of </w:t>
      </w:r>
      <w:r w:rsidRPr="002A21D9">
        <w:t xml:space="preserve">delivering up to </w:t>
      </w:r>
      <w:r w:rsidR="00D21C5B">
        <w:t>7.4</w:t>
      </w:r>
      <w:r w:rsidRPr="002A21D9">
        <w:t xml:space="preserve"> MW</w:t>
      </w:r>
      <w:r w:rsidR="00D21C5B">
        <w:t xml:space="preserve"> (0.7 kW per customer)</w:t>
      </w:r>
      <w:r w:rsidRPr="002A21D9">
        <w:t xml:space="preserve">, which occurs during the </w:t>
      </w:r>
      <w:r>
        <w:t>September</w:t>
      </w:r>
      <w:r w:rsidRPr="002A21D9">
        <w:t xml:space="preserve"> monthly peak u</w:t>
      </w:r>
      <w:r>
        <w:t>nd</w:t>
      </w:r>
      <w:r w:rsidR="00D21C5B">
        <w:t>er 1-in-10 weather conditions.  If the SCTD program delivers the load impacts that are indicated in this forecast, the capacity of opt-in PTR as a whole (including SCTD) will increase by nearly 70% (from 10.6 MW to 18 MW).  However, it is important to note that the SCTD impacts should be taken with a higher degree of uncertainty than the opt-in PTR impacts, given that the program is starting from basically zero participants at this point.  While this forecast draws from the best available information, there are a number of factors that could lead to lower than expected impacts from SCTD, such as PCT communication failures or few customers enrolling than expected.</w:t>
      </w:r>
    </w:p>
    <w:p w:rsidR="00B01DA0" w:rsidRDefault="00B01DA0" w:rsidP="00B01DA0">
      <w:pPr>
        <w:pStyle w:val="TableFigureCaption"/>
      </w:pPr>
      <w:r>
        <w:t>Table 5-4: SCTD</w:t>
      </w:r>
      <w:r w:rsidRPr="00DC41F3">
        <w:t xml:space="preserve"> Aggregate On-peak Load Impacts (MW) </w:t>
      </w:r>
      <w:r w:rsidRPr="00DC41F3">
        <w:br/>
        <w:t>for Each Monthly System Peak Day by Weather Year and Forecast Year</w:t>
      </w:r>
    </w:p>
    <w:tbl>
      <w:tblPr>
        <w:tblW w:w="6466" w:type="dxa"/>
        <w:jc w:val="center"/>
        <w:tblInd w:w="93" w:type="dxa"/>
        <w:tblLook w:val="04A0" w:firstRow="1" w:lastRow="0" w:firstColumn="1" w:lastColumn="0" w:noHBand="0" w:noVBand="1"/>
      </w:tblPr>
      <w:tblGrid>
        <w:gridCol w:w="1006"/>
        <w:gridCol w:w="960"/>
        <w:gridCol w:w="960"/>
        <w:gridCol w:w="1180"/>
        <w:gridCol w:w="1180"/>
        <w:gridCol w:w="1180"/>
      </w:tblGrid>
      <w:tr w:rsidR="00B01DA0" w:rsidRPr="00B01DA0" w:rsidTr="00642DDB">
        <w:trPr>
          <w:trHeight w:val="485"/>
          <w:jc w:val="center"/>
        </w:trPr>
        <w:tc>
          <w:tcPr>
            <w:tcW w:w="1006" w:type="dxa"/>
            <w:vMerge w:val="restart"/>
            <w:tcBorders>
              <w:top w:val="single" w:sz="4" w:space="0" w:color="000000"/>
              <w:left w:val="single" w:sz="4" w:space="0" w:color="000000"/>
              <w:bottom w:val="single" w:sz="4" w:space="0" w:color="FFFFFF"/>
              <w:right w:val="single" w:sz="4" w:space="0" w:color="FFFFFF"/>
            </w:tcBorders>
            <w:shd w:val="clear" w:color="000000" w:fill="1F497D"/>
            <w:vAlign w:val="center"/>
            <w:hideMark/>
          </w:tcPr>
          <w:p w:rsidR="00B01DA0" w:rsidRPr="00B01DA0" w:rsidRDefault="00B01DA0" w:rsidP="00B01DA0">
            <w:pPr>
              <w:spacing w:before="60" w:after="60" w:line="240" w:lineRule="auto"/>
              <w:jc w:val="center"/>
              <w:rPr>
                <w:rFonts w:ascii="Arial" w:eastAsia="Times New Roman" w:hAnsi="Arial" w:cs="Arial"/>
                <w:b/>
                <w:bCs/>
                <w:color w:val="FFFFFF"/>
                <w:sz w:val="20"/>
                <w:szCs w:val="20"/>
              </w:rPr>
            </w:pPr>
            <w:r w:rsidRPr="00B01DA0">
              <w:rPr>
                <w:rFonts w:ascii="Arial" w:eastAsia="Times New Roman" w:hAnsi="Arial" w:cs="Arial"/>
                <w:b/>
                <w:bCs/>
                <w:color w:val="FFFFFF"/>
                <w:sz w:val="20"/>
                <w:szCs w:val="20"/>
              </w:rPr>
              <w:t>Weather Year</w:t>
            </w:r>
          </w:p>
        </w:tc>
        <w:tc>
          <w:tcPr>
            <w:tcW w:w="960" w:type="dxa"/>
            <w:vMerge w:val="restart"/>
            <w:tcBorders>
              <w:top w:val="single" w:sz="4" w:space="0" w:color="000000"/>
              <w:left w:val="single" w:sz="4" w:space="0" w:color="FFFFFF"/>
              <w:bottom w:val="single" w:sz="4" w:space="0" w:color="FFFFFF"/>
              <w:right w:val="single" w:sz="4" w:space="0" w:color="FFFFFF"/>
            </w:tcBorders>
            <w:shd w:val="clear" w:color="000000" w:fill="1F497D"/>
            <w:vAlign w:val="center"/>
            <w:hideMark/>
          </w:tcPr>
          <w:p w:rsidR="00B01DA0" w:rsidRPr="00B01DA0" w:rsidRDefault="00B01DA0" w:rsidP="00B01DA0">
            <w:pPr>
              <w:spacing w:before="60" w:after="60" w:line="240" w:lineRule="auto"/>
              <w:jc w:val="center"/>
              <w:rPr>
                <w:rFonts w:ascii="Arial" w:eastAsia="Times New Roman" w:hAnsi="Arial" w:cs="Arial"/>
                <w:b/>
                <w:bCs/>
                <w:color w:val="FFFFFF"/>
                <w:sz w:val="20"/>
                <w:szCs w:val="20"/>
              </w:rPr>
            </w:pPr>
            <w:r w:rsidRPr="00B01DA0">
              <w:rPr>
                <w:rFonts w:ascii="Arial" w:eastAsia="Times New Roman" w:hAnsi="Arial" w:cs="Arial"/>
                <w:b/>
                <w:bCs/>
                <w:color w:val="FFFFFF"/>
                <w:sz w:val="20"/>
                <w:szCs w:val="20"/>
              </w:rPr>
              <w:t>Month</w:t>
            </w:r>
          </w:p>
        </w:tc>
        <w:tc>
          <w:tcPr>
            <w:tcW w:w="960" w:type="dxa"/>
            <w:vMerge w:val="restart"/>
            <w:tcBorders>
              <w:top w:val="single" w:sz="4" w:space="0" w:color="000000"/>
              <w:left w:val="single" w:sz="4" w:space="0" w:color="FFFFFF"/>
              <w:bottom w:val="single" w:sz="4" w:space="0" w:color="FFFFFF"/>
              <w:right w:val="single" w:sz="4" w:space="0" w:color="FFFFFF"/>
            </w:tcBorders>
            <w:shd w:val="clear" w:color="000000" w:fill="1F497D"/>
            <w:vAlign w:val="center"/>
            <w:hideMark/>
          </w:tcPr>
          <w:p w:rsidR="00B01DA0" w:rsidRPr="00B01DA0" w:rsidRDefault="00B01DA0" w:rsidP="00B01DA0">
            <w:pPr>
              <w:spacing w:before="60" w:after="60" w:line="240" w:lineRule="auto"/>
              <w:jc w:val="center"/>
              <w:rPr>
                <w:rFonts w:ascii="Arial" w:eastAsia="Times New Roman" w:hAnsi="Arial" w:cs="Arial"/>
                <w:b/>
                <w:bCs/>
                <w:color w:val="FFFFFF"/>
                <w:sz w:val="20"/>
                <w:szCs w:val="20"/>
              </w:rPr>
            </w:pPr>
            <w:r w:rsidRPr="00B01DA0">
              <w:rPr>
                <w:rFonts w:ascii="Arial" w:eastAsia="Times New Roman" w:hAnsi="Arial" w:cs="Arial"/>
                <w:b/>
                <w:bCs/>
                <w:color w:val="FFFFFF"/>
                <w:sz w:val="20"/>
                <w:szCs w:val="20"/>
              </w:rPr>
              <w:t>Peak Period</w:t>
            </w:r>
          </w:p>
        </w:tc>
        <w:tc>
          <w:tcPr>
            <w:tcW w:w="3540" w:type="dxa"/>
            <w:gridSpan w:val="3"/>
            <w:tcBorders>
              <w:top w:val="single" w:sz="4" w:space="0" w:color="000000"/>
              <w:left w:val="nil"/>
              <w:bottom w:val="single" w:sz="4" w:space="0" w:color="FFFFFF"/>
              <w:right w:val="single" w:sz="4" w:space="0" w:color="000000"/>
            </w:tcBorders>
            <w:shd w:val="clear" w:color="000000" w:fill="1F497D"/>
            <w:vAlign w:val="center"/>
            <w:hideMark/>
          </w:tcPr>
          <w:p w:rsidR="00B01DA0" w:rsidRPr="00B01DA0" w:rsidRDefault="00B01DA0" w:rsidP="00B01DA0">
            <w:pPr>
              <w:spacing w:before="60" w:after="60" w:line="240" w:lineRule="auto"/>
              <w:jc w:val="center"/>
              <w:rPr>
                <w:rFonts w:ascii="Arial" w:eastAsia="Times New Roman" w:hAnsi="Arial" w:cs="Arial"/>
                <w:b/>
                <w:bCs/>
                <w:color w:val="FFFFFF"/>
                <w:sz w:val="20"/>
                <w:szCs w:val="20"/>
              </w:rPr>
            </w:pPr>
            <w:r w:rsidRPr="00B01DA0">
              <w:rPr>
                <w:rFonts w:ascii="Arial" w:eastAsia="Times New Roman" w:hAnsi="Arial" w:cs="Arial"/>
                <w:b/>
                <w:bCs/>
                <w:color w:val="FFFFFF"/>
                <w:sz w:val="20"/>
                <w:szCs w:val="20"/>
              </w:rPr>
              <w:t>SCTD Customers</w:t>
            </w:r>
          </w:p>
        </w:tc>
      </w:tr>
      <w:tr w:rsidR="00B01DA0" w:rsidRPr="00B01DA0" w:rsidTr="00642DDB">
        <w:trPr>
          <w:trHeight w:val="345"/>
          <w:jc w:val="center"/>
        </w:trPr>
        <w:tc>
          <w:tcPr>
            <w:tcW w:w="1006" w:type="dxa"/>
            <w:vMerge/>
            <w:tcBorders>
              <w:top w:val="single" w:sz="4" w:space="0" w:color="000000"/>
              <w:left w:val="single" w:sz="4" w:space="0" w:color="000000"/>
              <w:bottom w:val="single" w:sz="4" w:space="0" w:color="FFFFFF"/>
              <w:right w:val="single" w:sz="4" w:space="0" w:color="FFFFFF"/>
            </w:tcBorders>
            <w:vAlign w:val="center"/>
            <w:hideMark/>
          </w:tcPr>
          <w:p w:rsidR="00B01DA0" w:rsidRPr="00B01DA0" w:rsidRDefault="00B01DA0" w:rsidP="00B01DA0">
            <w:pPr>
              <w:spacing w:before="60" w:after="60" w:line="240" w:lineRule="auto"/>
              <w:rPr>
                <w:rFonts w:ascii="Arial" w:eastAsia="Times New Roman" w:hAnsi="Arial" w:cs="Arial"/>
                <w:b/>
                <w:bCs/>
                <w:color w:val="FFFFFF"/>
                <w:sz w:val="20"/>
                <w:szCs w:val="20"/>
              </w:rPr>
            </w:pPr>
          </w:p>
        </w:tc>
        <w:tc>
          <w:tcPr>
            <w:tcW w:w="960" w:type="dxa"/>
            <w:vMerge/>
            <w:tcBorders>
              <w:top w:val="single" w:sz="4" w:space="0" w:color="000000"/>
              <w:left w:val="single" w:sz="4" w:space="0" w:color="FFFFFF"/>
              <w:bottom w:val="single" w:sz="4" w:space="0" w:color="FFFFFF"/>
              <w:right w:val="single" w:sz="4" w:space="0" w:color="FFFFFF"/>
            </w:tcBorders>
            <w:vAlign w:val="center"/>
            <w:hideMark/>
          </w:tcPr>
          <w:p w:rsidR="00B01DA0" w:rsidRPr="00B01DA0" w:rsidRDefault="00B01DA0" w:rsidP="00B01DA0">
            <w:pPr>
              <w:spacing w:before="60" w:after="60" w:line="240" w:lineRule="auto"/>
              <w:rPr>
                <w:rFonts w:ascii="Arial" w:eastAsia="Times New Roman" w:hAnsi="Arial" w:cs="Arial"/>
                <w:b/>
                <w:bCs/>
                <w:color w:val="FFFFFF"/>
                <w:sz w:val="20"/>
                <w:szCs w:val="20"/>
              </w:rPr>
            </w:pPr>
          </w:p>
        </w:tc>
        <w:tc>
          <w:tcPr>
            <w:tcW w:w="960" w:type="dxa"/>
            <w:vMerge/>
            <w:tcBorders>
              <w:top w:val="single" w:sz="4" w:space="0" w:color="000000"/>
              <w:left w:val="single" w:sz="4" w:space="0" w:color="FFFFFF"/>
              <w:bottom w:val="single" w:sz="4" w:space="0" w:color="FFFFFF"/>
              <w:right w:val="single" w:sz="4" w:space="0" w:color="FFFFFF"/>
            </w:tcBorders>
            <w:vAlign w:val="center"/>
            <w:hideMark/>
          </w:tcPr>
          <w:p w:rsidR="00B01DA0" w:rsidRPr="00B01DA0" w:rsidRDefault="00B01DA0" w:rsidP="00B01DA0">
            <w:pPr>
              <w:spacing w:before="60" w:after="60" w:line="240" w:lineRule="auto"/>
              <w:rPr>
                <w:rFonts w:ascii="Arial" w:eastAsia="Times New Roman" w:hAnsi="Arial" w:cs="Arial"/>
                <w:b/>
                <w:bCs/>
                <w:color w:val="FFFFFF"/>
                <w:sz w:val="20"/>
                <w:szCs w:val="20"/>
              </w:rPr>
            </w:pPr>
          </w:p>
        </w:tc>
        <w:tc>
          <w:tcPr>
            <w:tcW w:w="1180" w:type="dxa"/>
            <w:tcBorders>
              <w:top w:val="nil"/>
              <w:left w:val="nil"/>
              <w:bottom w:val="nil"/>
              <w:right w:val="single" w:sz="4" w:space="0" w:color="FFFFFF"/>
            </w:tcBorders>
            <w:shd w:val="clear" w:color="000000" w:fill="1F497D"/>
            <w:vAlign w:val="center"/>
            <w:hideMark/>
          </w:tcPr>
          <w:p w:rsidR="00B01DA0" w:rsidRPr="00B01DA0" w:rsidRDefault="00B01DA0" w:rsidP="00B01DA0">
            <w:pPr>
              <w:spacing w:before="60" w:after="60" w:line="240" w:lineRule="auto"/>
              <w:jc w:val="center"/>
              <w:rPr>
                <w:rFonts w:ascii="Arial" w:eastAsia="Times New Roman" w:hAnsi="Arial" w:cs="Arial"/>
                <w:b/>
                <w:bCs/>
                <w:color w:val="FFFFFF"/>
                <w:sz w:val="20"/>
                <w:szCs w:val="20"/>
              </w:rPr>
            </w:pPr>
            <w:r w:rsidRPr="00B01DA0">
              <w:rPr>
                <w:rFonts w:ascii="Arial" w:eastAsia="Times New Roman" w:hAnsi="Arial" w:cs="Arial"/>
                <w:b/>
                <w:bCs/>
                <w:color w:val="FFFFFF"/>
                <w:sz w:val="20"/>
                <w:szCs w:val="20"/>
              </w:rPr>
              <w:t>2014</w:t>
            </w:r>
          </w:p>
        </w:tc>
        <w:tc>
          <w:tcPr>
            <w:tcW w:w="1180" w:type="dxa"/>
            <w:tcBorders>
              <w:top w:val="nil"/>
              <w:left w:val="nil"/>
              <w:bottom w:val="nil"/>
              <w:right w:val="single" w:sz="4" w:space="0" w:color="FFFFFF"/>
            </w:tcBorders>
            <w:shd w:val="clear" w:color="000000" w:fill="1F497D"/>
            <w:vAlign w:val="center"/>
            <w:hideMark/>
          </w:tcPr>
          <w:p w:rsidR="00B01DA0" w:rsidRPr="00B01DA0" w:rsidRDefault="00B01DA0" w:rsidP="00B01DA0">
            <w:pPr>
              <w:spacing w:before="60" w:after="60" w:line="240" w:lineRule="auto"/>
              <w:jc w:val="center"/>
              <w:rPr>
                <w:rFonts w:ascii="Arial" w:eastAsia="Times New Roman" w:hAnsi="Arial" w:cs="Arial"/>
                <w:b/>
                <w:bCs/>
                <w:color w:val="FFFFFF"/>
                <w:sz w:val="20"/>
                <w:szCs w:val="20"/>
              </w:rPr>
            </w:pPr>
            <w:r w:rsidRPr="00B01DA0">
              <w:rPr>
                <w:rFonts w:ascii="Arial" w:eastAsia="Times New Roman" w:hAnsi="Arial" w:cs="Arial"/>
                <w:b/>
                <w:bCs/>
                <w:color w:val="FFFFFF"/>
                <w:sz w:val="20"/>
                <w:szCs w:val="20"/>
              </w:rPr>
              <w:t>2015</w:t>
            </w:r>
          </w:p>
        </w:tc>
        <w:tc>
          <w:tcPr>
            <w:tcW w:w="1180" w:type="dxa"/>
            <w:tcBorders>
              <w:top w:val="nil"/>
              <w:left w:val="nil"/>
              <w:bottom w:val="nil"/>
              <w:right w:val="single" w:sz="4" w:space="0" w:color="000000"/>
            </w:tcBorders>
            <w:shd w:val="clear" w:color="000000" w:fill="1F497D"/>
            <w:vAlign w:val="center"/>
            <w:hideMark/>
          </w:tcPr>
          <w:p w:rsidR="00B01DA0" w:rsidRPr="00B01DA0" w:rsidRDefault="00B01DA0" w:rsidP="00B01DA0">
            <w:pPr>
              <w:spacing w:before="60" w:after="60" w:line="240" w:lineRule="auto"/>
              <w:jc w:val="center"/>
              <w:rPr>
                <w:rFonts w:ascii="Arial" w:eastAsia="Times New Roman" w:hAnsi="Arial" w:cs="Arial"/>
                <w:b/>
                <w:bCs/>
                <w:color w:val="FFFFFF"/>
                <w:sz w:val="20"/>
                <w:szCs w:val="20"/>
              </w:rPr>
            </w:pPr>
            <w:r w:rsidRPr="00B01DA0">
              <w:rPr>
                <w:rFonts w:ascii="Arial" w:eastAsia="Times New Roman" w:hAnsi="Arial" w:cs="Arial"/>
                <w:b/>
                <w:bCs/>
                <w:color w:val="FFFFFF"/>
                <w:sz w:val="20"/>
                <w:szCs w:val="20"/>
              </w:rPr>
              <w:t>2016-2024</w:t>
            </w:r>
          </w:p>
        </w:tc>
      </w:tr>
      <w:tr w:rsidR="00B01DA0" w:rsidRPr="00B01DA0" w:rsidTr="00642DDB">
        <w:trPr>
          <w:trHeight w:val="300"/>
          <w:jc w:val="center"/>
        </w:trPr>
        <w:tc>
          <w:tcPr>
            <w:tcW w:w="10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1-in-2</w:t>
            </w:r>
          </w:p>
        </w:tc>
        <w:tc>
          <w:tcPr>
            <w:tcW w:w="960" w:type="dxa"/>
            <w:tcBorders>
              <w:top w:val="single" w:sz="4" w:space="0" w:color="auto"/>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May</w:t>
            </w:r>
          </w:p>
        </w:tc>
        <w:tc>
          <w:tcPr>
            <w:tcW w:w="960" w:type="dxa"/>
            <w:tcBorders>
              <w:top w:val="single" w:sz="4" w:space="0" w:color="auto"/>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single" w:sz="4" w:space="0" w:color="auto"/>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0.7</w:t>
            </w:r>
          </w:p>
        </w:tc>
        <w:tc>
          <w:tcPr>
            <w:tcW w:w="1180" w:type="dxa"/>
            <w:tcBorders>
              <w:top w:val="single" w:sz="4" w:space="0" w:color="auto"/>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2.0</w:t>
            </w:r>
          </w:p>
        </w:tc>
        <w:tc>
          <w:tcPr>
            <w:tcW w:w="1180" w:type="dxa"/>
            <w:tcBorders>
              <w:top w:val="single" w:sz="4" w:space="0" w:color="auto"/>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2.2</w:t>
            </w:r>
          </w:p>
        </w:tc>
      </w:tr>
      <w:tr w:rsidR="00B01DA0" w:rsidRPr="00B01DA0" w:rsidTr="00642DDB">
        <w:trPr>
          <w:trHeight w:val="300"/>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Jun</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1.4</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2.2</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2.4</w:t>
            </w:r>
          </w:p>
        </w:tc>
      </w:tr>
      <w:tr w:rsidR="00B01DA0" w:rsidRPr="00B01DA0" w:rsidTr="00642DDB">
        <w:trPr>
          <w:trHeight w:val="300"/>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Jul</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4.5</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4.9</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5.0</w:t>
            </w:r>
          </w:p>
        </w:tc>
      </w:tr>
      <w:tr w:rsidR="00B01DA0" w:rsidRPr="00B01DA0" w:rsidTr="00642DDB">
        <w:trPr>
          <w:trHeight w:val="300"/>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Aug</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4.3</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4.7</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4.7</w:t>
            </w:r>
          </w:p>
        </w:tc>
      </w:tr>
      <w:tr w:rsidR="00B01DA0" w:rsidRPr="00B01DA0" w:rsidTr="00642DDB">
        <w:trPr>
          <w:trHeight w:val="300"/>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Sep</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6.1</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6.7</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6.7</w:t>
            </w:r>
          </w:p>
        </w:tc>
      </w:tr>
      <w:tr w:rsidR="00B01DA0" w:rsidRPr="00B01DA0" w:rsidTr="00642DDB">
        <w:trPr>
          <w:trHeight w:val="300"/>
          <w:jc w:val="center"/>
        </w:trPr>
        <w:tc>
          <w:tcPr>
            <w:tcW w:w="1006" w:type="dxa"/>
            <w:vMerge/>
            <w:tcBorders>
              <w:top w:val="single" w:sz="4" w:space="0" w:color="auto"/>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Oct</w:t>
            </w:r>
          </w:p>
        </w:tc>
        <w:tc>
          <w:tcPr>
            <w:tcW w:w="960" w:type="dxa"/>
            <w:tcBorders>
              <w:top w:val="nil"/>
              <w:left w:val="nil"/>
              <w:bottom w:val="single" w:sz="4" w:space="0" w:color="auto"/>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single" w:sz="4" w:space="0" w:color="auto"/>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3.4</w:t>
            </w:r>
          </w:p>
        </w:tc>
        <w:tc>
          <w:tcPr>
            <w:tcW w:w="1180" w:type="dxa"/>
            <w:tcBorders>
              <w:top w:val="nil"/>
              <w:left w:val="nil"/>
              <w:bottom w:val="single" w:sz="4" w:space="0" w:color="auto"/>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3.7</w:t>
            </w:r>
          </w:p>
        </w:tc>
        <w:tc>
          <w:tcPr>
            <w:tcW w:w="1180" w:type="dxa"/>
            <w:tcBorders>
              <w:top w:val="nil"/>
              <w:left w:val="nil"/>
              <w:bottom w:val="single" w:sz="4" w:space="0" w:color="auto"/>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3.7</w:t>
            </w:r>
          </w:p>
        </w:tc>
      </w:tr>
      <w:tr w:rsidR="00B01DA0" w:rsidRPr="00B01DA0" w:rsidTr="00642DDB">
        <w:trPr>
          <w:trHeight w:val="300"/>
          <w:jc w:val="center"/>
        </w:trPr>
        <w:tc>
          <w:tcPr>
            <w:tcW w:w="10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1-in-10</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May</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1.2</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3.7</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4.1</w:t>
            </w:r>
          </w:p>
        </w:tc>
      </w:tr>
      <w:tr w:rsidR="00B01DA0" w:rsidRPr="00B01DA0" w:rsidTr="00642DDB">
        <w:trPr>
          <w:trHeight w:val="300"/>
          <w:jc w:val="center"/>
        </w:trPr>
        <w:tc>
          <w:tcPr>
            <w:tcW w:w="1006" w:type="dxa"/>
            <w:vMerge/>
            <w:tcBorders>
              <w:top w:val="nil"/>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Jun</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2.8</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4.3</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4.6</w:t>
            </w:r>
          </w:p>
        </w:tc>
      </w:tr>
      <w:tr w:rsidR="00B01DA0" w:rsidRPr="00B01DA0" w:rsidTr="00642DDB">
        <w:trPr>
          <w:trHeight w:val="300"/>
          <w:jc w:val="center"/>
        </w:trPr>
        <w:tc>
          <w:tcPr>
            <w:tcW w:w="1006" w:type="dxa"/>
            <w:vMerge/>
            <w:tcBorders>
              <w:top w:val="nil"/>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Jul</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5.7</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6.1</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6.3</w:t>
            </w:r>
          </w:p>
        </w:tc>
      </w:tr>
      <w:tr w:rsidR="00B01DA0" w:rsidRPr="00B01DA0" w:rsidTr="00642DDB">
        <w:trPr>
          <w:trHeight w:val="300"/>
          <w:jc w:val="center"/>
        </w:trPr>
        <w:tc>
          <w:tcPr>
            <w:tcW w:w="1006" w:type="dxa"/>
            <w:vMerge/>
            <w:tcBorders>
              <w:top w:val="nil"/>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Aug</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5.0</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5.5</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5.5</w:t>
            </w:r>
          </w:p>
        </w:tc>
      </w:tr>
      <w:tr w:rsidR="00B01DA0" w:rsidRPr="00B01DA0" w:rsidTr="00642DDB">
        <w:trPr>
          <w:trHeight w:val="300"/>
          <w:jc w:val="center"/>
        </w:trPr>
        <w:tc>
          <w:tcPr>
            <w:tcW w:w="1006" w:type="dxa"/>
            <w:vMerge/>
            <w:tcBorders>
              <w:top w:val="nil"/>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Sep</w:t>
            </w:r>
          </w:p>
        </w:tc>
        <w:tc>
          <w:tcPr>
            <w:tcW w:w="96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6.7</w:t>
            </w:r>
          </w:p>
        </w:tc>
        <w:tc>
          <w:tcPr>
            <w:tcW w:w="1180" w:type="dxa"/>
            <w:tcBorders>
              <w:top w:val="nil"/>
              <w:left w:val="nil"/>
              <w:bottom w:val="nil"/>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7.4</w:t>
            </w:r>
          </w:p>
        </w:tc>
        <w:tc>
          <w:tcPr>
            <w:tcW w:w="1180" w:type="dxa"/>
            <w:tcBorders>
              <w:top w:val="nil"/>
              <w:left w:val="nil"/>
              <w:bottom w:val="nil"/>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7.4</w:t>
            </w:r>
          </w:p>
        </w:tc>
      </w:tr>
      <w:tr w:rsidR="00B01DA0" w:rsidRPr="00B01DA0" w:rsidTr="00642DDB">
        <w:trPr>
          <w:trHeight w:val="300"/>
          <w:jc w:val="center"/>
        </w:trPr>
        <w:tc>
          <w:tcPr>
            <w:tcW w:w="1006" w:type="dxa"/>
            <w:vMerge/>
            <w:tcBorders>
              <w:top w:val="nil"/>
              <w:left w:val="single" w:sz="4" w:space="0" w:color="auto"/>
              <w:bottom w:val="single" w:sz="4" w:space="0" w:color="000000"/>
              <w:right w:val="single" w:sz="4" w:space="0" w:color="auto"/>
            </w:tcBorders>
            <w:vAlign w:val="center"/>
            <w:hideMark/>
          </w:tcPr>
          <w:p w:rsidR="00B01DA0" w:rsidRPr="00B01DA0" w:rsidRDefault="00B01DA0" w:rsidP="00B01DA0">
            <w:pPr>
              <w:spacing w:before="60" w:after="60" w:line="240" w:lineRule="auto"/>
              <w:rPr>
                <w:rFonts w:ascii="Arial" w:eastAsia="Times New Roman" w:hAnsi="Arial" w:cs="Arial"/>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Oct</w:t>
            </w:r>
          </w:p>
        </w:tc>
        <w:tc>
          <w:tcPr>
            <w:tcW w:w="960" w:type="dxa"/>
            <w:tcBorders>
              <w:top w:val="nil"/>
              <w:left w:val="nil"/>
              <w:bottom w:val="single" w:sz="4" w:space="0" w:color="auto"/>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lang w:eastAsia="ko-KR"/>
              </w:rPr>
              <w:t>1-6 PM</w:t>
            </w:r>
          </w:p>
        </w:tc>
        <w:tc>
          <w:tcPr>
            <w:tcW w:w="1180" w:type="dxa"/>
            <w:tcBorders>
              <w:top w:val="nil"/>
              <w:left w:val="nil"/>
              <w:bottom w:val="single" w:sz="4" w:space="0" w:color="auto"/>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4.2</w:t>
            </w:r>
          </w:p>
        </w:tc>
        <w:tc>
          <w:tcPr>
            <w:tcW w:w="1180" w:type="dxa"/>
            <w:tcBorders>
              <w:top w:val="nil"/>
              <w:left w:val="nil"/>
              <w:bottom w:val="single" w:sz="4" w:space="0" w:color="auto"/>
              <w:right w:val="nil"/>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4.6</w:t>
            </w:r>
          </w:p>
        </w:tc>
        <w:tc>
          <w:tcPr>
            <w:tcW w:w="1180" w:type="dxa"/>
            <w:tcBorders>
              <w:top w:val="nil"/>
              <w:left w:val="nil"/>
              <w:bottom w:val="single" w:sz="4" w:space="0" w:color="auto"/>
              <w:right w:val="single" w:sz="4" w:space="0" w:color="auto"/>
            </w:tcBorders>
            <w:shd w:val="clear" w:color="auto" w:fill="auto"/>
            <w:noWrap/>
            <w:vAlign w:val="center"/>
            <w:hideMark/>
          </w:tcPr>
          <w:p w:rsidR="00B01DA0" w:rsidRPr="00B01DA0" w:rsidRDefault="00B01DA0" w:rsidP="00B01DA0">
            <w:pPr>
              <w:spacing w:before="60" w:after="60" w:line="240" w:lineRule="auto"/>
              <w:jc w:val="center"/>
              <w:rPr>
                <w:rFonts w:ascii="Arial" w:eastAsia="Times New Roman" w:hAnsi="Arial" w:cs="Arial"/>
                <w:color w:val="000000"/>
                <w:sz w:val="18"/>
                <w:szCs w:val="18"/>
              </w:rPr>
            </w:pPr>
            <w:r w:rsidRPr="00B01DA0">
              <w:rPr>
                <w:rFonts w:ascii="Arial" w:eastAsia="Times New Roman" w:hAnsi="Arial" w:cs="Arial"/>
                <w:color w:val="000000"/>
                <w:sz w:val="18"/>
                <w:szCs w:val="18"/>
              </w:rPr>
              <w:t>4.6</w:t>
            </w:r>
          </w:p>
        </w:tc>
      </w:tr>
    </w:tbl>
    <w:p w:rsidR="00642DDB" w:rsidRDefault="00642DDB" w:rsidP="00642DDB">
      <w:pPr>
        <w:pStyle w:val="Heading3"/>
        <w:spacing w:before="360"/>
        <w:rPr>
          <w:rFonts w:eastAsia="Times New Roman"/>
        </w:rPr>
      </w:pPr>
      <w:bookmarkStart w:id="37" w:name="_Toc382580924"/>
      <w:bookmarkStart w:id="38" w:name="_Toc383447580"/>
      <w:r>
        <w:rPr>
          <w:rFonts w:eastAsia="Times New Roman"/>
        </w:rPr>
        <w:t>Comparison of 2012 and 2013 Ex Ante Estimates</w:t>
      </w:r>
      <w:bookmarkEnd w:id="37"/>
      <w:bookmarkEnd w:id="38"/>
      <w:r>
        <w:rPr>
          <w:rFonts w:eastAsia="Times New Roman"/>
        </w:rPr>
        <w:t xml:space="preserve"> </w:t>
      </w:r>
    </w:p>
    <w:p w:rsidR="00B41862" w:rsidRDefault="001E24DA" w:rsidP="00642DDB">
      <w:pPr>
        <w:pStyle w:val="BodyParagraph"/>
      </w:pPr>
      <w:r>
        <w:t xml:space="preserve">This comparison of 2012 and 2013 ex ante load impact estimates focuses on opt-in PTR customers because SCTD customers were not included in the 2012 evaluation.  </w:t>
      </w:r>
      <w:r w:rsidR="00642DDB">
        <w:t xml:space="preserve">The </w:t>
      </w:r>
      <w:r w:rsidR="00B41862">
        <w:t xml:space="preserve">opt-in PTR </w:t>
      </w:r>
      <w:r w:rsidR="00642DDB">
        <w:t xml:space="preserve">ex ante impacts calculated in 2013 (this year’s evaluation) </w:t>
      </w:r>
      <w:r w:rsidR="00B41862">
        <w:t>are significantly higher</w:t>
      </w:r>
      <w:r w:rsidR="00642DDB">
        <w:t xml:space="preserve"> than the estimates provided in 2012 (last year’s evaluation). </w:t>
      </w:r>
      <w:r w:rsidR="00B41862">
        <w:t xml:space="preserve"> Figure 5-7</w:t>
      </w:r>
      <w:r w:rsidR="00642DDB">
        <w:t xml:space="preserve"> compa</w:t>
      </w:r>
      <w:r w:rsidR="003D04D2">
        <w:t>res the two forecasts for the</w:t>
      </w:r>
      <w:r w:rsidR="00642DDB">
        <w:t xml:space="preserve"> August system peak day by weather year</w:t>
      </w:r>
      <w:r w:rsidR="00B41862">
        <w:t xml:space="preserve"> in 2014 and 2023</w:t>
      </w:r>
      <w:r w:rsidR="00642DDB">
        <w:t>.</w:t>
      </w:r>
      <w:r w:rsidR="00B41862">
        <w:t xml:space="preserve">  The 2014 and 2023 August opt-in PTR load impacts are equal in this year’s evaluation because </w:t>
      </w:r>
      <w:r w:rsidR="003816DE">
        <w:t xml:space="preserve">opt-in PTR </w:t>
      </w:r>
      <w:r w:rsidR="00B41862">
        <w:t xml:space="preserve">enrollment is assumed to remain flat once it reaches around 73,000 customers as of August 2014.  Last year’s enrollment forecast also projected around 73,000 customers as of August 2014, but enrollment was assumed to increase by about 1% per year through </w:t>
      </w:r>
      <w:r w:rsidR="00B41862">
        <w:lastRenderedPageBreak/>
        <w:t xml:space="preserve">2023, resulting in </w:t>
      </w:r>
      <w:r w:rsidR="003816DE">
        <w:t xml:space="preserve">a </w:t>
      </w:r>
      <w:r w:rsidR="00B41862">
        <w:t>proportional percentage increase in aggregate impacts.  Nonetheless, the 2013 evaluation produces aggregate load impacts that are 29% to 55% higher for the August system peak day throughout the</w:t>
      </w:r>
      <w:r w:rsidR="00393F35">
        <w:t xml:space="preserve"> overlapping</w:t>
      </w:r>
      <w:r w:rsidR="00B41862">
        <w:t xml:space="preserve"> forecast period.</w:t>
      </w:r>
      <w:r w:rsidR="003D04D2">
        <w:t xml:space="preserve">  As in the comparison of 2012 and 2013 ex post load impact</w:t>
      </w:r>
      <w:r w:rsidR="00E074A7">
        <w:t> </w:t>
      </w:r>
      <w:r w:rsidR="003D04D2">
        <w:t>e</w:t>
      </w:r>
      <w:r w:rsidR="003D04D2" w:rsidRPr="003D04D2">
        <w:t>stimates</w:t>
      </w:r>
      <w:r w:rsidR="003D04D2">
        <w:t xml:space="preserve"> described in Section 4.2, this increase is primarily attributed to the relatively high performance of </w:t>
      </w:r>
      <w:r>
        <w:t xml:space="preserve">the </w:t>
      </w:r>
      <w:r w:rsidR="003D04D2">
        <w:t xml:space="preserve">2013 opt-in PTR enrollees who comprise </w:t>
      </w:r>
      <w:r>
        <w:t>24% of current participants</w:t>
      </w:r>
      <w:r w:rsidR="003D04D2">
        <w:t>.</w:t>
      </w:r>
    </w:p>
    <w:p w:rsidR="00642DDB" w:rsidRDefault="00B41862" w:rsidP="00642DDB">
      <w:pPr>
        <w:pStyle w:val="TableFigureCaption"/>
      </w:pPr>
      <w:r>
        <w:t>Figure 5-7</w:t>
      </w:r>
      <w:r w:rsidR="00642DDB">
        <w:t xml:space="preserve">: Comparison </w:t>
      </w:r>
      <w:r w:rsidR="001E24DA">
        <w:t>of 2012 and 2013</w:t>
      </w:r>
      <w:r>
        <w:t xml:space="preserve"> Estimates of Opt-in PTR</w:t>
      </w:r>
      <w:r w:rsidR="00642DDB">
        <w:t xml:space="preserve"> Aggregate Load Impact (MW) for </w:t>
      </w:r>
      <w:r w:rsidR="001E24DA">
        <w:t xml:space="preserve">an </w:t>
      </w:r>
      <w:r w:rsidR="00642DDB">
        <w:t>August System Peak Day by Weather Year</w:t>
      </w:r>
      <w:r>
        <w:t xml:space="preserve"> in 2014 and 2023</w:t>
      </w:r>
    </w:p>
    <w:p w:rsidR="00642DDB" w:rsidRDefault="00642DDB" w:rsidP="00642DDB">
      <w:pPr>
        <w:pStyle w:val="BodyParagraph"/>
        <w:jc w:val="center"/>
      </w:pPr>
      <w:r>
        <w:rPr>
          <w:noProof/>
        </w:rPr>
        <w:drawing>
          <wp:inline distT="0" distB="0" distL="0" distR="0" wp14:anchorId="120D92ED" wp14:editId="2DCA3D74">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FF3E6F" w:rsidRPr="00FF3E6F" w:rsidRDefault="00FF3E6F" w:rsidP="00FF3E6F">
      <w:pPr>
        <w:pStyle w:val="Heading3"/>
        <w:rPr>
          <w:rFonts w:eastAsia="Times New Roman"/>
        </w:rPr>
      </w:pPr>
      <w:bookmarkStart w:id="39" w:name="_Toc382580925"/>
      <w:bookmarkStart w:id="40" w:name="_Toc383447581"/>
      <w:r w:rsidRPr="00FF3E6F">
        <w:rPr>
          <w:rFonts w:eastAsia="Times New Roman"/>
        </w:rPr>
        <w:t>Relationship Between Ex Post and Ex Ante Estimates</w:t>
      </w:r>
      <w:bookmarkEnd w:id="39"/>
      <w:bookmarkEnd w:id="40"/>
    </w:p>
    <w:p w:rsidR="00FF3E6F" w:rsidRDefault="001E24DA" w:rsidP="00FF3E6F">
      <w:pPr>
        <w:pStyle w:val="BodyParagraph"/>
      </w:pPr>
      <w:r>
        <w:t>Figure 5-8</w:t>
      </w:r>
      <w:r w:rsidR="00FF3E6F">
        <w:t xml:space="preserve"> provides a comparison of the ex post</w:t>
      </w:r>
      <w:r>
        <w:t xml:space="preserve"> and ex ante estimates from the 2013</w:t>
      </w:r>
      <w:r w:rsidR="00FF3E6F">
        <w:t xml:space="preserve"> evaluation.  The</w:t>
      </w:r>
      <w:r w:rsidR="00E074A7">
        <w:t> </w:t>
      </w:r>
      <w:r w:rsidR="00FF3E6F">
        <w:t xml:space="preserve">2013 event in the ex post analysis </w:t>
      </w:r>
      <w:r>
        <w:t>is most comparable to a 1-in-</w:t>
      </w:r>
      <w:r w:rsidR="00E579CD">
        <w:t>2</w:t>
      </w:r>
      <w:r>
        <w:t xml:space="preserve"> August</w:t>
      </w:r>
      <w:r w:rsidR="00FF3E6F">
        <w:t xml:space="preserve"> peak day in the </w:t>
      </w:r>
      <w:proofErr w:type="spellStart"/>
      <w:r w:rsidR="00FF3E6F">
        <w:t>ex ante</w:t>
      </w:r>
      <w:proofErr w:type="spellEnd"/>
      <w:r w:rsidR="00FF3E6F">
        <w:t xml:space="preserve"> analysis.  In addition, considering that the </w:t>
      </w:r>
      <w:proofErr w:type="spellStart"/>
      <w:r w:rsidR="00D91879">
        <w:t>e</w:t>
      </w:r>
      <w:r w:rsidR="00E579CD">
        <w:t>x ante</w:t>
      </w:r>
      <w:proofErr w:type="spellEnd"/>
      <w:r w:rsidR="00E579CD">
        <w:t xml:space="preserve"> estimates are summarized in</w:t>
      </w:r>
      <w:r w:rsidR="00D91879">
        <w:t xml:space="preserve"> the 1</w:t>
      </w:r>
      <w:r w:rsidR="003D5620">
        <w:t xml:space="preserve"> to </w:t>
      </w:r>
      <w:r w:rsidR="00D91879">
        <w:t>6 PM time period</w:t>
      </w:r>
      <w:r w:rsidR="00FF3E6F">
        <w:t xml:space="preserve">, this comparison focuses on the same </w:t>
      </w:r>
      <w:r w:rsidR="00E579CD">
        <w:t>time period in the ex post</w:t>
      </w:r>
      <w:r w:rsidR="00FF3E6F">
        <w:t xml:space="preserve"> estimates.  In general, the </w:t>
      </w:r>
      <w:r w:rsidR="00E127D0">
        <w:t xml:space="preserve">per-customer </w:t>
      </w:r>
      <w:r w:rsidR="00FF3E6F">
        <w:t xml:space="preserve">ex post impacts are very similar to the </w:t>
      </w:r>
      <w:proofErr w:type="spellStart"/>
      <w:r w:rsidR="00FF3E6F">
        <w:t>ex ante</w:t>
      </w:r>
      <w:proofErr w:type="spellEnd"/>
      <w:r w:rsidR="00FF3E6F">
        <w:t xml:space="preserve"> impacts in magnitude and </w:t>
      </w:r>
      <w:r w:rsidR="003777EF">
        <w:t>show similar trends</w:t>
      </w:r>
      <w:r w:rsidR="00FF3E6F">
        <w:t xml:space="preserve"> </w:t>
      </w:r>
      <w:r w:rsidR="000217B0">
        <w:t>by</w:t>
      </w:r>
      <w:r w:rsidR="003777EF">
        <w:t xml:space="preserve"> type of participant (opt-in PTR-only or dually-enrolled)</w:t>
      </w:r>
      <w:r w:rsidR="000217B0">
        <w:t>.  By region, the impacts do not match as closely, but some differences are expected given that regional temperatures for the August 31 event day do not match exactly with temperatures for the 1-in-2 August peak day.</w:t>
      </w:r>
      <w:r w:rsidR="00E127D0">
        <w:t xml:space="preserve">  The </w:t>
      </w:r>
      <w:proofErr w:type="spellStart"/>
      <w:r w:rsidR="00E127D0">
        <w:t>ex ante</w:t>
      </w:r>
      <w:proofErr w:type="spellEnd"/>
      <w:r w:rsidR="00E127D0">
        <w:t xml:space="preserve"> impact</w:t>
      </w:r>
      <w:r w:rsidR="003D5620">
        <w:t xml:space="preserve">s </w:t>
      </w:r>
      <w:r w:rsidR="00E127D0">
        <w:t>are aggregated up</w:t>
      </w:r>
      <w:r w:rsidR="00E074A7">
        <w:t> </w:t>
      </w:r>
      <w:r w:rsidR="00E127D0">
        <w:t xml:space="preserve">from the regional level, so even if the average temperature for all participants is similar, underlying variation in regional temperatures can lead to some </w:t>
      </w:r>
      <w:r w:rsidR="003D5620">
        <w:t>differences between ex post and ex ante</w:t>
      </w:r>
      <w:r w:rsidR="00E127D0">
        <w:t xml:space="preserve"> estimates.</w:t>
      </w:r>
    </w:p>
    <w:p w:rsidR="00FF3E6F" w:rsidRDefault="001E24DA" w:rsidP="00FF3E6F">
      <w:pPr>
        <w:pStyle w:val="TableFigureCaption"/>
      </w:pPr>
      <w:r>
        <w:lastRenderedPageBreak/>
        <w:t>Figure 5-8</w:t>
      </w:r>
      <w:r w:rsidR="00FF3E6F">
        <w:t xml:space="preserve">: Comparison </w:t>
      </w:r>
      <w:r>
        <w:t xml:space="preserve">of </w:t>
      </w:r>
      <w:r w:rsidR="00FF3E6F">
        <w:t xml:space="preserve">Ex Post </w:t>
      </w:r>
      <w:r>
        <w:t>and Ex Ante Estimates of</w:t>
      </w:r>
      <w:r>
        <w:br/>
        <w:t>Opt-in PTR</w:t>
      </w:r>
      <w:r w:rsidR="00FF3E6F">
        <w:t xml:space="preserve"> </w:t>
      </w:r>
      <w:r>
        <w:t>Average Load Impact (k</w:t>
      </w:r>
      <w:r w:rsidR="00FF3E6F">
        <w:t xml:space="preserve">W) in </w:t>
      </w:r>
      <w:r>
        <w:t>August (1</w:t>
      </w:r>
      <w:r w:rsidR="003D5620">
        <w:t xml:space="preserve"> to </w:t>
      </w:r>
      <w:r>
        <w:t>6</w:t>
      </w:r>
      <w:r w:rsidR="00FF3E6F">
        <w:t xml:space="preserve"> PM)</w:t>
      </w:r>
    </w:p>
    <w:p w:rsidR="00FF3E6F" w:rsidRDefault="00E579CD" w:rsidP="00FF3E6F">
      <w:pPr>
        <w:pStyle w:val="TableFigureCaption"/>
        <w:keepNext w:val="0"/>
      </w:pPr>
      <w:r>
        <w:rPr>
          <w:noProof/>
        </w:rPr>
        <w:drawing>
          <wp:inline distT="0" distB="0" distL="0" distR="0" wp14:anchorId="42A45D30" wp14:editId="3697D04E">
            <wp:extent cx="4400961" cy="251289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7303" cy="2516511"/>
                    </a:xfrm>
                    <a:prstGeom prst="rect">
                      <a:avLst/>
                    </a:prstGeom>
                    <a:noFill/>
                  </pic:spPr>
                </pic:pic>
              </a:graphicData>
            </a:graphic>
          </wp:inline>
        </w:drawing>
      </w:r>
    </w:p>
    <w:p w:rsidR="00D07FF4" w:rsidRDefault="00D07FF4" w:rsidP="00D07FF4">
      <w:pPr>
        <w:pStyle w:val="BodyParagraph"/>
      </w:pPr>
    </w:p>
    <w:p w:rsidR="0039141A" w:rsidRDefault="0039141A" w:rsidP="0039141A">
      <w:pPr>
        <w:spacing w:after="0" w:line="240" w:lineRule="auto"/>
        <w:rPr>
          <w:rFonts w:ascii="Arial Bold" w:hAnsi="Arial Bold"/>
          <w:b/>
          <w:color w:val="433B67"/>
          <w:sz w:val="28"/>
          <w:szCs w:val="28"/>
          <w:highlight w:val="lightGray"/>
        </w:rPr>
      </w:pPr>
    </w:p>
    <w:p w:rsidR="00012ECA" w:rsidRPr="0077167B" w:rsidRDefault="00012ECA" w:rsidP="0039141A">
      <w:pPr>
        <w:spacing w:after="0" w:line="240" w:lineRule="auto"/>
        <w:rPr>
          <w:rFonts w:ascii="Arial Bold" w:hAnsi="Arial Bold"/>
          <w:b/>
          <w:color w:val="433B67"/>
          <w:sz w:val="28"/>
          <w:szCs w:val="28"/>
          <w:highlight w:val="lightGray"/>
        </w:rPr>
      </w:pPr>
    </w:p>
    <w:p w:rsidR="0099408F" w:rsidRDefault="0099408F">
      <w:r>
        <w:br w:type="page"/>
      </w:r>
    </w:p>
    <w:p w:rsidR="0039141A" w:rsidRDefault="0099408F" w:rsidP="0099408F">
      <w:pPr>
        <w:pStyle w:val="Heading1"/>
      </w:pPr>
      <w:bookmarkStart w:id="41" w:name="_Toc383447582"/>
      <w:r>
        <w:lastRenderedPageBreak/>
        <w:t>Recommendations</w:t>
      </w:r>
      <w:bookmarkEnd w:id="41"/>
    </w:p>
    <w:p w:rsidR="00834059" w:rsidRPr="00CA21AF" w:rsidRDefault="00355ACE" w:rsidP="00355ACE">
      <w:pPr>
        <w:pStyle w:val="BodyParagraph"/>
      </w:pPr>
      <w:r>
        <w:t xml:space="preserve">With only one PTR event in 2013, this evaluation was limited by a lack of empirical evidence.  </w:t>
      </w:r>
      <w:r w:rsidR="000D6A47">
        <w:t>In the ex post analysis, t</w:t>
      </w:r>
      <w:r>
        <w:t xml:space="preserve">he 2013 enrollees showed higher performance for the August 2013 event, but </w:t>
      </w:r>
      <w:r w:rsidR="000D6A47">
        <w:t xml:space="preserve">without more PTR events, </w:t>
      </w:r>
      <w:r>
        <w:t xml:space="preserve">it is </w:t>
      </w:r>
      <w:r w:rsidR="000D6A47">
        <w:t xml:space="preserve">quite </w:t>
      </w:r>
      <w:r>
        <w:t>uncertain if the</w:t>
      </w:r>
      <w:r w:rsidR="000D6A47">
        <w:t xml:space="preserve">y will continue to perform well in future opt-in PTR events.  With more events, the </w:t>
      </w:r>
      <w:proofErr w:type="spellStart"/>
      <w:r w:rsidR="000D6A47">
        <w:t>ex ante</w:t>
      </w:r>
      <w:proofErr w:type="spellEnd"/>
      <w:r w:rsidR="000D6A47">
        <w:t xml:space="preserve"> evaluation also benefits from having more data points to model what drives opt-in PTR load impacts.  </w:t>
      </w:r>
      <w:r>
        <w:t>Therefore, Nexant recommends that SDG&amp;E call</w:t>
      </w:r>
      <w:r w:rsidR="00834059">
        <w:t>s</w:t>
      </w:r>
      <w:r>
        <w:t xml:space="preserve"> more PTR events in the future.</w:t>
      </w:r>
    </w:p>
    <w:sectPr w:rsidR="00834059" w:rsidRPr="00CA21AF" w:rsidSect="00B24EF7">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56" w:rsidRDefault="002A2356" w:rsidP="00DB35F9">
      <w:pPr>
        <w:spacing w:after="0" w:line="240" w:lineRule="auto"/>
      </w:pPr>
      <w:r>
        <w:separator/>
      </w:r>
    </w:p>
  </w:endnote>
  <w:endnote w:type="continuationSeparator" w:id="0">
    <w:p w:rsidR="002A2356" w:rsidRDefault="002A2356" w:rsidP="00DB3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tilliumText22L Xb">
    <w:altName w:val="Arial"/>
    <w:panose1 w:val="00000000000000000000"/>
    <w:charset w:val="00"/>
    <w:family w:val="modern"/>
    <w:notTrueType/>
    <w:pitch w:val="variable"/>
    <w:sig w:usb0="A00000EF" w:usb1="0000004B" w:usb2="00000000" w:usb3="00000000" w:csb0="00000193"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Default="002A2356" w:rsidP="002C5BF9">
    <w:pPr>
      <w:pStyle w:val="Footer"/>
      <w:jc w:val="right"/>
      <w:rPr>
        <w:rFonts w:ascii="TitilliumText22L Xb" w:eastAsiaTheme="minorHAnsi" w:hAnsi="TitilliumText22L Xb" w:cstheme="minorBidi"/>
        <w:szCs w:val="22"/>
      </w:rPr>
    </w:pPr>
    <w:r>
      <w:rPr>
        <w:rFonts w:ascii="TitilliumText22L Xb" w:hAnsi="TitilliumText22L Xb"/>
        <w:noProof/>
      </w:rPr>
      <w:drawing>
        <wp:anchor distT="0" distB="0" distL="114300" distR="114300" simplePos="0" relativeHeight="251662336" behindDoc="0" locked="0" layoutInCell="1" allowOverlap="1">
          <wp:simplePos x="0" y="0"/>
          <wp:positionH relativeFrom="column">
            <wp:posOffset>-135496</wp:posOffset>
          </wp:positionH>
          <wp:positionV relativeFrom="paragraph">
            <wp:posOffset>-118682</wp:posOffset>
          </wp:positionV>
          <wp:extent cx="2080206" cy="425002"/>
          <wp:effectExtent l="19050" t="0" r="0" b="0"/>
          <wp:wrapNone/>
          <wp:docPr id="3" name="Picture 3"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 Logo NEW PURPLE 2007"/>
                  <pic:cNvPicPr>
                    <a:picLocks noChangeAspect="1" noChangeArrowheads="1"/>
                  </pic:cNvPicPr>
                </pic:nvPicPr>
                <pic:blipFill>
                  <a:blip r:embed="rId1"/>
                  <a:srcRect/>
                  <a:stretch>
                    <a:fillRect/>
                  </a:stretch>
                </pic:blipFill>
                <pic:spPr bwMode="auto">
                  <a:xfrm>
                    <a:off x="0" y="0"/>
                    <a:ext cx="2080206" cy="425002"/>
                  </a:xfrm>
                  <a:prstGeom prst="rect">
                    <a:avLst/>
                  </a:prstGeom>
                  <a:noFill/>
                </pic:spPr>
              </pic:pic>
            </a:graphicData>
          </a:graphic>
        </wp:anchor>
      </w:drawing>
    </w:r>
    <w:sdt>
      <w:sdtPr>
        <w:rPr>
          <w:rFonts w:ascii="TitilliumText22L Xb" w:hAnsi="TitilliumText22L Xb"/>
        </w:rPr>
        <w:id w:val="18682042"/>
        <w:docPartObj>
          <w:docPartGallery w:val="Page Numbers (Bottom of Page)"/>
          <w:docPartUnique/>
        </w:docPartObj>
      </w:sdtPr>
      <w:sdtContent>
        <w:r w:rsidRPr="00344C3B">
          <w:rPr>
            <w:rFonts w:ascii="Arial Black" w:hAnsi="Arial Black"/>
            <w:color w:val="808080" w:themeColor="background1" w:themeShade="80"/>
          </w:rPr>
          <w:fldChar w:fldCharType="begin"/>
        </w:r>
        <w:r w:rsidRPr="00344C3B">
          <w:rPr>
            <w:rFonts w:ascii="Arial Black" w:hAnsi="Arial Black"/>
            <w:color w:val="808080" w:themeColor="background1" w:themeShade="80"/>
          </w:rPr>
          <w:instrText xml:space="preserve"> PAGE   \* MERGEFORMAT </w:instrText>
        </w:r>
        <w:r w:rsidRPr="00344C3B">
          <w:rPr>
            <w:rFonts w:ascii="Arial Black" w:hAnsi="Arial Black"/>
            <w:color w:val="808080" w:themeColor="background1" w:themeShade="80"/>
          </w:rPr>
          <w:fldChar w:fldCharType="separate"/>
        </w:r>
        <w:r>
          <w:rPr>
            <w:rFonts w:ascii="Arial Black" w:hAnsi="Arial Black"/>
            <w:noProof/>
            <w:color w:val="808080" w:themeColor="background1" w:themeShade="80"/>
          </w:rPr>
          <w:t>6</w:t>
        </w:r>
        <w:r w:rsidRPr="00344C3B">
          <w:rPr>
            <w:rFonts w:ascii="Arial Black" w:hAnsi="Arial Black"/>
            <w:color w:val="808080" w:themeColor="background1" w:themeShade="8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tilliumText22L Xb" w:hAnsi="TitilliumText22L Xb"/>
      </w:rPr>
      <w:id w:val="-1579978070"/>
      <w:docPartObj>
        <w:docPartGallery w:val="Page Numbers (Bottom of Page)"/>
        <w:docPartUnique/>
      </w:docPartObj>
    </w:sdtPr>
    <w:sdtContent>
      <w:p w:rsidR="002A2356" w:rsidRPr="0036226B" w:rsidRDefault="002A2356" w:rsidP="002A2356">
        <w:pPr>
          <w:pStyle w:val="Footer"/>
          <w:tabs>
            <w:tab w:val="clear" w:pos="4320"/>
            <w:tab w:val="clear" w:pos="8640"/>
            <w:tab w:val="center" w:pos="6480"/>
            <w:tab w:val="right" w:pos="12960"/>
          </w:tabs>
          <w:rPr>
            <w:rFonts w:ascii="TitilliumText22L Xb" w:hAnsi="TitilliumText22L Xb"/>
          </w:rPr>
        </w:pPr>
        <w:r w:rsidRPr="00C566BC">
          <w:rPr>
            <w:rFonts w:asciiTheme="minorHAnsi" w:hAnsiTheme="minorHAnsi" w:cstheme="minorHAnsi"/>
            <w:noProof/>
            <w:color w:val="808080" w:themeColor="background1" w:themeShade="80"/>
          </w:rPr>
          <w:drawing>
            <wp:anchor distT="0" distB="0" distL="114300" distR="114300" simplePos="0" relativeHeight="251679744" behindDoc="0" locked="0" layoutInCell="1" allowOverlap="1" wp14:anchorId="087A4031" wp14:editId="54FD5B76">
              <wp:simplePos x="0" y="0"/>
              <wp:positionH relativeFrom="column">
                <wp:posOffset>-6350</wp:posOffset>
              </wp:positionH>
              <wp:positionV relativeFrom="paragraph">
                <wp:posOffset>43815</wp:posOffset>
              </wp:positionV>
              <wp:extent cx="692150" cy="127000"/>
              <wp:effectExtent l="19050" t="0" r="0" b="0"/>
              <wp:wrapNone/>
              <wp:docPr id="681" name="Picture 2"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srcRect/>
                      <a:stretch>
                        <a:fillRect/>
                      </a:stretch>
                    </pic:blipFill>
                    <pic:spPr bwMode="auto">
                      <a:xfrm>
                        <a:off x="0" y="0"/>
                        <a:ext cx="692150" cy="127000"/>
                      </a:xfrm>
                      <a:prstGeom prst="rect">
                        <a:avLst/>
                      </a:prstGeom>
                      <a:noFill/>
                      <a:ln w="9525">
                        <a:noFill/>
                        <a:miter lim="800000"/>
                        <a:headEnd/>
                        <a:tailEnd/>
                      </a:ln>
                    </pic:spPr>
                  </pic:pic>
                </a:graphicData>
              </a:graphic>
            </wp:anchor>
          </w:drawing>
        </w:r>
        <w:r>
          <w:rPr>
            <w:rFonts w:ascii="TitilliumText22L Xb" w:hAnsi="TitilliumText22L Xb"/>
          </w:rPr>
          <w:tab/>
        </w:r>
        <w:r w:rsidRPr="002A2356">
          <w:rPr>
            <w:rFonts w:asciiTheme="minorHAnsi" w:hAnsiTheme="minorHAnsi" w:cstheme="minorHAnsi"/>
            <w:sz w:val="16"/>
            <w:szCs w:val="16"/>
          </w:rPr>
          <w:fldChar w:fldCharType="begin"/>
        </w:r>
        <w:r w:rsidRPr="002A2356">
          <w:rPr>
            <w:rFonts w:asciiTheme="minorHAnsi" w:hAnsiTheme="minorHAnsi" w:cstheme="minorHAnsi"/>
            <w:sz w:val="16"/>
            <w:szCs w:val="16"/>
          </w:rPr>
          <w:instrText xml:space="preserve"> STYLEREF  "Proposal Title"  \* MERGEFORMAT </w:instrText>
        </w:r>
        <w:r w:rsidRPr="002A2356">
          <w:rPr>
            <w:rFonts w:asciiTheme="minorHAnsi" w:hAnsiTheme="minorHAnsi" w:cstheme="minorHAnsi"/>
            <w:sz w:val="16"/>
            <w:szCs w:val="16"/>
          </w:rPr>
          <w:fldChar w:fldCharType="separate"/>
        </w:r>
        <w:r w:rsidR="00BA4580">
          <w:rPr>
            <w:rFonts w:asciiTheme="minorHAnsi" w:hAnsiTheme="minorHAnsi" w:cstheme="minorHAnsi"/>
            <w:noProof/>
            <w:sz w:val="16"/>
            <w:szCs w:val="16"/>
          </w:rPr>
          <w:t>2013 Load Impact Evaluation of San Diego Gas &amp; Electric Company’s Opt-in Peak Time Rebate Program</w:t>
        </w:r>
        <w:r w:rsidRPr="002A2356">
          <w:rPr>
            <w:rFonts w:asciiTheme="minorHAnsi" w:hAnsiTheme="minorHAnsi" w:cstheme="minorHAnsi"/>
            <w:noProof/>
            <w:sz w:val="16"/>
            <w:szCs w:val="16"/>
          </w:rPr>
          <w:fldChar w:fldCharType="end"/>
        </w:r>
        <w:r>
          <w:rPr>
            <w:rFonts w:ascii="TitilliumText22L Xb" w:hAnsi="TitilliumText22L Xb"/>
          </w:rPr>
          <w:tab/>
        </w:r>
        <w:r w:rsidRPr="00C566BC">
          <w:rPr>
            <w:rFonts w:asciiTheme="minorHAnsi" w:hAnsiTheme="minorHAnsi" w:cstheme="minorHAnsi"/>
            <w:color w:val="808080" w:themeColor="background1" w:themeShade="80"/>
          </w:rPr>
          <w:fldChar w:fldCharType="begin"/>
        </w:r>
        <w:r w:rsidRPr="00C566BC">
          <w:rPr>
            <w:rFonts w:asciiTheme="minorHAnsi" w:hAnsiTheme="minorHAnsi" w:cstheme="minorHAnsi"/>
            <w:color w:val="808080" w:themeColor="background1" w:themeShade="80"/>
          </w:rPr>
          <w:instrText xml:space="preserve"> PAGE   \* MERGEFORMAT </w:instrText>
        </w:r>
        <w:r w:rsidRPr="00C566BC">
          <w:rPr>
            <w:rFonts w:asciiTheme="minorHAnsi" w:hAnsiTheme="minorHAnsi" w:cstheme="minorHAnsi"/>
            <w:color w:val="808080" w:themeColor="background1" w:themeShade="80"/>
          </w:rPr>
          <w:fldChar w:fldCharType="separate"/>
        </w:r>
        <w:r w:rsidR="00BA4580">
          <w:rPr>
            <w:rFonts w:asciiTheme="minorHAnsi" w:hAnsiTheme="minorHAnsi" w:cstheme="minorHAnsi"/>
            <w:noProof/>
            <w:color w:val="808080" w:themeColor="background1" w:themeShade="80"/>
          </w:rPr>
          <w:t>27</w:t>
        </w:r>
        <w:r w:rsidRPr="00C566BC">
          <w:rPr>
            <w:rFonts w:asciiTheme="minorHAnsi" w:hAnsiTheme="minorHAnsi" w:cstheme="minorHAnsi"/>
            <w:color w:val="808080" w:themeColor="background1" w:themeShade="8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tilliumText22L Xb" w:hAnsi="TitilliumText22L Xb"/>
      </w:rPr>
      <w:id w:val="-1667778090"/>
      <w:docPartObj>
        <w:docPartGallery w:val="Page Numbers (Bottom of Page)"/>
        <w:docPartUnique/>
      </w:docPartObj>
    </w:sdtPr>
    <w:sdtContent>
      <w:p w:rsidR="002A2356" w:rsidRPr="0036226B" w:rsidRDefault="002A2356" w:rsidP="002A2356">
        <w:pPr>
          <w:pStyle w:val="Footer"/>
          <w:tabs>
            <w:tab w:val="clear" w:pos="4320"/>
            <w:tab w:val="clear" w:pos="8640"/>
            <w:tab w:val="center" w:pos="4950"/>
            <w:tab w:val="right" w:pos="9360"/>
          </w:tabs>
          <w:rPr>
            <w:rFonts w:ascii="TitilliumText22L Xb" w:hAnsi="TitilliumText22L Xb"/>
          </w:rPr>
        </w:pPr>
        <w:r w:rsidRPr="00C566BC">
          <w:rPr>
            <w:rFonts w:asciiTheme="minorHAnsi" w:hAnsiTheme="minorHAnsi" w:cstheme="minorHAnsi"/>
            <w:noProof/>
            <w:color w:val="808080" w:themeColor="background1" w:themeShade="80"/>
          </w:rPr>
          <w:drawing>
            <wp:anchor distT="0" distB="0" distL="114300" distR="114300" simplePos="0" relativeHeight="251669504" behindDoc="0" locked="0" layoutInCell="1" allowOverlap="1" wp14:anchorId="543FC508" wp14:editId="2D76A949">
              <wp:simplePos x="0" y="0"/>
              <wp:positionH relativeFrom="column">
                <wp:posOffset>-6350</wp:posOffset>
              </wp:positionH>
              <wp:positionV relativeFrom="paragraph">
                <wp:posOffset>43815</wp:posOffset>
              </wp:positionV>
              <wp:extent cx="692150" cy="127000"/>
              <wp:effectExtent l="19050" t="0" r="0" b="0"/>
              <wp:wrapNone/>
              <wp:docPr id="5" name="Picture 5"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srcRect/>
                      <a:stretch>
                        <a:fillRect/>
                      </a:stretch>
                    </pic:blipFill>
                    <pic:spPr bwMode="auto">
                      <a:xfrm>
                        <a:off x="0" y="0"/>
                        <a:ext cx="692150" cy="127000"/>
                      </a:xfrm>
                      <a:prstGeom prst="rect">
                        <a:avLst/>
                      </a:prstGeom>
                      <a:noFill/>
                      <a:ln w="9525">
                        <a:noFill/>
                        <a:miter lim="800000"/>
                        <a:headEnd/>
                        <a:tailEnd/>
                      </a:ln>
                    </pic:spPr>
                  </pic:pic>
                </a:graphicData>
              </a:graphic>
            </wp:anchor>
          </w:drawing>
        </w:r>
        <w:r>
          <w:rPr>
            <w:rFonts w:ascii="TitilliumText22L Xb" w:hAnsi="TitilliumText22L Xb"/>
          </w:rPr>
          <w:tab/>
        </w:r>
        <w:r w:rsidRPr="00322266">
          <w:rPr>
            <w:rFonts w:asciiTheme="minorHAnsi" w:hAnsiTheme="minorHAnsi" w:cstheme="minorHAnsi"/>
            <w:sz w:val="16"/>
            <w:szCs w:val="16"/>
          </w:rPr>
          <w:fldChar w:fldCharType="begin"/>
        </w:r>
        <w:r w:rsidRPr="00322266">
          <w:rPr>
            <w:rFonts w:asciiTheme="minorHAnsi" w:hAnsiTheme="minorHAnsi" w:cstheme="minorHAnsi"/>
            <w:sz w:val="16"/>
            <w:szCs w:val="16"/>
          </w:rPr>
          <w:instrText xml:space="preserve"> STYLEREF  "Proposal Title"  \* MERGEFORMAT </w:instrText>
        </w:r>
        <w:r w:rsidRPr="00322266">
          <w:rPr>
            <w:rFonts w:asciiTheme="minorHAnsi" w:hAnsiTheme="minorHAnsi" w:cstheme="minorHAnsi"/>
            <w:sz w:val="16"/>
            <w:szCs w:val="16"/>
          </w:rPr>
          <w:fldChar w:fldCharType="separate"/>
        </w:r>
        <w:r w:rsidR="00BA4580">
          <w:rPr>
            <w:rFonts w:asciiTheme="minorHAnsi" w:hAnsiTheme="minorHAnsi" w:cstheme="minorHAnsi"/>
            <w:noProof/>
            <w:sz w:val="16"/>
            <w:szCs w:val="16"/>
          </w:rPr>
          <w:t>2013 Load Impact Evaluation of San Diego Gas &amp; Electric Company’s Opt-in Peak Time Rebate Program</w:t>
        </w:r>
        <w:r w:rsidRPr="00322266">
          <w:rPr>
            <w:rFonts w:asciiTheme="minorHAnsi" w:hAnsiTheme="minorHAnsi" w:cstheme="minorHAnsi"/>
            <w:noProof/>
            <w:sz w:val="16"/>
            <w:szCs w:val="16"/>
          </w:rPr>
          <w:fldChar w:fldCharType="end"/>
        </w:r>
        <w:r>
          <w:rPr>
            <w:rFonts w:ascii="TitilliumText22L Xb" w:hAnsi="TitilliumText22L Xb"/>
          </w:rPr>
          <w:tab/>
        </w:r>
        <w:r w:rsidRPr="00C566BC">
          <w:rPr>
            <w:rFonts w:asciiTheme="minorHAnsi" w:hAnsiTheme="minorHAnsi" w:cstheme="minorHAnsi"/>
            <w:color w:val="808080" w:themeColor="background1" w:themeShade="80"/>
          </w:rPr>
          <w:fldChar w:fldCharType="begin"/>
        </w:r>
        <w:r w:rsidRPr="00C566BC">
          <w:rPr>
            <w:rFonts w:asciiTheme="minorHAnsi" w:hAnsiTheme="minorHAnsi" w:cstheme="minorHAnsi"/>
            <w:color w:val="808080" w:themeColor="background1" w:themeShade="80"/>
          </w:rPr>
          <w:instrText xml:space="preserve"> PAGE   \* MERGEFORMAT </w:instrText>
        </w:r>
        <w:r w:rsidRPr="00C566BC">
          <w:rPr>
            <w:rFonts w:asciiTheme="minorHAnsi" w:hAnsiTheme="minorHAnsi" w:cstheme="minorHAnsi"/>
            <w:color w:val="808080" w:themeColor="background1" w:themeShade="80"/>
          </w:rPr>
          <w:fldChar w:fldCharType="separate"/>
        </w:r>
        <w:r w:rsidR="00BA4580">
          <w:rPr>
            <w:rFonts w:asciiTheme="minorHAnsi" w:hAnsiTheme="minorHAnsi" w:cstheme="minorHAnsi"/>
            <w:noProof/>
            <w:color w:val="808080" w:themeColor="background1" w:themeShade="80"/>
          </w:rPr>
          <w:t>32</w:t>
        </w:r>
        <w:r w:rsidRPr="00C566BC">
          <w:rPr>
            <w:rFonts w:asciiTheme="minorHAnsi" w:hAnsiTheme="minorHAnsi" w:cstheme="minorHAnsi"/>
            <w:color w:val="808080" w:themeColor="background1" w:themeShade="8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318"/>
      <w:docPartObj>
        <w:docPartGallery w:val="Page Numbers (Bottom of Page)"/>
        <w:docPartUnique/>
      </w:docPartObj>
    </w:sdtPr>
    <w:sdtContent>
      <w:p w:rsidR="002A2356" w:rsidRDefault="002A2356" w:rsidP="00DB35F9">
        <w:pPr>
          <w:pStyle w:val="Footer"/>
          <w:jc w:val="right"/>
        </w:pPr>
      </w:p>
    </w:sdtContent>
  </w:sdt>
  <w:p w:rsidR="002A2356" w:rsidRDefault="002A2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Pr="00321715" w:rsidRDefault="002A2356" w:rsidP="00B50663">
    <w:pPr>
      <w:pStyle w:val="Footer"/>
      <w:jc w:val="right"/>
      <w:rPr>
        <w:sz w:val="20"/>
        <w:szCs w:val="20"/>
      </w:rPr>
    </w:pPr>
  </w:p>
  <w:p w:rsidR="002A2356" w:rsidRDefault="002A23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tilliumText22L Xb" w:hAnsi="TitilliumText22L Xb"/>
      </w:rPr>
      <w:id w:val="1103380964"/>
      <w:docPartObj>
        <w:docPartGallery w:val="Page Numbers (Bottom of Page)"/>
        <w:docPartUnique/>
      </w:docPartObj>
    </w:sdtPr>
    <w:sdtContent>
      <w:p w:rsidR="002A2356" w:rsidRPr="0036226B" w:rsidRDefault="002A2356" w:rsidP="00322266">
        <w:pPr>
          <w:pStyle w:val="Footer"/>
          <w:tabs>
            <w:tab w:val="clear" w:pos="4320"/>
            <w:tab w:val="clear" w:pos="8640"/>
            <w:tab w:val="center" w:pos="4680"/>
            <w:tab w:val="right" w:pos="9360"/>
          </w:tabs>
          <w:rPr>
            <w:rFonts w:ascii="TitilliumText22L Xb" w:hAnsi="TitilliumText22L Xb"/>
          </w:rPr>
        </w:pPr>
        <w:r w:rsidRPr="00C566BC">
          <w:rPr>
            <w:rFonts w:asciiTheme="minorHAnsi" w:hAnsiTheme="minorHAnsi" w:cstheme="minorHAnsi"/>
            <w:noProof/>
            <w:color w:val="808080" w:themeColor="background1" w:themeShade="80"/>
          </w:rPr>
          <w:drawing>
            <wp:anchor distT="0" distB="0" distL="114300" distR="114300" simplePos="0" relativeHeight="251656192" behindDoc="0" locked="0" layoutInCell="1" allowOverlap="1" wp14:anchorId="722A06F7" wp14:editId="515A3228">
              <wp:simplePos x="0" y="0"/>
              <wp:positionH relativeFrom="column">
                <wp:posOffset>-6350</wp:posOffset>
              </wp:positionH>
              <wp:positionV relativeFrom="paragraph">
                <wp:posOffset>43815</wp:posOffset>
              </wp:positionV>
              <wp:extent cx="692150" cy="127000"/>
              <wp:effectExtent l="19050" t="0" r="0" b="0"/>
              <wp:wrapNone/>
              <wp:docPr id="673" name="Picture 2"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srcRect/>
                      <a:stretch>
                        <a:fillRect/>
                      </a:stretch>
                    </pic:blipFill>
                    <pic:spPr bwMode="auto">
                      <a:xfrm>
                        <a:off x="0" y="0"/>
                        <a:ext cx="692150" cy="127000"/>
                      </a:xfrm>
                      <a:prstGeom prst="rect">
                        <a:avLst/>
                      </a:prstGeom>
                      <a:noFill/>
                      <a:ln w="9525">
                        <a:noFill/>
                        <a:miter lim="800000"/>
                        <a:headEnd/>
                        <a:tailEnd/>
                      </a:ln>
                    </pic:spPr>
                  </pic:pic>
                </a:graphicData>
              </a:graphic>
            </wp:anchor>
          </w:drawing>
        </w:r>
        <w:r>
          <w:rPr>
            <w:rFonts w:ascii="TitilliumText22L Xb" w:hAnsi="TitilliumText22L Xb"/>
          </w:rPr>
          <w:tab/>
        </w:r>
        <w:r w:rsidRPr="00322266">
          <w:rPr>
            <w:rFonts w:asciiTheme="minorHAnsi" w:hAnsiTheme="minorHAnsi" w:cstheme="minorHAnsi"/>
            <w:sz w:val="16"/>
            <w:szCs w:val="16"/>
          </w:rPr>
          <w:fldChar w:fldCharType="begin"/>
        </w:r>
        <w:r w:rsidRPr="00322266">
          <w:rPr>
            <w:rFonts w:asciiTheme="minorHAnsi" w:hAnsiTheme="minorHAnsi" w:cstheme="minorHAnsi"/>
            <w:sz w:val="16"/>
            <w:szCs w:val="16"/>
          </w:rPr>
          <w:instrText xml:space="preserve"> STYLEREF  "Proposal Title"  \* MERGEFORMAT </w:instrText>
        </w:r>
        <w:r w:rsidRPr="00322266">
          <w:rPr>
            <w:rFonts w:asciiTheme="minorHAnsi" w:hAnsiTheme="minorHAnsi" w:cstheme="minorHAnsi"/>
            <w:sz w:val="16"/>
            <w:szCs w:val="16"/>
          </w:rPr>
          <w:fldChar w:fldCharType="separate"/>
        </w:r>
        <w:r w:rsidR="00BA4580">
          <w:rPr>
            <w:rFonts w:asciiTheme="minorHAnsi" w:hAnsiTheme="minorHAnsi" w:cstheme="minorHAnsi"/>
            <w:noProof/>
            <w:sz w:val="16"/>
            <w:szCs w:val="16"/>
          </w:rPr>
          <w:t>2013 Load Impact Evaluation of San Diego Gas &amp; Electric Company’s Opt-in Peak Time Rebate Program</w:t>
        </w:r>
        <w:r w:rsidRPr="00322266">
          <w:rPr>
            <w:rFonts w:asciiTheme="minorHAnsi" w:hAnsiTheme="minorHAnsi" w:cstheme="minorHAnsi"/>
            <w:noProof/>
            <w:sz w:val="16"/>
            <w:szCs w:val="16"/>
          </w:rPr>
          <w:fldChar w:fldCharType="end"/>
        </w:r>
        <w:r>
          <w:rPr>
            <w:rFonts w:ascii="TitilliumText22L Xb" w:hAnsi="TitilliumText22L Xb"/>
          </w:rPr>
          <w:tab/>
        </w:r>
        <w:r w:rsidRPr="00C566BC">
          <w:rPr>
            <w:rFonts w:asciiTheme="minorHAnsi" w:hAnsiTheme="minorHAnsi" w:cstheme="minorHAnsi"/>
            <w:color w:val="808080" w:themeColor="background1" w:themeShade="80"/>
          </w:rPr>
          <w:fldChar w:fldCharType="begin"/>
        </w:r>
        <w:r w:rsidRPr="00C566BC">
          <w:rPr>
            <w:rFonts w:asciiTheme="minorHAnsi" w:hAnsiTheme="minorHAnsi" w:cstheme="minorHAnsi"/>
            <w:color w:val="808080" w:themeColor="background1" w:themeShade="80"/>
          </w:rPr>
          <w:instrText xml:space="preserve"> PAGE   \* MERGEFORMAT </w:instrText>
        </w:r>
        <w:r w:rsidRPr="00C566BC">
          <w:rPr>
            <w:rFonts w:asciiTheme="minorHAnsi" w:hAnsiTheme="minorHAnsi" w:cstheme="minorHAnsi"/>
            <w:color w:val="808080" w:themeColor="background1" w:themeShade="80"/>
          </w:rPr>
          <w:fldChar w:fldCharType="separate"/>
        </w:r>
        <w:r w:rsidR="00BA4580">
          <w:rPr>
            <w:rFonts w:asciiTheme="minorHAnsi" w:hAnsiTheme="minorHAnsi" w:cstheme="minorHAnsi"/>
            <w:noProof/>
            <w:color w:val="808080" w:themeColor="background1" w:themeShade="80"/>
          </w:rPr>
          <w:t>3</w:t>
        </w:r>
        <w:r w:rsidRPr="00C566BC">
          <w:rPr>
            <w:rFonts w:asciiTheme="minorHAnsi" w:hAnsiTheme="minorHAnsi" w:cstheme="minorHAnsi"/>
            <w:color w:val="808080" w:themeColor="background1" w:themeShade="8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Pr="00321715" w:rsidRDefault="002A2356" w:rsidP="00B50663">
    <w:pPr>
      <w:pStyle w:val="Footer"/>
      <w:jc w:val="right"/>
      <w:rPr>
        <w:sz w:val="20"/>
        <w:szCs w:val="20"/>
      </w:rPr>
    </w:pPr>
    <w:r w:rsidRPr="009D111C">
      <w:rPr>
        <w:rStyle w:val="PageNumber"/>
        <w:sz w:val="20"/>
        <w:szCs w:val="20"/>
      </w:rPr>
      <w:fldChar w:fldCharType="begin"/>
    </w:r>
    <w:r w:rsidRPr="009D111C">
      <w:rPr>
        <w:rStyle w:val="PageNumber"/>
        <w:sz w:val="20"/>
        <w:szCs w:val="20"/>
      </w:rPr>
      <w:instrText xml:space="preserve">PAGE  </w:instrText>
    </w:r>
    <w:r w:rsidRPr="009D111C">
      <w:rPr>
        <w:rStyle w:val="PageNumber"/>
        <w:sz w:val="20"/>
        <w:szCs w:val="20"/>
      </w:rPr>
      <w:fldChar w:fldCharType="separate"/>
    </w:r>
    <w:r>
      <w:rPr>
        <w:rStyle w:val="PageNumber"/>
        <w:noProof/>
        <w:sz w:val="20"/>
        <w:szCs w:val="20"/>
      </w:rPr>
      <w:t>58</w:t>
    </w:r>
    <w:r w:rsidRPr="009D111C">
      <w:rPr>
        <w:rStyle w:val="PageNumber"/>
        <w:sz w:val="20"/>
        <w:szCs w:val="20"/>
      </w:rPr>
      <w:fldChar w:fldCharType="end"/>
    </w:r>
  </w:p>
  <w:p w:rsidR="002A2356" w:rsidRDefault="002A23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tilliumText22L Xb" w:hAnsi="TitilliumText22L Xb"/>
      </w:rPr>
      <w:id w:val="294566127"/>
      <w:docPartObj>
        <w:docPartGallery w:val="Page Numbers (Bottom of Page)"/>
        <w:docPartUnique/>
      </w:docPartObj>
    </w:sdtPr>
    <w:sdtContent>
      <w:p w:rsidR="002A2356" w:rsidRPr="0036226B" w:rsidRDefault="002A2356" w:rsidP="00322266">
        <w:pPr>
          <w:pStyle w:val="Footer"/>
          <w:tabs>
            <w:tab w:val="clear" w:pos="4320"/>
            <w:tab w:val="clear" w:pos="8640"/>
            <w:tab w:val="center" w:pos="6480"/>
            <w:tab w:val="right" w:pos="12960"/>
          </w:tabs>
          <w:rPr>
            <w:rFonts w:ascii="TitilliumText22L Xb" w:hAnsi="TitilliumText22L Xb"/>
          </w:rPr>
        </w:pPr>
        <w:r w:rsidRPr="00C566BC">
          <w:rPr>
            <w:rFonts w:asciiTheme="minorHAnsi" w:hAnsiTheme="minorHAnsi" w:cstheme="minorHAnsi"/>
            <w:noProof/>
            <w:color w:val="808080" w:themeColor="background1" w:themeShade="80"/>
          </w:rPr>
          <w:drawing>
            <wp:anchor distT="0" distB="0" distL="114300" distR="114300" simplePos="0" relativeHeight="251671552" behindDoc="0" locked="0" layoutInCell="1" allowOverlap="1" wp14:anchorId="3D7DABF1" wp14:editId="193A0D67">
              <wp:simplePos x="0" y="0"/>
              <wp:positionH relativeFrom="column">
                <wp:posOffset>-6350</wp:posOffset>
              </wp:positionH>
              <wp:positionV relativeFrom="paragraph">
                <wp:posOffset>43815</wp:posOffset>
              </wp:positionV>
              <wp:extent cx="692150" cy="127000"/>
              <wp:effectExtent l="19050" t="0" r="0" b="0"/>
              <wp:wrapNone/>
              <wp:docPr id="677" name="Picture 677"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srcRect/>
                      <a:stretch>
                        <a:fillRect/>
                      </a:stretch>
                    </pic:blipFill>
                    <pic:spPr bwMode="auto">
                      <a:xfrm>
                        <a:off x="0" y="0"/>
                        <a:ext cx="692150" cy="127000"/>
                      </a:xfrm>
                      <a:prstGeom prst="rect">
                        <a:avLst/>
                      </a:prstGeom>
                      <a:noFill/>
                      <a:ln w="9525">
                        <a:noFill/>
                        <a:miter lim="800000"/>
                        <a:headEnd/>
                        <a:tailEnd/>
                      </a:ln>
                    </pic:spPr>
                  </pic:pic>
                </a:graphicData>
              </a:graphic>
            </wp:anchor>
          </w:drawing>
        </w:r>
        <w:r>
          <w:rPr>
            <w:rFonts w:ascii="TitilliumText22L Xb" w:hAnsi="TitilliumText22L Xb"/>
          </w:rPr>
          <w:tab/>
        </w:r>
        <w:r w:rsidRPr="00322266">
          <w:rPr>
            <w:rFonts w:asciiTheme="minorHAnsi" w:hAnsiTheme="minorHAnsi" w:cstheme="minorHAnsi"/>
            <w:sz w:val="16"/>
            <w:szCs w:val="16"/>
          </w:rPr>
          <w:fldChar w:fldCharType="begin"/>
        </w:r>
        <w:r w:rsidRPr="00322266">
          <w:rPr>
            <w:rFonts w:asciiTheme="minorHAnsi" w:hAnsiTheme="minorHAnsi" w:cstheme="minorHAnsi"/>
            <w:sz w:val="16"/>
            <w:szCs w:val="16"/>
          </w:rPr>
          <w:instrText xml:space="preserve"> STYLEREF  "Proposal Title"  \* MERGEFORMAT </w:instrText>
        </w:r>
        <w:r w:rsidRPr="00322266">
          <w:rPr>
            <w:rFonts w:asciiTheme="minorHAnsi" w:hAnsiTheme="minorHAnsi" w:cstheme="minorHAnsi"/>
            <w:sz w:val="16"/>
            <w:szCs w:val="16"/>
          </w:rPr>
          <w:fldChar w:fldCharType="separate"/>
        </w:r>
        <w:r w:rsidR="00BA4580" w:rsidRPr="00BA4580">
          <w:rPr>
            <w:rFonts w:asciiTheme="minorHAnsi" w:hAnsiTheme="minorHAnsi" w:cstheme="minorHAnsi"/>
            <w:b/>
            <w:bCs/>
            <w:noProof/>
            <w:sz w:val="16"/>
            <w:szCs w:val="16"/>
          </w:rPr>
          <w:t>2013 Load Impact Evaluation of San Diego Gas &amp;</w:t>
        </w:r>
        <w:r w:rsidR="00BA4580">
          <w:rPr>
            <w:rFonts w:asciiTheme="minorHAnsi" w:hAnsiTheme="minorHAnsi" w:cstheme="minorHAnsi"/>
            <w:noProof/>
            <w:sz w:val="16"/>
            <w:szCs w:val="16"/>
          </w:rPr>
          <w:t xml:space="preserve"> Electric Company’s Opt-in Peak Time Rebate Program</w:t>
        </w:r>
        <w:r w:rsidRPr="00322266">
          <w:rPr>
            <w:rFonts w:asciiTheme="minorHAnsi" w:hAnsiTheme="minorHAnsi" w:cstheme="minorHAnsi"/>
            <w:noProof/>
            <w:sz w:val="16"/>
            <w:szCs w:val="16"/>
          </w:rPr>
          <w:fldChar w:fldCharType="end"/>
        </w:r>
        <w:r>
          <w:rPr>
            <w:rFonts w:ascii="TitilliumText22L Xb" w:hAnsi="TitilliumText22L Xb"/>
          </w:rPr>
          <w:tab/>
        </w:r>
        <w:r w:rsidRPr="00C566BC">
          <w:rPr>
            <w:rFonts w:asciiTheme="minorHAnsi" w:hAnsiTheme="minorHAnsi" w:cstheme="minorHAnsi"/>
            <w:color w:val="808080" w:themeColor="background1" w:themeShade="80"/>
          </w:rPr>
          <w:fldChar w:fldCharType="begin"/>
        </w:r>
        <w:r w:rsidRPr="00C566BC">
          <w:rPr>
            <w:rFonts w:asciiTheme="minorHAnsi" w:hAnsiTheme="minorHAnsi" w:cstheme="minorHAnsi"/>
            <w:color w:val="808080" w:themeColor="background1" w:themeShade="80"/>
          </w:rPr>
          <w:instrText xml:space="preserve"> PAGE   \* MERGEFORMAT </w:instrText>
        </w:r>
        <w:r w:rsidRPr="00C566BC">
          <w:rPr>
            <w:rFonts w:asciiTheme="minorHAnsi" w:hAnsiTheme="minorHAnsi" w:cstheme="minorHAnsi"/>
            <w:color w:val="808080" w:themeColor="background1" w:themeShade="80"/>
          </w:rPr>
          <w:fldChar w:fldCharType="separate"/>
        </w:r>
        <w:r w:rsidR="00BA4580">
          <w:rPr>
            <w:rFonts w:asciiTheme="minorHAnsi" w:hAnsiTheme="minorHAnsi" w:cstheme="minorHAnsi"/>
            <w:noProof/>
            <w:color w:val="808080" w:themeColor="background1" w:themeShade="80"/>
          </w:rPr>
          <w:t>12</w:t>
        </w:r>
        <w:r w:rsidRPr="00C566BC">
          <w:rPr>
            <w:rFonts w:asciiTheme="minorHAnsi" w:hAnsiTheme="minorHAnsi" w:cstheme="minorHAnsi"/>
            <w:color w:val="808080" w:themeColor="background1" w:themeShade="8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tilliumText22L Xb" w:hAnsi="TitilliumText22L Xb"/>
      </w:rPr>
      <w:id w:val="207235759"/>
      <w:docPartObj>
        <w:docPartGallery w:val="Page Numbers (Bottom of Page)"/>
        <w:docPartUnique/>
      </w:docPartObj>
    </w:sdtPr>
    <w:sdtContent>
      <w:p w:rsidR="002A2356" w:rsidRPr="0036226B" w:rsidRDefault="002A2356" w:rsidP="002A2356">
        <w:pPr>
          <w:pStyle w:val="Footer"/>
          <w:tabs>
            <w:tab w:val="clear" w:pos="4320"/>
            <w:tab w:val="clear" w:pos="8640"/>
            <w:tab w:val="center" w:pos="4770"/>
            <w:tab w:val="right" w:pos="9360"/>
          </w:tabs>
          <w:rPr>
            <w:rFonts w:ascii="TitilliumText22L Xb" w:hAnsi="TitilliumText22L Xb"/>
          </w:rPr>
        </w:pPr>
        <w:r w:rsidRPr="00C566BC">
          <w:rPr>
            <w:rFonts w:asciiTheme="minorHAnsi" w:hAnsiTheme="minorHAnsi" w:cstheme="minorHAnsi"/>
            <w:noProof/>
            <w:color w:val="808080" w:themeColor="background1" w:themeShade="80"/>
          </w:rPr>
          <w:drawing>
            <wp:anchor distT="0" distB="0" distL="114300" distR="114300" simplePos="0" relativeHeight="251675648" behindDoc="0" locked="0" layoutInCell="1" allowOverlap="1" wp14:anchorId="74EA6579" wp14:editId="5F43D0D6">
              <wp:simplePos x="0" y="0"/>
              <wp:positionH relativeFrom="column">
                <wp:posOffset>-6350</wp:posOffset>
              </wp:positionH>
              <wp:positionV relativeFrom="paragraph">
                <wp:posOffset>43815</wp:posOffset>
              </wp:positionV>
              <wp:extent cx="692150" cy="127000"/>
              <wp:effectExtent l="19050" t="0" r="0" b="0"/>
              <wp:wrapNone/>
              <wp:docPr id="678" name="Picture 678"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srcRect/>
                      <a:stretch>
                        <a:fillRect/>
                      </a:stretch>
                    </pic:blipFill>
                    <pic:spPr bwMode="auto">
                      <a:xfrm>
                        <a:off x="0" y="0"/>
                        <a:ext cx="692150" cy="127000"/>
                      </a:xfrm>
                      <a:prstGeom prst="rect">
                        <a:avLst/>
                      </a:prstGeom>
                      <a:noFill/>
                      <a:ln w="9525">
                        <a:noFill/>
                        <a:miter lim="800000"/>
                        <a:headEnd/>
                        <a:tailEnd/>
                      </a:ln>
                    </pic:spPr>
                  </pic:pic>
                </a:graphicData>
              </a:graphic>
            </wp:anchor>
          </w:drawing>
        </w:r>
        <w:r>
          <w:rPr>
            <w:rFonts w:ascii="TitilliumText22L Xb" w:hAnsi="TitilliumText22L Xb"/>
          </w:rPr>
          <w:tab/>
        </w:r>
        <w:r w:rsidRPr="002A2356">
          <w:rPr>
            <w:rFonts w:asciiTheme="minorHAnsi" w:hAnsiTheme="minorHAnsi" w:cstheme="minorHAnsi"/>
            <w:sz w:val="16"/>
            <w:szCs w:val="16"/>
          </w:rPr>
          <w:fldChar w:fldCharType="begin"/>
        </w:r>
        <w:r w:rsidRPr="00AA0F3C">
          <w:rPr>
            <w:rFonts w:asciiTheme="minorHAnsi" w:hAnsiTheme="minorHAnsi" w:cstheme="minorHAnsi"/>
            <w:sz w:val="16"/>
            <w:szCs w:val="16"/>
          </w:rPr>
          <w:instrText xml:space="preserve"> STYLEREF  "Proposal Title"  \* MERGEFORMAT </w:instrText>
        </w:r>
        <w:r w:rsidRPr="002A2356">
          <w:rPr>
            <w:rFonts w:asciiTheme="minorHAnsi" w:hAnsiTheme="minorHAnsi" w:cstheme="minorHAnsi"/>
            <w:sz w:val="16"/>
            <w:szCs w:val="16"/>
          </w:rPr>
          <w:fldChar w:fldCharType="separate"/>
        </w:r>
        <w:r w:rsidR="00BA4580" w:rsidRPr="00BA4580">
          <w:rPr>
            <w:rFonts w:asciiTheme="minorHAnsi" w:hAnsiTheme="minorHAnsi" w:cstheme="minorHAnsi"/>
            <w:bCs/>
            <w:noProof/>
            <w:sz w:val="16"/>
            <w:szCs w:val="16"/>
          </w:rPr>
          <w:t>2013 Load Impact Evaluation of San Diego Gas &amp;</w:t>
        </w:r>
        <w:r w:rsidR="00BA4580">
          <w:rPr>
            <w:rFonts w:asciiTheme="minorHAnsi" w:hAnsiTheme="minorHAnsi" w:cstheme="minorHAnsi"/>
            <w:noProof/>
            <w:sz w:val="16"/>
            <w:szCs w:val="16"/>
          </w:rPr>
          <w:t xml:space="preserve"> Electric Company’s Opt-in Peak Time Rebate Program</w:t>
        </w:r>
        <w:r w:rsidRPr="002A2356">
          <w:rPr>
            <w:rFonts w:asciiTheme="minorHAnsi" w:hAnsiTheme="minorHAnsi" w:cstheme="minorHAnsi"/>
            <w:noProof/>
            <w:sz w:val="16"/>
            <w:szCs w:val="16"/>
          </w:rPr>
          <w:fldChar w:fldCharType="end"/>
        </w:r>
        <w:r>
          <w:rPr>
            <w:rFonts w:ascii="TitilliumText22L Xb" w:hAnsi="TitilliumText22L Xb"/>
          </w:rPr>
          <w:tab/>
        </w:r>
        <w:r w:rsidRPr="00C566BC">
          <w:rPr>
            <w:rFonts w:asciiTheme="minorHAnsi" w:hAnsiTheme="minorHAnsi" w:cstheme="minorHAnsi"/>
            <w:color w:val="808080" w:themeColor="background1" w:themeShade="80"/>
          </w:rPr>
          <w:fldChar w:fldCharType="begin"/>
        </w:r>
        <w:r w:rsidRPr="00C566BC">
          <w:rPr>
            <w:rFonts w:asciiTheme="minorHAnsi" w:hAnsiTheme="minorHAnsi" w:cstheme="minorHAnsi"/>
            <w:color w:val="808080" w:themeColor="background1" w:themeShade="80"/>
          </w:rPr>
          <w:instrText xml:space="preserve"> PAGE   \* MERGEFORMAT </w:instrText>
        </w:r>
        <w:r w:rsidRPr="00C566BC">
          <w:rPr>
            <w:rFonts w:asciiTheme="minorHAnsi" w:hAnsiTheme="minorHAnsi" w:cstheme="minorHAnsi"/>
            <w:color w:val="808080" w:themeColor="background1" w:themeShade="80"/>
          </w:rPr>
          <w:fldChar w:fldCharType="separate"/>
        </w:r>
        <w:r w:rsidR="00BA4580">
          <w:rPr>
            <w:rFonts w:asciiTheme="minorHAnsi" w:hAnsiTheme="minorHAnsi" w:cstheme="minorHAnsi"/>
            <w:noProof/>
            <w:color w:val="808080" w:themeColor="background1" w:themeShade="80"/>
          </w:rPr>
          <w:t>22</w:t>
        </w:r>
        <w:r w:rsidRPr="00C566BC">
          <w:rPr>
            <w:rFonts w:asciiTheme="minorHAnsi" w:hAnsiTheme="minorHAnsi" w:cstheme="minorHAnsi"/>
            <w:color w:val="808080" w:themeColor="background1" w:themeShade="8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tilliumText22L Xb" w:hAnsi="TitilliumText22L Xb"/>
      </w:rPr>
      <w:id w:val="-753205355"/>
      <w:docPartObj>
        <w:docPartGallery w:val="Page Numbers (Bottom of Page)"/>
        <w:docPartUnique/>
      </w:docPartObj>
    </w:sdtPr>
    <w:sdtContent>
      <w:p w:rsidR="002A2356" w:rsidRPr="0036226B" w:rsidRDefault="002A2356" w:rsidP="002A2356">
        <w:pPr>
          <w:pStyle w:val="Footer"/>
          <w:tabs>
            <w:tab w:val="clear" w:pos="4320"/>
            <w:tab w:val="clear" w:pos="8640"/>
            <w:tab w:val="center" w:pos="6480"/>
            <w:tab w:val="right" w:pos="12870"/>
          </w:tabs>
          <w:rPr>
            <w:rFonts w:ascii="TitilliumText22L Xb" w:hAnsi="TitilliumText22L Xb"/>
          </w:rPr>
        </w:pPr>
        <w:r w:rsidRPr="00C566BC">
          <w:rPr>
            <w:rFonts w:asciiTheme="minorHAnsi" w:hAnsiTheme="minorHAnsi" w:cstheme="minorHAnsi"/>
            <w:noProof/>
            <w:color w:val="808080" w:themeColor="background1" w:themeShade="80"/>
          </w:rPr>
          <w:drawing>
            <wp:anchor distT="0" distB="0" distL="114300" distR="114300" simplePos="0" relativeHeight="251673600" behindDoc="0" locked="0" layoutInCell="1" allowOverlap="1" wp14:anchorId="19C8918F" wp14:editId="3E84E414">
              <wp:simplePos x="0" y="0"/>
              <wp:positionH relativeFrom="column">
                <wp:posOffset>-6350</wp:posOffset>
              </wp:positionH>
              <wp:positionV relativeFrom="paragraph">
                <wp:posOffset>43815</wp:posOffset>
              </wp:positionV>
              <wp:extent cx="692150" cy="127000"/>
              <wp:effectExtent l="19050" t="0" r="0" b="0"/>
              <wp:wrapNone/>
              <wp:docPr id="679" name="Picture 2"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srcRect/>
                      <a:stretch>
                        <a:fillRect/>
                      </a:stretch>
                    </pic:blipFill>
                    <pic:spPr bwMode="auto">
                      <a:xfrm>
                        <a:off x="0" y="0"/>
                        <a:ext cx="692150" cy="127000"/>
                      </a:xfrm>
                      <a:prstGeom prst="rect">
                        <a:avLst/>
                      </a:prstGeom>
                      <a:noFill/>
                      <a:ln w="9525">
                        <a:noFill/>
                        <a:miter lim="800000"/>
                        <a:headEnd/>
                        <a:tailEnd/>
                      </a:ln>
                    </pic:spPr>
                  </pic:pic>
                </a:graphicData>
              </a:graphic>
            </wp:anchor>
          </w:drawing>
        </w:r>
        <w:r>
          <w:rPr>
            <w:rFonts w:ascii="TitilliumText22L Xb" w:hAnsi="TitilliumText22L Xb"/>
          </w:rPr>
          <w:tab/>
        </w:r>
        <w:r w:rsidRPr="0068064A">
          <w:rPr>
            <w:sz w:val="16"/>
            <w:szCs w:val="16"/>
          </w:rPr>
          <w:fldChar w:fldCharType="begin"/>
        </w:r>
        <w:r w:rsidRPr="0068064A">
          <w:rPr>
            <w:sz w:val="16"/>
            <w:szCs w:val="16"/>
          </w:rPr>
          <w:instrText xml:space="preserve"> STYLEREF  "Proposal Title"  \* MERGEFORMAT </w:instrText>
        </w:r>
        <w:r w:rsidRPr="0068064A">
          <w:rPr>
            <w:sz w:val="16"/>
            <w:szCs w:val="16"/>
          </w:rPr>
          <w:fldChar w:fldCharType="separate"/>
        </w:r>
        <w:r w:rsidR="00BA4580">
          <w:rPr>
            <w:noProof/>
            <w:sz w:val="16"/>
            <w:szCs w:val="16"/>
          </w:rPr>
          <w:t>2013 Load Impact Evaluation of San Diego Gas &amp; Electric Company’s Opt-in Peak Time Rebate Program</w:t>
        </w:r>
        <w:r w:rsidRPr="0068064A">
          <w:rPr>
            <w:noProof/>
            <w:sz w:val="16"/>
            <w:szCs w:val="16"/>
          </w:rPr>
          <w:fldChar w:fldCharType="end"/>
        </w:r>
        <w:r>
          <w:rPr>
            <w:rFonts w:ascii="TitilliumText22L Xb" w:hAnsi="TitilliumText22L Xb"/>
          </w:rPr>
          <w:tab/>
        </w:r>
        <w:r w:rsidRPr="00C566BC">
          <w:rPr>
            <w:rFonts w:asciiTheme="minorHAnsi" w:hAnsiTheme="minorHAnsi" w:cstheme="minorHAnsi"/>
            <w:color w:val="808080" w:themeColor="background1" w:themeShade="80"/>
          </w:rPr>
          <w:fldChar w:fldCharType="begin"/>
        </w:r>
        <w:r w:rsidRPr="00C566BC">
          <w:rPr>
            <w:rFonts w:asciiTheme="minorHAnsi" w:hAnsiTheme="minorHAnsi" w:cstheme="minorHAnsi"/>
            <w:color w:val="808080" w:themeColor="background1" w:themeShade="80"/>
          </w:rPr>
          <w:instrText xml:space="preserve"> PAGE   \* MERGEFORMAT </w:instrText>
        </w:r>
        <w:r w:rsidRPr="00C566BC">
          <w:rPr>
            <w:rFonts w:asciiTheme="minorHAnsi" w:hAnsiTheme="minorHAnsi" w:cstheme="minorHAnsi"/>
            <w:color w:val="808080" w:themeColor="background1" w:themeShade="80"/>
          </w:rPr>
          <w:fldChar w:fldCharType="separate"/>
        </w:r>
        <w:r w:rsidR="00BA4580">
          <w:rPr>
            <w:rFonts w:asciiTheme="minorHAnsi" w:hAnsiTheme="minorHAnsi" w:cstheme="minorHAnsi"/>
            <w:noProof/>
            <w:color w:val="808080" w:themeColor="background1" w:themeShade="80"/>
          </w:rPr>
          <w:t>23</w:t>
        </w:r>
        <w:r w:rsidRPr="00C566BC">
          <w:rPr>
            <w:rFonts w:asciiTheme="minorHAnsi" w:hAnsiTheme="minorHAnsi" w:cstheme="minorHAnsi"/>
            <w:color w:val="808080" w:themeColor="background1" w:themeShade="8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tilliumText22L Xb" w:hAnsi="TitilliumText22L Xb"/>
      </w:rPr>
      <w:id w:val="1491056936"/>
      <w:docPartObj>
        <w:docPartGallery w:val="Page Numbers (Bottom of Page)"/>
        <w:docPartUnique/>
      </w:docPartObj>
    </w:sdtPr>
    <w:sdtContent>
      <w:p w:rsidR="002A2356" w:rsidRPr="0036226B" w:rsidRDefault="002A2356" w:rsidP="002A2356">
        <w:pPr>
          <w:pStyle w:val="Footer"/>
          <w:tabs>
            <w:tab w:val="clear" w:pos="4320"/>
            <w:tab w:val="clear" w:pos="8640"/>
            <w:tab w:val="center" w:pos="4860"/>
            <w:tab w:val="right" w:pos="9360"/>
          </w:tabs>
          <w:rPr>
            <w:rFonts w:ascii="TitilliumText22L Xb" w:hAnsi="TitilliumText22L Xb"/>
          </w:rPr>
        </w:pPr>
        <w:r w:rsidRPr="00C566BC">
          <w:rPr>
            <w:rFonts w:asciiTheme="minorHAnsi" w:hAnsiTheme="minorHAnsi" w:cstheme="minorHAnsi"/>
            <w:noProof/>
            <w:color w:val="808080" w:themeColor="background1" w:themeShade="80"/>
          </w:rPr>
          <w:drawing>
            <wp:anchor distT="0" distB="0" distL="114300" distR="114300" simplePos="0" relativeHeight="251677696" behindDoc="0" locked="0" layoutInCell="1" allowOverlap="1" wp14:anchorId="1FBEE34E" wp14:editId="7922FAF4">
              <wp:simplePos x="0" y="0"/>
              <wp:positionH relativeFrom="column">
                <wp:posOffset>-6350</wp:posOffset>
              </wp:positionH>
              <wp:positionV relativeFrom="paragraph">
                <wp:posOffset>43815</wp:posOffset>
              </wp:positionV>
              <wp:extent cx="692150" cy="127000"/>
              <wp:effectExtent l="19050" t="0" r="0" b="0"/>
              <wp:wrapNone/>
              <wp:docPr id="680" name="Picture 2" descr="nexant_rev (blue 3-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ant_rev (blue 3-4in)"/>
                      <pic:cNvPicPr>
                        <a:picLocks noChangeAspect="1" noChangeArrowheads="1"/>
                      </pic:cNvPicPr>
                    </pic:nvPicPr>
                    <pic:blipFill>
                      <a:blip r:embed="rId1" cstate="screen"/>
                      <a:srcRect/>
                      <a:stretch>
                        <a:fillRect/>
                      </a:stretch>
                    </pic:blipFill>
                    <pic:spPr bwMode="auto">
                      <a:xfrm>
                        <a:off x="0" y="0"/>
                        <a:ext cx="692150" cy="127000"/>
                      </a:xfrm>
                      <a:prstGeom prst="rect">
                        <a:avLst/>
                      </a:prstGeom>
                      <a:noFill/>
                      <a:ln w="9525">
                        <a:noFill/>
                        <a:miter lim="800000"/>
                        <a:headEnd/>
                        <a:tailEnd/>
                      </a:ln>
                    </pic:spPr>
                  </pic:pic>
                </a:graphicData>
              </a:graphic>
            </wp:anchor>
          </w:drawing>
        </w:r>
        <w:r>
          <w:rPr>
            <w:rFonts w:ascii="TitilliumText22L Xb" w:hAnsi="TitilliumText22L Xb"/>
          </w:rPr>
          <w:tab/>
        </w:r>
        <w:r w:rsidRPr="002A2356">
          <w:rPr>
            <w:rFonts w:asciiTheme="minorHAnsi" w:hAnsiTheme="minorHAnsi" w:cstheme="minorHAnsi"/>
            <w:sz w:val="16"/>
            <w:szCs w:val="16"/>
          </w:rPr>
          <w:fldChar w:fldCharType="begin"/>
        </w:r>
        <w:r w:rsidRPr="002A2356">
          <w:rPr>
            <w:rFonts w:asciiTheme="minorHAnsi" w:hAnsiTheme="minorHAnsi" w:cstheme="minorHAnsi"/>
            <w:sz w:val="16"/>
            <w:szCs w:val="16"/>
          </w:rPr>
          <w:instrText xml:space="preserve"> STYLEREF  "Proposal Title"  \* MERGEFORMAT </w:instrText>
        </w:r>
        <w:r w:rsidRPr="002A2356">
          <w:rPr>
            <w:rFonts w:asciiTheme="minorHAnsi" w:hAnsiTheme="minorHAnsi" w:cstheme="minorHAnsi"/>
            <w:sz w:val="16"/>
            <w:szCs w:val="16"/>
          </w:rPr>
          <w:fldChar w:fldCharType="separate"/>
        </w:r>
        <w:r w:rsidR="00BA4580">
          <w:rPr>
            <w:rFonts w:asciiTheme="minorHAnsi" w:hAnsiTheme="minorHAnsi" w:cstheme="minorHAnsi"/>
            <w:noProof/>
            <w:sz w:val="16"/>
            <w:szCs w:val="16"/>
          </w:rPr>
          <w:t>2013 Load Impact Evaluation of San Diego Gas &amp; Electric Company’s Opt-in Peak Time Rebate Program</w:t>
        </w:r>
        <w:r w:rsidRPr="002A2356">
          <w:rPr>
            <w:rFonts w:asciiTheme="minorHAnsi" w:hAnsiTheme="minorHAnsi" w:cstheme="minorHAnsi"/>
            <w:noProof/>
            <w:sz w:val="16"/>
            <w:szCs w:val="16"/>
          </w:rPr>
          <w:fldChar w:fldCharType="end"/>
        </w:r>
        <w:r>
          <w:rPr>
            <w:rFonts w:ascii="TitilliumText22L Xb" w:hAnsi="TitilliumText22L Xb"/>
          </w:rPr>
          <w:tab/>
        </w:r>
        <w:r w:rsidRPr="00C566BC">
          <w:rPr>
            <w:rFonts w:asciiTheme="minorHAnsi" w:hAnsiTheme="minorHAnsi" w:cstheme="minorHAnsi"/>
            <w:color w:val="808080" w:themeColor="background1" w:themeShade="80"/>
          </w:rPr>
          <w:fldChar w:fldCharType="begin"/>
        </w:r>
        <w:r w:rsidRPr="00C566BC">
          <w:rPr>
            <w:rFonts w:asciiTheme="minorHAnsi" w:hAnsiTheme="minorHAnsi" w:cstheme="minorHAnsi"/>
            <w:color w:val="808080" w:themeColor="background1" w:themeShade="80"/>
          </w:rPr>
          <w:instrText xml:space="preserve"> PAGE   \* MERGEFORMAT </w:instrText>
        </w:r>
        <w:r w:rsidRPr="00C566BC">
          <w:rPr>
            <w:rFonts w:asciiTheme="minorHAnsi" w:hAnsiTheme="minorHAnsi" w:cstheme="minorHAnsi"/>
            <w:color w:val="808080" w:themeColor="background1" w:themeShade="80"/>
          </w:rPr>
          <w:fldChar w:fldCharType="separate"/>
        </w:r>
        <w:r w:rsidR="00BA4580">
          <w:rPr>
            <w:rFonts w:asciiTheme="minorHAnsi" w:hAnsiTheme="minorHAnsi" w:cstheme="minorHAnsi"/>
            <w:noProof/>
            <w:color w:val="808080" w:themeColor="background1" w:themeShade="80"/>
          </w:rPr>
          <w:t>25</w:t>
        </w:r>
        <w:r w:rsidRPr="00C566BC">
          <w:rPr>
            <w:rFonts w:asciiTheme="minorHAnsi" w:hAnsiTheme="minorHAnsi" w:cstheme="minorHAnsi"/>
            <w:color w:val="808080" w:themeColor="background1" w:themeShade="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56" w:rsidRDefault="002A2356" w:rsidP="00DB35F9">
      <w:pPr>
        <w:spacing w:after="0" w:line="240" w:lineRule="auto"/>
      </w:pPr>
      <w:r>
        <w:separator/>
      </w:r>
    </w:p>
  </w:footnote>
  <w:footnote w:type="continuationSeparator" w:id="0">
    <w:p w:rsidR="002A2356" w:rsidRDefault="002A2356" w:rsidP="00DB35F9">
      <w:pPr>
        <w:spacing w:after="0" w:line="240" w:lineRule="auto"/>
      </w:pPr>
      <w:r>
        <w:continuationSeparator/>
      </w:r>
    </w:p>
  </w:footnote>
  <w:footnote w:id="1">
    <w:p w:rsidR="002A2356" w:rsidRDefault="002A2356" w:rsidP="00785F70">
      <w:pPr>
        <w:pStyle w:val="FootnoteText"/>
      </w:pPr>
      <w:r>
        <w:rPr>
          <w:rStyle w:val="FootnoteReference"/>
        </w:rPr>
        <w:footnoteRef/>
      </w:r>
      <w:r>
        <w:t xml:space="preserve"> Specifically refers to average hourly demand throughout the 10 hottest days in 2013.</w:t>
      </w:r>
    </w:p>
  </w:footnote>
  <w:footnote w:id="2">
    <w:p w:rsidR="002A2356" w:rsidRDefault="002A2356" w:rsidP="00785F70">
      <w:pPr>
        <w:pStyle w:val="FootnoteText"/>
      </w:pPr>
      <w:r>
        <w:rPr>
          <w:rStyle w:val="FootnoteReference"/>
        </w:rPr>
        <w:footnoteRef/>
      </w:r>
      <w:r>
        <w:t xml:space="preserve"> For a comparison of results using various research methods, including RCT/RED designs, statistical matching and within-subjects regression analysis, see the interim report on Sacramento Municipal Utility District’s Smart Pricing Options pilot:  </w:t>
      </w:r>
      <w:hyperlink r:id="rId1" w:history="1">
        <w:r>
          <w:rPr>
            <w:rStyle w:val="Hyperlink"/>
          </w:rPr>
          <w:t>https://www.smartgrid.gov/sites/default/files/MASTER_SMUD%20CBS%20Interim%20Evaluation_Final_SUBMITTED%20TO%20TAG%2020131023.pdf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Default="002A2356">
    <w:pPr>
      <w:pStyle w:val="Header"/>
    </w:pPr>
    <w:r>
      <w:rPr>
        <w:noProof/>
      </w:rPr>
      <mc:AlternateContent>
        <mc:Choice Requires="wps">
          <w:drawing>
            <wp:inline distT="0" distB="0" distL="0" distR="0">
              <wp:extent cx="6017895" cy="0"/>
              <wp:effectExtent l="9525" t="9525" r="11430" b="9525"/>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7895" cy="0"/>
                      </a:xfrm>
                      <a:prstGeom prst="straightConnector1">
                        <a:avLst/>
                      </a:prstGeom>
                      <a:noFill/>
                      <a:ln w="9525">
                        <a:solidFill>
                          <a:schemeClr val="accent4">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 o:spid="_x0000_s1026" type="#_x0000_t32" style="width:473.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KBOAIAAHYEAAAOAAAAZHJzL2Uyb0RvYy54bWysVMGO2jAQvVfqP1i+QxIaWIgIq1UCvWy7&#10;SLv9AGM7xKpjW7YhoKr/3rEDaGkvVdWLMx7PvHkzfs7y8dRJdOTWCa1KnI1TjLiimgm1L/G3t81o&#10;jpHzRDEiteIlPnOHH1cfPyx7U/CJbrVk3CIAUa7oTYlb702RJI62vCNurA1XcNho2xEPW7tPmCU9&#10;oHcymaTpLOm1ZcZqyp0Dbz0c4lXEbxpO/UvTOO6RLDFw83G1cd2FNVktSbG3xLSCXmiQf2DREaGg&#10;6A2qJp6ggxV/QHWCWu1048dUd4luGkF57AG6ydLfunltieGxFxiOM7cxuf8HS78etxYJBneXY6RI&#10;B3f0dPA6lkaTMJ/euALCKrW1oUN6Uq/mWdPvDildtUTteQx+OxvIzUJGcpcSNs5AlV3/RTOIIYAf&#10;h3VqbBcgYQzoFO/kfLsTfvKIgnOWZg/zxRQjej1LSHFNNNb5z1x3KBgldt4SsW99pZWCm9c2i2XI&#10;8dn5QIsU14RQVemNkDIKQCrUl3gxnUxjgtNSsHAYwqIUeSUtOhIQEaGUK5/HOHnooKPB/zBN04uc&#10;wA2iG9zRBYVvKJHGXQGrD4pFGi0nbH2xPRFysCFbqsAERgKNXKxBXT8W6WI9X8/zUT6ZrUd5Wtej&#10;p02Vj2ab7GFaf6qrqs5+BrJZXrSCMa5CX1elZ/nfKeny5gaN3rR+G2Byjx5bBLLXbyQdNRFkMAhq&#10;p9l5a69aAXHH4MtDDK/n/R7s97+L1S8AAAD//wMAUEsDBBQABgAIAAAAIQCEiV231gAAAAIBAAAP&#10;AAAAZHJzL2Rvd25yZXYueG1sTI9BS8NAEIXvgv9hGcGb3VjE2phNKUIvKoitP2CaHZO0mdmQ3bbx&#10;3zv1Yi8PHm9475tiMXJnjjTENoiD+0kGhqQKvpXawddmdfcEJiYUj10QcvBDERbl9VWBuQ8n+aTj&#10;OtVGSyTm6KBJqc+tjVVDjHESehLNvsPAmNQOtfUDnrScOzvNskfL2IouNNjTS0PVfn1gB2HpN7x6&#10;9e9T/qAK33YemefO3d6My2cwicb0fwxnfEWHUpm24SA+ms6BPpL+VLP5w2wGZnu2tizsJXr5CwAA&#10;//8DAFBLAQItABQABgAIAAAAIQC2gziS/gAAAOEBAAATAAAAAAAAAAAAAAAAAAAAAABbQ29udGVu&#10;dF9UeXBlc10ueG1sUEsBAi0AFAAGAAgAAAAhADj9If/WAAAAlAEAAAsAAAAAAAAAAAAAAAAALwEA&#10;AF9yZWxzLy5yZWxzUEsBAi0AFAAGAAgAAAAhAMJMgoE4AgAAdgQAAA4AAAAAAAAAAAAAAAAALgIA&#10;AGRycy9lMm9Eb2MueG1sUEsBAi0AFAAGAAgAAAAhAISJXbfWAAAAAgEAAA8AAAAAAAAAAAAAAAAA&#10;kgQAAGRycy9kb3ducmV2LnhtbFBLBQYAAAAABAAEAPMAAACVBQAAAAA=&#10;" strokecolor="#5f497a [2407]">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Default="002A2356" w:rsidP="00DB35F9">
    <w:pPr>
      <w:pStyle w:val="Header"/>
      <w:tabs>
        <w:tab w:val="left" w:pos="360"/>
        <w:tab w:val="left" w:pos="8910"/>
        <w:tab w:val="left" w:pos="9000"/>
      </w:tabs>
    </w:pPr>
    <w:r w:rsidRPr="00EB2941">
      <w:rPr>
        <w:noProof/>
      </w:rPr>
      <w:drawing>
        <wp:inline distT="0" distB="0" distL="0" distR="0">
          <wp:extent cx="4274185" cy="690880"/>
          <wp:effectExtent l="19050" t="0" r="0" b="0"/>
          <wp:docPr id="8"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74185" cy="69088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Default="002A2356" w:rsidP="002F58AD">
    <w:pPr>
      <w:pStyle w:val="Footnote"/>
    </w:pPr>
    <w:r w:rsidRPr="008B39F4">
      <w:rPr>
        <w:noProof/>
      </w:rPr>
      <w:drawing>
        <wp:anchor distT="0" distB="0" distL="114300" distR="114300" simplePos="0" relativeHeight="251661311" behindDoc="1" locked="0" layoutInCell="1" allowOverlap="1">
          <wp:simplePos x="0" y="0"/>
          <wp:positionH relativeFrom="column">
            <wp:posOffset>-1146810</wp:posOffset>
          </wp:positionH>
          <wp:positionV relativeFrom="paragraph">
            <wp:posOffset>-678180</wp:posOffset>
          </wp:positionV>
          <wp:extent cx="7785735" cy="9867900"/>
          <wp:effectExtent l="19050" t="0" r="5715" b="0"/>
          <wp:wrapNone/>
          <wp:docPr id="4" name="Picture 1" descr="F:\Marketing\TEMPLATES AND FORMS\CoverTemplate Graphic Files\Cove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TEMPLATES AND FORMS\CoverTemplate Graphic Files\CoverPRINT.jpg"/>
                  <pic:cNvPicPr>
                    <a:picLocks noChangeAspect="1" noChangeArrowheads="1"/>
                  </pic:cNvPicPr>
                </pic:nvPicPr>
                <pic:blipFill>
                  <a:blip r:embed="rId1" cstate="screen"/>
                  <a:srcRect/>
                  <a:stretch>
                    <a:fillRect/>
                  </a:stretch>
                </pic:blipFill>
                <pic:spPr bwMode="auto">
                  <a:xfrm>
                    <a:off x="0" y="0"/>
                    <a:ext cx="7785735" cy="98679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Pr="00845265" w:rsidRDefault="002A2356" w:rsidP="002F58AD">
    <w:pPr>
      <w:pStyle w:val="Footnote"/>
      <w:rPr>
        <w:rFonts w:asciiTheme="minorHAnsi" w:hAnsiTheme="minorHAnsi" w:cstheme="minorHAnsi"/>
      </w:rPr>
    </w:pPr>
    <w:r>
      <w:rPr>
        <w:noProof/>
      </w:rPr>
      <mc:AlternateContent>
        <mc:Choice Requires="wps">
          <w:drawing>
            <wp:inline distT="0" distB="0" distL="0" distR="0" wp14:anchorId="55A5FB35" wp14:editId="5BA30170">
              <wp:extent cx="5458460" cy="0"/>
              <wp:effectExtent l="9525" t="9525" r="8890" b="9525"/>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846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1" o:spid="_x0000_s1026" type="#_x0000_t32" style="width:429.8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ZSIwIAADwEAAAOAAAAZHJzL2Uyb0RvYy54bWysU9uO2yAQfa/Uf0C8J7ZTJ5t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A+4yjBTp&#10;gaOnvdcxNcrCfAbjCnCr1NaGDulRvZpnTb86pHTVEdXy6Px2MhAbI5K7kPBwBrLshk+agQ8B/Dis&#10;Y2P7AAljQMfIyenGCT96ROHnNJ/O8xlQR6+2hBTXQGOd/8h1j8KlxM5bItrOV1opYF7bLKYhh2fn&#10;oREIvAaErEpvhJRRAFKhocSL6WQaA5yWggVjcHO23VXSogMBCWWbfPFQh6kA2J2b1XvFIljHCVtf&#10;7p4Ieb6Dv1QBDxqDci63s0a+LdLFer6e56N8MluP8rSuR0+bKh/NNtnDtP5QV1WdfQ+lZXnRCca4&#10;CtVd9Zrlf6eHy+aclXZT7G0MyT16bBGKvX5j0ZHZQOZZFjvNTlsbphFIBolG58s6hR349R29fi79&#10;6gcAAAD//wMAUEsDBBQABgAIAAAAIQDGyGmC2QAAAAIBAAAPAAAAZHJzL2Rvd25yZXYueG1sTI9B&#10;S8NAEIXvgv9hGcGL2I1Ca4zZFAn2kINYqz9gmh2TYHY2ZDdt+u+detHLg8cb3vsmX8+uVwcaQ+fZ&#10;wN0iAUVce9txY+DzY3ObggoR2WLvmQycKMC6uLzIMbP+yO902MVGSQmHDA20MQ6Z1qFuyWFY+IFY&#10;si8/Ooxix0bbEY9S7np9nyQr7bBjWWhxoLKl+ns3OQOvdNrezA+bZem4Cvolraa3sjLm+mp+fgIV&#10;aY5/x3DGF3QohGnvJ7ZB9QbkkfirkqXLxxWo/dnqItf/0YsfAAAA//8DAFBLAQItABQABgAIAAAA&#10;IQC2gziS/gAAAOEBAAATAAAAAAAAAAAAAAAAAAAAAABbQ29udGVudF9UeXBlc10ueG1sUEsBAi0A&#10;FAAGAAgAAAAhADj9If/WAAAAlAEAAAsAAAAAAAAAAAAAAAAALwEAAF9yZWxzLy5yZWxzUEsBAi0A&#10;FAAGAAgAAAAhAGw/tlIjAgAAPAQAAA4AAAAAAAAAAAAAAAAALgIAAGRycy9lMm9Eb2MueG1sUEsB&#10;Ai0AFAAGAAgAAAAhAMbIaYLZAAAAAgEAAA8AAAAAAAAAAAAAAAAAfQQAAGRycy9kb3ducmV2Lnht&#10;bFBLBQYAAAAABAAEAPMAAACDBQAAAAA=&#10;" strokecolor="#1f497d">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Default="002A2356" w:rsidP="00B50663">
    <w:pPr>
      <w:pStyle w:val="Header"/>
      <w:jc w:val="center"/>
    </w:pPr>
    <w:r w:rsidRPr="00E92F4E">
      <w:rPr>
        <w:noProof/>
      </w:rPr>
      <w:drawing>
        <wp:inline distT="0" distB="0" distL="0" distR="0" wp14:anchorId="372E8E60" wp14:editId="1018C4B5">
          <wp:extent cx="2243455" cy="999490"/>
          <wp:effectExtent l="19050" t="0" r="4445" b="0"/>
          <wp:docPr id="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43455" cy="999490"/>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Pr="00845265" w:rsidRDefault="002A2356" w:rsidP="00845265">
    <w:pPr>
      <w:pStyle w:val="Head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STYLEREF  "Heading 1" </w:instrText>
    </w:r>
    <w:r w:rsidR="00BA4580">
      <w:rPr>
        <w:rFonts w:asciiTheme="minorHAnsi" w:hAnsiTheme="minorHAnsi" w:cstheme="minorHAnsi"/>
      </w:rPr>
      <w:fldChar w:fldCharType="separate"/>
    </w:r>
    <w:r w:rsidR="00BA4580">
      <w:rPr>
        <w:rFonts w:asciiTheme="minorHAnsi" w:hAnsiTheme="minorHAnsi" w:cstheme="minorHAnsi"/>
        <w:noProof/>
      </w:rPr>
      <w:t>Introduction</w:t>
    </w:r>
    <w:r>
      <w:rPr>
        <w:rFonts w:asciiTheme="minorHAnsi" w:hAnsiTheme="minorHAnsi" w:cstheme="minorHAns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56" w:rsidRPr="00845265" w:rsidRDefault="002A2356" w:rsidP="00845265">
    <w:pPr>
      <w:pStyle w:val="Head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STYLEREF  "Heading 1" </w:instrText>
    </w:r>
    <w:r>
      <w:rPr>
        <w:rFonts w:asciiTheme="minorHAnsi" w:hAnsiTheme="minorHAnsi" w:cstheme="minorHAnsi"/>
      </w:rPr>
      <w:fldChar w:fldCharType="separate"/>
    </w:r>
    <w:r w:rsidR="00BA4580">
      <w:rPr>
        <w:rFonts w:asciiTheme="minorHAnsi" w:hAnsiTheme="minorHAnsi" w:cstheme="minorHAnsi"/>
        <w:noProof/>
      </w:rPr>
      <w:t>Recommendations</w:t>
    </w:r>
    <w:r>
      <w:rPr>
        <w:rFonts w:asciiTheme="minorHAnsi" w:hAnsiTheme="minorHAnsi" w:cstheme="minorHAns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5674"/>
    <w:multiLevelType w:val="hybridMultilevel"/>
    <w:tmpl w:val="652A9A1E"/>
    <w:lvl w:ilvl="0" w:tplc="F5241B0E">
      <w:start w:val="6"/>
      <w:numFmt w:val="decimal"/>
      <w:pStyle w:val="NumbersLa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A593E"/>
    <w:multiLevelType w:val="hybridMultilevel"/>
    <w:tmpl w:val="3D4AC938"/>
    <w:lvl w:ilvl="0" w:tplc="1F2429D4">
      <w:start w:val="1"/>
      <w:numFmt w:val="bullet"/>
      <w:pStyle w:val="Bullets"/>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7561E2"/>
    <w:multiLevelType w:val="hybridMultilevel"/>
    <w:tmpl w:val="6F6C1304"/>
    <w:lvl w:ilvl="0" w:tplc="FB1E35EA">
      <w:start w:val="1"/>
      <w:numFmt w:val="decimal"/>
      <w:pStyle w:val="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90431"/>
    <w:multiLevelType w:val="multilevel"/>
    <w:tmpl w:val="E47C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E263D"/>
    <w:multiLevelType w:val="multilevel"/>
    <w:tmpl w:val="DEF4D99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64497E68"/>
    <w:multiLevelType w:val="multilevel"/>
    <w:tmpl w:val="75469ADA"/>
    <w:lvl w:ilvl="0">
      <w:start w:val="1"/>
      <w:numFmt w:val="upperLetter"/>
      <w:pStyle w:val="AppendixHeading"/>
      <w:lvlText w:val="Appendix %1"/>
      <w:lvlJc w:val="left"/>
      <w:pPr>
        <w:ind w:left="360" w:hanging="360"/>
      </w:pPr>
      <w:rPr>
        <w:rFonts w:hint="default"/>
        <w:b/>
        <w:bCs w:val="0"/>
        <w:i w:val="0"/>
        <w:iCs w:val="0"/>
        <w:caps w:val="0"/>
        <w:smallCaps w:val="0"/>
        <w:strike w:val="0"/>
        <w:dstrike w:val="0"/>
        <w:noProof w:val="0"/>
        <w:snapToGrid w:val="0"/>
        <w:vanish w:val="0"/>
        <w:color w:val="1F497D"/>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lvlText w:val="%1.%2"/>
      <w:lvlJc w:val="left"/>
      <w:pPr>
        <w:ind w:left="882" w:hanging="432"/>
      </w:pPr>
      <w:rPr>
        <w:rFonts w:asciiTheme="minorHAnsi" w:hAnsiTheme="minorHAnsi" w:cstheme="minorHAnsi" w:hint="default"/>
        <w:b/>
        <w:bCs w:val="0"/>
        <w:i w:val="0"/>
        <w:iCs w:val="0"/>
        <w:caps w:val="0"/>
        <w:smallCaps w:val="0"/>
        <w:strike w:val="0"/>
        <w:dstrike w:val="0"/>
        <w:noProof w:val="0"/>
        <w:snapToGrid w:val="0"/>
        <w:vanish w:val="0"/>
        <w:color w:val="1F497D"/>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Heading3"/>
      <w:lvlText w:val="%1.%2.%3"/>
      <w:lvlJc w:val="left"/>
      <w:pPr>
        <w:ind w:left="1494" w:hanging="504"/>
      </w:pPr>
      <w:rPr>
        <w:rFonts w:asciiTheme="minorHAnsi" w:hAnsiTheme="minorHAnsi" w:cstheme="minorHAnsi" w:hint="default"/>
        <w:b/>
        <w:bCs w:val="0"/>
        <w:i w:val="0"/>
        <w:iCs w:val="0"/>
        <w:caps w:val="0"/>
        <w:smallCaps w:val="0"/>
        <w:strike w:val="0"/>
        <w:dstrike w:val="0"/>
        <w:noProof w:val="0"/>
        <w:snapToGrid w:val="0"/>
        <w:vanish w:val="0"/>
        <w:color w:val="1F497D"/>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D0F2EE8"/>
    <w:multiLevelType w:val="multilevel"/>
    <w:tmpl w:val="9F68006A"/>
    <w:styleLink w:val="Numbered"/>
    <w:lvl w:ilvl="0">
      <w:start w:val="1"/>
      <w:numFmt w:val="decimal"/>
      <w:lvlText w:val="%1"/>
      <w:lvlJc w:val="left"/>
      <w:pPr>
        <w:tabs>
          <w:tab w:val="num" w:pos="720"/>
        </w:tabs>
        <w:ind w:left="720" w:hanging="360"/>
      </w:pPr>
      <w:rPr>
        <w:rFonts w:ascii="Arial" w:hAnsi="Arial"/>
        <w:dstrike w:val="0"/>
        <w:color w:val="000000" w:themeColor="text1"/>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4"/>
  </w:num>
  <w:num w:numId="4">
    <w:abstractNumId w:val="7"/>
  </w:num>
  <w:num w:numId="5">
    <w:abstractNumId w:val="5"/>
  </w:num>
  <w:num w:numId="6">
    <w:abstractNumId w:val="2"/>
  </w:num>
  <w:num w:numId="7">
    <w:abstractNumId w:val="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strokecolor="#1f497d">
      <v:stroke color="#1f497d" weight="3pt"/>
      <v:shadow on="t" type="perspective" color="none [1607]" opacity=".5" offset="1pt" offset2="-1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266"/>
    <w:rsid w:val="00011A9F"/>
    <w:rsid w:val="00012ECA"/>
    <w:rsid w:val="00014A86"/>
    <w:rsid w:val="00020BC6"/>
    <w:rsid w:val="000217B0"/>
    <w:rsid w:val="00025E86"/>
    <w:rsid w:val="000342FA"/>
    <w:rsid w:val="000357CA"/>
    <w:rsid w:val="0005598B"/>
    <w:rsid w:val="0006172C"/>
    <w:rsid w:val="00077617"/>
    <w:rsid w:val="00084DA8"/>
    <w:rsid w:val="000A0B3A"/>
    <w:rsid w:val="000C5046"/>
    <w:rsid w:val="000C7913"/>
    <w:rsid w:val="000D6A47"/>
    <w:rsid w:val="000D7B44"/>
    <w:rsid w:val="00100869"/>
    <w:rsid w:val="00107177"/>
    <w:rsid w:val="001324E3"/>
    <w:rsid w:val="00134D4B"/>
    <w:rsid w:val="00137F86"/>
    <w:rsid w:val="00142ACF"/>
    <w:rsid w:val="00143E9F"/>
    <w:rsid w:val="00152489"/>
    <w:rsid w:val="00157BFA"/>
    <w:rsid w:val="00163508"/>
    <w:rsid w:val="0017374A"/>
    <w:rsid w:val="00190184"/>
    <w:rsid w:val="00192CF8"/>
    <w:rsid w:val="001A01DA"/>
    <w:rsid w:val="001A7150"/>
    <w:rsid w:val="001A71A9"/>
    <w:rsid w:val="001B0ACB"/>
    <w:rsid w:val="001B352B"/>
    <w:rsid w:val="001B43DF"/>
    <w:rsid w:val="001B572D"/>
    <w:rsid w:val="001C1F7B"/>
    <w:rsid w:val="001C29B1"/>
    <w:rsid w:val="001D3390"/>
    <w:rsid w:val="001D7A4E"/>
    <w:rsid w:val="001E1F4C"/>
    <w:rsid w:val="001E24DA"/>
    <w:rsid w:val="001E31B3"/>
    <w:rsid w:val="001E35A3"/>
    <w:rsid w:val="001E3C08"/>
    <w:rsid w:val="001E4F10"/>
    <w:rsid w:val="001E7B77"/>
    <w:rsid w:val="00202316"/>
    <w:rsid w:val="002077EA"/>
    <w:rsid w:val="00213694"/>
    <w:rsid w:val="00230E4D"/>
    <w:rsid w:val="002436C1"/>
    <w:rsid w:val="00252FAF"/>
    <w:rsid w:val="00272C6A"/>
    <w:rsid w:val="00282740"/>
    <w:rsid w:val="0028429E"/>
    <w:rsid w:val="002842C9"/>
    <w:rsid w:val="00284DA2"/>
    <w:rsid w:val="0028548F"/>
    <w:rsid w:val="002A17A6"/>
    <w:rsid w:val="002A2356"/>
    <w:rsid w:val="002A2791"/>
    <w:rsid w:val="002A6B02"/>
    <w:rsid w:val="002B07E5"/>
    <w:rsid w:val="002B256F"/>
    <w:rsid w:val="002C5BF9"/>
    <w:rsid w:val="002D0416"/>
    <w:rsid w:val="002E56AD"/>
    <w:rsid w:val="002F58AD"/>
    <w:rsid w:val="00305437"/>
    <w:rsid w:val="003076DE"/>
    <w:rsid w:val="00313B12"/>
    <w:rsid w:val="00322266"/>
    <w:rsid w:val="00324C44"/>
    <w:rsid w:val="00334712"/>
    <w:rsid w:val="00340B07"/>
    <w:rsid w:val="00344C3B"/>
    <w:rsid w:val="00355ACE"/>
    <w:rsid w:val="00357948"/>
    <w:rsid w:val="0036226B"/>
    <w:rsid w:val="00365361"/>
    <w:rsid w:val="00370C60"/>
    <w:rsid w:val="003777EF"/>
    <w:rsid w:val="003816DE"/>
    <w:rsid w:val="00385706"/>
    <w:rsid w:val="00386355"/>
    <w:rsid w:val="0039141A"/>
    <w:rsid w:val="00393B5B"/>
    <w:rsid w:val="00393F35"/>
    <w:rsid w:val="003A0F85"/>
    <w:rsid w:val="003A4BA1"/>
    <w:rsid w:val="003A4F88"/>
    <w:rsid w:val="003B1388"/>
    <w:rsid w:val="003B1B88"/>
    <w:rsid w:val="003C0059"/>
    <w:rsid w:val="003D04D2"/>
    <w:rsid w:val="003D5620"/>
    <w:rsid w:val="003D67E1"/>
    <w:rsid w:val="003D68A0"/>
    <w:rsid w:val="003E0B38"/>
    <w:rsid w:val="003E43D8"/>
    <w:rsid w:val="003F367D"/>
    <w:rsid w:val="00415A0F"/>
    <w:rsid w:val="00423629"/>
    <w:rsid w:val="00436018"/>
    <w:rsid w:val="0044738A"/>
    <w:rsid w:val="0046277A"/>
    <w:rsid w:val="004731DA"/>
    <w:rsid w:val="004A2E70"/>
    <w:rsid w:val="004B4A31"/>
    <w:rsid w:val="004B50C8"/>
    <w:rsid w:val="004C0146"/>
    <w:rsid w:val="004C0FA2"/>
    <w:rsid w:val="004D015C"/>
    <w:rsid w:val="004E5D3E"/>
    <w:rsid w:val="004F59DD"/>
    <w:rsid w:val="0050349B"/>
    <w:rsid w:val="00504474"/>
    <w:rsid w:val="00510310"/>
    <w:rsid w:val="00512540"/>
    <w:rsid w:val="00513728"/>
    <w:rsid w:val="00533386"/>
    <w:rsid w:val="00533D26"/>
    <w:rsid w:val="00533ECF"/>
    <w:rsid w:val="00535314"/>
    <w:rsid w:val="005509C1"/>
    <w:rsid w:val="00565A04"/>
    <w:rsid w:val="00577956"/>
    <w:rsid w:val="005B2501"/>
    <w:rsid w:val="005B74C9"/>
    <w:rsid w:val="005C7CFA"/>
    <w:rsid w:val="005D003F"/>
    <w:rsid w:val="005E18C3"/>
    <w:rsid w:val="005E1A52"/>
    <w:rsid w:val="005E294D"/>
    <w:rsid w:val="00606FF5"/>
    <w:rsid w:val="0061145D"/>
    <w:rsid w:val="006330B6"/>
    <w:rsid w:val="006331D6"/>
    <w:rsid w:val="00642DDB"/>
    <w:rsid w:val="00643798"/>
    <w:rsid w:val="006455A7"/>
    <w:rsid w:val="00660FEB"/>
    <w:rsid w:val="00663750"/>
    <w:rsid w:val="006717E3"/>
    <w:rsid w:val="00671DF8"/>
    <w:rsid w:val="00675B29"/>
    <w:rsid w:val="0068064A"/>
    <w:rsid w:val="00680A25"/>
    <w:rsid w:val="00681E66"/>
    <w:rsid w:val="0068488A"/>
    <w:rsid w:val="00685B44"/>
    <w:rsid w:val="006947D9"/>
    <w:rsid w:val="006A0886"/>
    <w:rsid w:val="006A61DE"/>
    <w:rsid w:val="006B0705"/>
    <w:rsid w:val="006B2FA7"/>
    <w:rsid w:val="006D282E"/>
    <w:rsid w:val="006D3DA8"/>
    <w:rsid w:val="006E6E84"/>
    <w:rsid w:val="006F1746"/>
    <w:rsid w:val="006F32CE"/>
    <w:rsid w:val="00702A03"/>
    <w:rsid w:val="0070774A"/>
    <w:rsid w:val="0071105E"/>
    <w:rsid w:val="00714385"/>
    <w:rsid w:val="0071752B"/>
    <w:rsid w:val="00717FCF"/>
    <w:rsid w:val="00721E89"/>
    <w:rsid w:val="00723AA3"/>
    <w:rsid w:val="007336EB"/>
    <w:rsid w:val="00752687"/>
    <w:rsid w:val="00757EAF"/>
    <w:rsid w:val="00757FE6"/>
    <w:rsid w:val="007606E1"/>
    <w:rsid w:val="00766A69"/>
    <w:rsid w:val="007715BA"/>
    <w:rsid w:val="00785F70"/>
    <w:rsid w:val="007B782E"/>
    <w:rsid w:val="007C29F6"/>
    <w:rsid w:val="007E27B1"/>
    <w:rsid w:val="007E62F2"/>
    <w:rsid w:val="007F078B"/>
    <w:rsid w:val="00824815"/>
    <w:rsid w:val="00832B87"/>
    <w:rsid w:val="00834059"/>
    <w:rsid w:val="00837BD3"/>
    <w:rsid w:val="00845265"/>
    <w:rsid w:val="0084569F"/>
    <w:rsid w:val="00850D16"/>
    <w:rsid w:val="00851537"/>
    <w:rsid w:val="00852826"/>
    <w:rsid w:val="00871517"/>
    <w:rsid w:val="00872170"/>
    <w:rsid w:val="008723A3"/>
    <w:rsid w:val="00874217"/>
    <w:rsid w:val="00875B70"/>
    <w:rsid w:val="00891B6B"/>
    <w:rsid w:val="008B39F4"/>
    <w:rsid w:val="008C2806"/>
    <w:rsid w:val="008C2D62"/>
    <w:rsid w:val="008C33FC"/>
    <w:rsid w:val="008D3284"/>
    <w:rsid w:val="008E6DAC"/>
    <w:rsid w:val="008E6E4B"/>
    <w:rsid w:val="009009D5"/>
    <w:rsid w:val="00900FB1"/>
    <w:rsid w:val="009063B1"/>
    <w:rsid w:val="00935372"/>
    <w:rsid w:val="00936874"/>
    <w:rsid w:val="00936DC6"/>
    <w:rsid w:val="0094682C"/>
    <w:rsid w:val="00967DE4"/>
    <w:rsid w:val="0099408F"/>
    <w:rsid w:val="009B1FE8"/>
    <w:rsid w:val="009C0139"/>
    <w:rsid w:val="009E21D7"/>
    <w:rsid w:val="009E3944"/>
    <w:rsid w:val="009E3F2C"/>
    <w:rsid w:val="00A24367"/>
    <w:rsid w:val="00A40B9A"/>
    <w:rsid w:val="00A45169"/>
    <w:rsid w:val="00A6555F"/>
    <w:rsid w:val="00A73303"/>
    <w:rsid w:val="00A77483"/>
    <w:rsid w:val="00A8324D"/>
    <w:rsid w:val="00AA0F3C"/>
    <w:rsid w:val="00AB380F"/>
    <w:rsid w:val="00AC3023"/>
    <w:rsid w:val="00AC415F"/>
    <w:rsid w:val="00AC709F"/>
    <w:rsid w:val="00AD22DD"/>
    <w:rsid w:val="00AE636A"/>
    <w:rsid w:val="00AF5EB2"/>
    <w:rsid w:val="00B01DA0"/>
    <w:rsid w:val="00B07122"/>
    <w:rsid w:val="00B07EFB"/>
    <w:rsid w:val="00B07F5F"/>
    <w:rsid w:val="00B14588"/>
    <w:rsid w:val="00B24EF7"/>
    <w:rsid w:val="00B30065"/>
    <w:rsid w:val="00B34237"/>
    <w:rsid w:val="00B41862"/>
    <w:rsid w:val="00B50663"/>
    <w:rsid w:val="00B5112F"/>
    <w:rsid w:val="00B5598C"/>
    <w:rsid w:val="00B71F34"/>
    <w:rsid w:val="00B858B0"/>
    <w:rsid w:val="00B86C76"/>
    <w:rsid w:val="00B95D14"/>
    <w:rsid w:val="00BA323B"/>
    <w:rsid w:val="00BA3459"/>
    <w:rsid w:val="00BA4580"/>
    <w:rsid w:val="00BC02C6"/>
    <w:rsid w:val="00BC7E9F"/>
    <w:rsid w:val="00BD26B9"/>
    <w:rsid w:val="00BD296D"/>
    <w:rsid w:val="00BD382F"/>
    <w:rsid w:val="00BD6DA7"/>
    <w:rsid w:val="00BF62CC"/>
    <w:rsid w:val="00C003A1"/>
    <w:rsid w:val="00C053C2"/>
    <w:rsid w:val="00C16C74"/>
    <w:rsid w:val="00C17F73"/>
    <w:rsid w:val="00C2287B"/>
    <w:rsid w:val="00C33F08"/>
    <w:rsid w:val="00C52F29"/>
    <w:rsid w:val="00C566BC"/>
    <w:rsid w:val="00C623D7"/>
    <w:rsid w:val="00C66141"/>
    <w:rsid w:val="00C81F2C"/>
    <w:rsid w:val="00C822BC"/>
    <w:rsid w:val="00C82721"/>
    <w:rsid w:val="00C92EB8"/>
    <w:rsid w:val="00CA0D6E"/>
    <w:rsid w:val="00CA1BF4"/>
    <w:rsid w:val="00CA21AF"/>
    <w:rsid w:val="00CA7949"/>
    <w:rsid w:val="00CC0C48"/>
    <w:rsid w:val="00CD4370"/>
    <w:rsid w:val="00CD4CE6"/>
    <w:rsid w:val="00CD7AB5"/>
    <w:rsid w:val="00CF0DE2"/>
    <w:rsid w:val="00CF796B"/>
    <w:rsid w:val="00CF7B44"/>
    <w:rsid w:val="00D04113"/>
    <w:rsid w:val="00D04A27"/>
    <w:rsid w:val="00D07FF4"/>
    <w:rsid w:val="00D21C5B"/>
    <w:rsid w:val="00D34C82"/>
    <w:rsid w:val="00D53249"/>
    <w:rsid w:val="00D53A09"/>
    <w:rsid w:val="00D56C2A"/>
    <w:rsid w:val="00D773A3"/>
    <w:rsid w:val="00D80E42"/>
    <w:rsid w:val="00D827CB"/>
    <w:rsid w:val="00D91879"/>
    <w:rsid w:val="00DB35F9"/>
    <w:rsid w:val="00DC0EF5"/>
    <w:rsid w:val="00DD281B"/>
    <w:rsid w:val="00DE287A"/>
    <w:rsid w:val="00DE2A98"/>
    <w:rsid w:val="00DE4B63"/>
    <w:rsid w:val="00DF1A08"/>
    <w:rsid w:val="00DF6E05"/>
    <w:rsid w:val="00E027F1"/>
    <w:rsid w:val="00E05AC0"/>
    <w:rsid w:val="00E074A7"/>
    <w:rsid w:val="00E127D0"/>
    <w:rsid w:val="00E25C21"/>
    <w:rsid w:val="00E3172D"/>
    <w:rsid w:val="00E564A8"/>
    <w:rsid w:val="00E579CD"/>
    <w:rsid w:val="00E61AB1"/>
    <w:rsid w:val="00E81E4F"/>
    <w:rsid w:val="00E8660E"/>
    <w:rsid w:val="00E9273B"/>
    <w:rsid w:val="00E9470D"/>
    <w:rsid w:val="00EA36F1"/>
    <w:rsid w:val="00EB2941"/>
    <w:rsid w:val="00ED1041"/>
    <w:rsid w:val="00ED53DD"/>
    <w:rsid w:val="00ED61A8"/>
    <w:rsid w:val="00ED6700"/>
    <w:rsid w:val="00EE5649"/>
    <w:rsid w:val="00EF12DF"/>
    <w:rsid w:val="00F07149"/>
    <w:rsid w:val="00F1362A"/>
    <w:rsid w:val="00F155D1"/>
    <w:rsid w:val="00F179F1"/>
    <w:rsid w:val="00F24446"/>
    <w:rsid w:val="00F25968"/>
    <w:rsid w:val="00F323F5"/>
    <w:rsid w:val="00F46241"/>
    <w:rsid w:val="00F50A5A"/>
    <w:rsid w:val="00F535B2"/>
    <w:rsid w:val="00F74016"/>
    <w:rsid w:val="00F86A7D"/>
    <w:rsid w:val="00F915F4"/>
    <w:rsid w:val="00F926F0"/>
    <w:rsid w:val="00F92AFE"/>
    <w:rsid w:val="00F92E49"/>
    <w:rsid w:val="00FB6F93"/>
    <w:rsid w:val="00FB7B69"/>
    <w:rsid w:val="00FC0A7F"/>
    <w:rsid w:val="00FC0F66"/>
    <w:rsid w:val="00FC1D90"/>
    <w:rsid w:val="00FD21EB"/>
    <w:rsid w:val="00FD51F4"/>
    <w:rsid w:val="00FE1D3E"/>
    <w:rsid w:val="00FE748B"/>
    <w:rsid w:val="00FF3E6F"/>
    <w:rsid w:val="00FF5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strokecolor="#1f497d">
      <v:stroke color="#1f497d" weight="3pt"/>
      <v:shadow on="t" type="perspective" color="none [1607]"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BodyParagraph"/>
    <w:link w:val="Heading1Char"/>
    <w:uiPriority w:val="9"/>
    <w:qFormat/>
    <w:rsid w:val="00143E9F"/>
    <w:pPr>
      <w:keepNext/>
      <w:numPr>
        <w:numId w:val="3"/>
      </w:numPr>
      <w:spacing w:after="120" w:line="240" w:lineRule="auto"/>
      <w:outlineLvl w:val="0"/>
    </w:pPr>
    <w:rPr>
      <w:rFonts w:eastAsia="Times New Roman" w:cs="Times New Roman"/>
      <w:b/>
      <w:color w:val="1F497D"/>
      <w:sz w:val="28"/>
      <w:szCs w:val="28"/>
    </w:rPr>
  </w:style>
  <w:style w:type="paragraph" w:styleId="Heading2">
    <w:name w:val="heading 2"/>
    <w:basedOn w:val="Heading1"/>
    <w:next w:val="BodyParagraph"/>
    <w:link w:val="Heading2Char"/>
    <w:unhideWhenUsed/>
    <w:qFormat/>
    <w:rsid w:val="00143E9F"/>
    <w:pPr>
      <w:numPr>
        <w:ilvl w:val="1"/>
      </w:numPr>
      <w:ind w:left="540" w:hanging="540"/>
      <w:outlineLvl w:val="1"/>
    </w:pPr>
    <w:rPr>
      <w:rFonts w:eastAsiaTheme="majorEastAsia" w:cstheme="majorBidi"/>
      <w:bCs/>
      <w:sz w:val="26"/>
      <w:szCs w:val="26"/>
    </w:rPr>
  </w:style>
  <w:style w:type="paragraph" w:styleId="Heading3">
    <w:name w:val="heading 3"/>
    <w:basedOn w:val="Heading2"/>
    <w:next w:val="BodyParagraph"/>
    <w:link w:val="Heading3Char"/>
    <w:unhideWhenUsed/>
    <w:qFormat/>
    <w:rsid w:val="00143E9F"/>
    <w:pPr>
      <w:keepLines/>
      <w:numPr>
        <w:ilvl w:val="2"/>
      </w:numPr>
      <w:ind w:left="1080"/>
      <w:outlineLvl w:val="2"/>
    </w:pPr>
    <w:rPr>
      <w:bCs w:val="0"/>
    </w:rPr>
  </w:style>
  <w:style w:type="paragraph" w:styleId="Heading4">
    <w:name w:val="heading 4"/>
    <w:basedOn w:val="Normal"/>
    <w:next w:val="BodyParagraph"/>
    <w:link w:val="Heading4Char"/>
    <w:uiPriority w:val="9"/>
    <w:unhideWhenUsed/>
    <w:qFormat/>
    <w:rsid w:val="0028429E"/>
    <w:pPr>
      <w:keepNext/>
      <w:keepLines/>
      <w:spacing w:before="200" w:after="0"/>
      <w:ind w:left="360"/>
      <w:outlineLvl w:val="3"/>
    </w:pPr>
    <w:rPr>
      <w:rFonts w:ascii="Calibri" w:eastAsiaTheme="majorEastAsia" w:hAnsi="Calibri" w:cs="Arial"/>
      <w:b/>
      <w:bCs/>
      <w:i/>
      <w:iCs/>
      <w:color w:val="1F497D"/>
      <w:sz w:val="24"/>
    </w:rPr>
  </w:style>
  <w:style w:type="paragraph" w:styleId="Heading5">
    <w:name w:val="heading 5"/>
    <w:basedOn w:val="Normal"/>
    <w:next w:val="Normal"/>
    <w:link w:val="Heading5Char"/>
    <w:uiPriority w:val="9"/>
    <w:unhideWhenUsed/>
    <w:qFormat/>
    <w:rsid w:val="004627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627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627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627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627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B02"/>
    <w:rPr>
      <w:rFonts w:ascii="Tahoma" w:hAnsi="Tahoma" w:cs="Tahoma"/>
      <w:sz w:val="16"/>
      <w:szCs w:val="16"/>
    </w:rPr>
  </w:style>
  <w:style w:type="paragraph" w:customStyle="1" w:styleId="TitleHeader">
    <w:name w:val="Title Header"/>
    <w:qFormat/>
    <w:rsid w:val="002A6B02"/>
    <w:pPr>
      <w:spacing w:after="120" w:line="240" w:lineRule="auto"/>
    </w:pPr>
    <w:rPr>
      <w:rFonts w:ascii="Arial" w:eastAsia="Times New Roman" w:hAnsi="Arial" w:cs="Arial"/>
      <w:b/>
      <w:i/>
      <w:color w:val="FFFFFF"/>
      <w:sz w:val="24"/>
      <w:szCs w:val="24"/>
    </w:rPr>
  </w:style>
  <w:style w:type="paragraph" w:customStyle="1" w:styleId="TitleProposal">
    <w:name w:val="Title Proposal"/>
    <w:qFormat/>
    <w:rsid w:val="00F535B2"/>
    <w:pPr>
      <w:spacing w:after="400" w:line="240" w:lineRule="auto"/>
    </w:pPr>
    <w:rPr>
      <w:rFonts w:ascii="Verdana" w:eastAsia="Times New Roman" w:hAnsi="Verdana" w:cs="Arial"/>
      <w:b/>
      <w:color w:val="FFFFFF"/>
      <w:sz w:val="28"/>
      <w:szCs w:val="28"/>
    </w:rPr>
  </w:style>
  <w:style w:type="paragraph" w:customStyle="1" w:styleId="TitleAddress">
    <w:name w:val="Title Address"/>
    <w:qFormat/>
    <w:rsid w:val="00F535B2"/>
    <w:pPr>
      <w:tabs>
        <w:tab w:val="left" w:pos="3960"/>
      </w:tabs>
      <w:spacing w:after="400" w:line="240" w:lineRule="auto"/>
    </w:pPr>
    <w:rPr>
      <w:rFonts w:ascii="Verdana" w:eastAsia="Times New Roman" w:hAnsi="Verdana" w:cs="Arial"/>
      <w:b/>
      <w:color w:val="FFFFFF"/>
    </w:rPr>
  </w:style>
  <w:style w:type="paragraph" w:styleId="Footer">
    <w:name w:val="footer"/>
    <w:basedOn w:val="Normal"/>
    <w:link w:val="FooterChar"/>
    <w:uiPriority w:val="99"/>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uiPriority w:val="99"/>
    <w:rsid w:val="002A6B02"/>
    <w:rPr>
      <w:rFonts w:ascii="Arial" w:eastAsia="Times New Roman" w:hAnsi="Arial" w:cs="Times New Roman"/>
      <w:szCs w:val="24"/>
    </w:rPr>
  </w:style>
  <w:style w:type="character" w:styleId="PageNumber">
    <w:name w:val="page number"/>
    <w:basedOn w:val="DefaultParagraphFont"/>
    <w:rsid w:val="002A6B02"/>
  </w:style>
  <w:style w:type="paragraph" w:styleId="Header">
    <w:name w:val="header"/>
    <w:basedOn w:val="Normal"/>
    <w:link w:val="HeaderChar"/>
    <w:uiPriority w:val="99"/>
    <w:rsid w:val="000357CA"/>
    <w:pPr>
      <w:pBdr>
        <w:bottom w:val="dotted" w:sz="4" w:space="1" w:color="1F497D"/>
      </w:pBd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0357CA"/>
    <w:rPr>
      <w:rFonts w:ascii="Arial" w:eastAsia="Times New Roman" w:hAnsi="Arial" w:cs="Times New Roman"/>
      <w:szCs w:val="24"/>
    </w:rPr>
  </w:style>
  <w:style w:type="paragraph" w:customStyle="1" w:styleId="PreparedFor">
    <w:name w:val="Prepared For"/>
    <w:rsid w:val="00F535B2"/>
    <w:pPr>
      <w:spacing w:before="400" w:after="120" w:line="240" w:lineRule="auto"/>
      <w:jc w:val="right"/>
    </w:pPr>
    <w:rPr>
      <w:rFonts w:ascii="Verdana" w:eastAsia="Times New Roman" w:hAnsi="Verdana" w:cs="Times New Roman"/>
      <w:i/>
      <w:szCs w:val="20"/>
    </w:rPr>
  </w:style>
  <w:style w:type="paragraph" w:customStyle="1" w:styleId="PreparedForCompany">
    <w:name w:val="Prepared For Company"/>
    <w:basedOn w:val="Normal"/>
    <w:qFormat/>
    <w:rsid w:val="00F535B2"/>
    <w:pPr>
      <w:spacing w:after="0" w:line="240" w:lineRule="auto"/>
      <w:jc w:val="right"/>
    </w:pPr>
    <w:rPr>
      <w:rFonts w:ascii="Verdana" w:eastAsia="Times New Roman" w:hAnsi="Verdana" w:cs="Times New Roman"/>
      <w:szCs w:val="24"/>
    </w:rPr>
  </w:style>
  <w:style w:type="character" w:customStyle="1" w:styleId="Heading1Char">
    <w:name w:val="Heading 1 Char"/>
    <w:basedOn w:val="DefaultParagraphFont"/>
    <w:link w:val="Heading1"/>
    <w:uiPriority w:val="9"/>
    <w:rsid w:val="00143E9F"/>
    <w:rPr>
      <w:rFonts w:eastAsia="Times New Roman" w:cs="Times New Roman"/>
      <w:b/>
      <w:color w:val="1F497D"/>
      <w:sz w:val="28"/>
      <w:szCs w:val="28"/>
    </w:rPr>
  </w:style>
  <w:style w:type="paragraph" w:styleId="TOCHeading">
    <w:name w:val="TOC Heading"/>
    <w:basedOn w:val="Heading1"/>
    <w:next w:val="Normal"/>
    <w:uiPriority w:val="39"/>
    <w:unhideWhenUsed/>
    <w:qFormat/>
    <w:rsid w:val="00F179F1"/>
    <w:pPr>
      <w:spacing w:before="480" w:after="0"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DE2A98"/>
    <w:pPr>
      <w:tabs>
        <w:tab w:val="left" w:pos="360"/>
        <w:tab w:val="left" w:pos="1170"/>
        <w:tab w:val="right" w:leader="dot" w:pos="8460"/>
      </w:tabs>
      <w:spacing w:after="100"/>
    </w:pPr>
    <w:rPr>
      <w:noProof/>
      <w:sz w:val="20"/>
    </w:rPr>
  </w:style>
  <w:style w:type="character" w:styleId="Hyperlink">
    <w:name w:val="Hyperlink"/>
    <w:basedOn w:val="DefaultParagraphFont"/>
    <w:uiPriority w:val="99"/>
    <w:unhideWhenUsed/>
    <w:rsid w:val="00CC0C48"/>
    <w:rPr>
      <w:color w:val="0000FF" w:themeColor="hyperlink"/>
    </w:rPr>
  </w:style>
  <w:style w:type="paragraph" w:customStyle="1" w:styleId="TableofContents">
    <w:name w:val="Table of Contents"/>
    <w:qFormat/>
    <w:rsid w:val="00B5598C"/>
    <w:pPr>
      <w:ind w:left="720"/>
    </w:pPr>
    <w:rPr>
      <w:rFonts w:eastAsia="Times New Roman" w:cs="Times New Roman"/>
      <w:b/>
      <w:color w:val="1F497D"/>
      <w:sz w:val="32"/>
      <w:szCs w:val="24"/>
    </w:rPr>
  </w:style>
  <w:style w:type="character" w:customStyle="1" w:styleId="Heading2Char">
    <w:name w:val="Heading 2 Char"/>
    <w:basedOn w:val="DefaultParagraphFont"/>
    <w:link w:val="Heading2"/>
    <w:rsid w:val="00143E9F"/>
    <w:rPr>
      <w:rFonts w:eastAsiaTheme="majorEastAsia" w:cstheme="majorBidi"/>
      <w:b/>
      <w:bCs/>
      <w:color w:val="1F497D"/>
      <w:sz w:val="26"/>
      <w:szCs w:val="26"/>
    </w:rPr>
  </w:style>
  <w:style w:type="paragraph" w:styleId="TOC2">
    <w:name w:val="toc 2"/>
    <w:basedOn w:val="Normal"/>
    <w:next w:val="Normal"/>
    <w:autoRedefine/>
    <w:uiPriority w:val="39"/>
    <w:unhideWhenUsed/>
    <w:rsid w:val="00E8660E"/>
    <w:pPr>
      <w:tabs>
        <w:tab w:val="left" w:pos="630"/>
        <w:tab w:val="right" w:leader="dot" w:pos="8460"/>
      </w:tabs>
      <w:spacing w:after="100"/>
      <w:ind w:left="180"/>
    </w:pPr>
    <w:rPr>
      <w:noProof/>
      <w:sz w:val="20"/>
    </w:rPr>
  </w:style>
  <w:style w:type="character" w:customStyle="1" w:styleId="Heading3Char">
    <w:name w:val="Heading 3 Char"/>
    <w:basedOn w:val="DefaultParagraphFont"/>
    <w:link w:val="Heading3"/>
    <w:rsid w:val="00143E9F"/>
    <w:rPr>
      <w:rFonts w:eastAsiaTheme="majorEastAsia" w:cstheme="majorBidi"/>
      <w:b/>
      <w:color w:val="1F497D"/>
      <w:sz w:val="26"/>
      <w:szCs w:val="26"/>
    </w:rPr>
  </w:style>
  <w:style w:type="paragraph" w:styleId="TOC3">
    <w:name w:val="toc 3"/>
    <w:basedOn w:val="Normal"/>
    <w:next w:val="Normal"/>
    <w:autoRedefine/>
    <w:uiPriority w:val="39"/>
    <w:unhideWhenUsed/>
    <w:rsid w:val="00F86A7D"/>
    <w:pPr>
      <w:tabs>
        <w:tab w:val="left" w:pos="900"/>
        <w:tab w:val="right" w:leader="dot" w:pos="8460"/>
      </w:tabs>
      <w:spacing w:after="100"/>
      <w:ind w:left="360"/>
    </w:pPr>
    <w:rPr>
      <w:rFonts w:ascii="Calibri" w:hAnsi="Calibri" w:cs="Arial"/>
      <w:noProof/>
      <w:sz w:val="20"/>
      <w:szCs w:val="24"/>
    </w:rPr>
  </w:style>
  <w:style w:type="paragraph" w:customStyle="1" w:styleId="BodyParagraph">
    <w:name w:val="Body Paragraph"/>
    <w:link w:val="BodyParagraphChar"/>
    <w:qFormat/>
    <w:rsid w:val="00143E9F"/>
    <w:pPr>
      <w:spacing w:after="240" w:line="264" w:lineRule="auto"/>
    </w:pPr>
  </w:style>
  <w:style w:type="paragraph" w:customStyle="1" w:styleId="BodyBeforeBullet">
    <w:name w:val="Body Before Bullet"/>
    <w:basedOn w:val="BodyParagraph"/>
    <w:next w:val="Bullets"/>
    <w:qFormat/>
    <w:rsid w:val="00143E9F"/>
    <w:pPr>
      <w:keepNext/>
      <w:spacing w:after="60"/>
    </w:pPr>
  </w:style>
  <w:style w:type="paragraph" w:customStyle="1" w:styleId="Bullets">
    <w:name w:val="Bullets"/>
    <w:basedOn w:val="Normal"/>
    <w:qFormat/>
    <w:rsid w:val="00671DF8"/>
    <w:pPr>
      <w:numPr>
        <w:numId w:val="1"/>
      </w:numPr>
      <w:spacing w:after="120" w:line="240" w:lineRule="auto"/>
    </w:pPr>
    <w:rPr>
      <w:rFonts w:eastAsia="Times New Roman" w:cs="Arial"/>
      <w:szCs w:val="21"/>
    </w:rPr>
  </w:style>
  <w:style w:type="paragraph" w:customStyle="1" w:styleId="BulletLast">
    <w:name w:val="Bullet Last"/>
    <w:basedOn w:val="Bullets"/>
    <w:next w:val="BodyParagraph"/>
    <w:qFormat/>
    <w:rsid w:val="00143E9F"/>
    <w:pPr>
      <w:spacing w:after="240"/>
    </w:pPr>
  </w:style>
  <w:style w:type="paragraph" w:styleId="FootnoteText">
    <w:name w:val="footnote text"/>
    <w:aliases w:val="Footnote Text1 Char,Footnote Text Char Ch"/>
    <w:basedOn w:val="Normal"/>
    <w:link w:val="FootnoteTextChar"/>
    <w:uiPriority w:val="99"/>
    <w:unhideWhenUsed/>
    <w:rsid w:val="00F535B2"/>
    <w:pPr>
      <w:spacing w:after="120" w:line="240" w:lineRule="auto"/>
    </w:pPr>
    <w:rPr>
      <w:rFonts w:ascii="Franklin Gothic Book" w:hAnsi="Franklin Gothic Book"/>
      <w:sz w:val="18"/>
      <w:szCs w:val="20"/>
    </w:rPr>
  </w:style>
  <w:style w:type="character" w:customStyle="1" w:styleId="FootnoteTextChar">
    <w:name w:val="Footnote Text Char"/>
    <w:aliases w:val="Footnote Text1 Char Char,Footnote Text Char Ch Char"/>
    <w:basedOn w:val="DefaultParagraphFont"/>
    <w:link w:val="FootnoteText"/>
    <w:uiPriority w:val="99"/>
    <w:rsid w:val="00F535B2"/>
    <w:rPr>
      <w:rFonts w:ascii="Franklin Gothic Book" w:hAnsi="Franklin Gothic Book"/>
      <w:sz w:val="18"/>
      <w:szCs w:val="20"/>
    </w:rPr>
  </w:style>
  <w:style w:type="character" w:styleId="FootnoteReference">
    <w:name w:val="footnote reference"/>
    <w:basedOn w:val="DefaultParagraphFont"/>
    <w:uiPriority w:val="99"/>
    <w:unhideWhenUsed/>
    <w:rsid w:val="001B352B"/>
    <w:rPr>
      <w:vertAlign w:val="superscript"/>
    </w:rPr>
  </w:style>
  <w:style w:type="paragraph" w:customStyle="1" w:styleId="Footnote">
    <w:name w:val="Footnote"/>
    <w:basedOn w:val="FootnoteText"/>
    <w:qFormat/>
    <w:rsid w:val="00F535B2"/>
  </w:style>
  <w:style w:type="paragraph" w:customStyle="1" w:styleId="TableFigureCaption">
    <w:name w:val="Table Figure Caption"/>
    <w:basedOn w:val="Normal"/>
    <w:next w:val="BodyParaAfterTableFigure"/>
    <w:qFormat/>
    <w:rsid w:val="0028429E"/>
    <w:pPr>
      <w:keepNext/>
      <w:spacing w:after="120" w:line="240" w:lineRule="auto"/>
      <w:jc w:val="center"/>
    </w:pPr>
    <w:rPr>
      <w:rFonts w:ascii="Calibri" w:hAnsi="Calibri"/>
      <w:b/>
    </w:rPr>
  </w:style>
  <w:style w:type="table" w:styleId="TableGrid">
    <w:name w:val="Table Grid"/>
    <w:basedOn w:val="TableNormal"/>
    <w:uiPriority w:val="59"/>
    <w:rsid w:val="001B3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er">
    <w:name w:val="Table Header"/>
    <w:qFormat/>
    <w:rsid w:val="000D7B44"/>
    <w:pPr>
      <w:spacing w:before="100" w:after="100" w:line="240" w:lineRule="auto"/>
      <w:jc w:val="center"/>
    </w:pPr>
    <w:rPr>
      <w:rFonts w:ascii="Calibri" w:hAnsi="Calibri"/>
      <w:b/>
      <w:color w:val="FFFFFF" w:themeColor="background1"/>
      <w:sz w:val="20"/>
    </w:rPr>
  </w:style>
  <w:style w:type="paragraph" w:customStyle="1" w:styleId="TableText">
    <w:name w:val="Table Text"/>
    <w:qFormat/>
    <w:rsid w:val="0028429E"/>
    <w:pPr>
      <w:spacing w:before="60" w:after="60" w:line="240" w:lineRule="auto"/>
      <w:jc w:val="center"/>
    </w:pPr>
    <w:rPr>
      <w:rFonts w:ascii="Calibri" w:hAnsi="Calibri"/>
      <w:sz w:val="20"/>
    </w:rPr>
  </w:style>
  <w:style w:type="paragraph" w:customStyle="1" w:styleId="BodyParaAfterTableFigure">
    <w:name w:val="Body Para After Table Figure"/>
    <w:basedOn w:val="BodyParagraph"/>
    <w:next w:val="BodyParagraph"/>
    <w:qFormat/>
    <w:rsid w:val="00B50663"/>
    <w:pPr>
      <w:spacing w:before="360"/>
    </w:pPr>
  </w:style>
  <w:style w:type="paragraph" w:customStyle="1" w:styleId="AppendixHeading">
    <w:name w:val="Appendix Heading"/>
    <w:basedOn w:val="Heading1"/>
    <w:next w:val="BodyParagraph"/>
    <w:qFormat/>
    <w:rsid w:val="0028429E"/>
    <w:pPr>
      <w:numPr>
        <w:numId w:val="2"/>
      </w:numPr>
    </w:pPr>
  </w:style>
  <w:style w:type="character" w:customStyle="1" w:styleId="Heading4Char">
    <w:name w:val="Heading 4 Char"/>
    <w:basedOn w:val="DefaultParagraphFont"/>
    <w:link w:val="Heading4"/>
    <w:uiPriority w:val="9"/>
    <w:rsid w:val="0028429E"/>
    <w:rPr>
      <w:rFonts w:ascii="Calibri" w:eastAsiaTheme="majorEastAsia" w:hAnsi="Calibri" w:cs="Arial"/>
      <w:b/>
      <w:bCs/>
      <w:i/>
      <w:iCs/>
      <w:color w:val="1F497D"/>
      <w:sz w:val="24"/>
    </w:rPr>
  </w:style>
  <w:style w:type="character" w:customStyle="1" w:styleId="Heading5Char">
    <w:name w:val="Heading 5 Char"/>
    <w:basedOn w:val="DefaultParagraphFont"/>
    <w:link w:val="Heading5"/>
    <w:uiPriority w:val="9"/>
    <w:rsid w:val="0046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627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627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627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6277A"/>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Paragraph"/>
    <w:qFormat/>
    <w:rsid w:val="00143E9F"/>
    <w:pPr>
      <w:keepNext/>
      <w:numPr>
        <w:ilvl w:val="1"/>
        <w:numId w:val="2"/>
      </w:numPr>
      <w:spacing w:after="60" w:line="240" w:lineRule="auto"/>
      <w:ind w:left="540" w:hanging="540"/>
    </w:pPr>
    <w:rPr>
      <w:rFonts w:ascii="Calibri" w:hAnsi="Calibri"/>
      <w:b/>
      <w:color w:val="1F497D"/>
      <w:sz w:val="26"/>
    </w:rPr>
  </w:style>
  <w:style w:type="paragraph" w:customStyle="1" w:styleId="AppendixHeading3">
    <w:name w:val="Appendix Heading 3"/>
    <w:basedOn w:val="Normal"/>
    <w:next w:val="BodyParagraph"/>
    <w:qFormat/>
    <w:rsid w:val="00143E9F"/>
    <w:pPr>
      <w:numPr>
        <w:ilvl w:val="2"/>
        <w:numId w:val="2"/>
      </w:numPr>
      <w:spacing w:after="120" w:line="240" w:lineRule="auto"/>
      <w:ind w:left="720" w:hanging="720"/>
    </w:pPr>
    <w:rPr>
      <w:rFonts w:ascii="Calibri" w:hAnsi="Calibri"/>
      <w:b/>
      <w:color w:val="1F497D"/>
      <w:sz w:val="24"/>
    </w:rPr>
  </w:style>
  <w:style w:type="paragraph" w:customStyle="1" w:styleId="AppendixHeading4">
    <w:name w:val="Appendix Heading 4"/>
    <w:basedOn w:val="BodyParagraph"/>
    <w:next w:val="BodyParagraph"/>
    <w:qFormat/>
    <w:rsid w:val="0028429E"/>
    <w:pPr>
      <w:keepNext/>
      <w:spacing w:after="60" w:line="240" w:lineRule="auto"/>
      <w:ind w:firstLine="360"/>
    </w:pPr>
    <w:rPr>
      <w:b/>
      <w:i/>
      <w:color w:val="1F497D"/>
    </w:rPr>
  </w:style>
  <w:style w:type="paragraph" w:styleId="TOC4">
    <w:name w:val="toc 4"/>
    <w:basedOn w:val="Normal"/>
    <w:next w:val="Normal"/>
    <w:autoRedefine/>
    <w:uiPriority w:val="39"/>
    <w:unhideWhenUsed/>
    <w:rsid w:val="002B07E5"/>
    <w:pPr>
      <w:tabs>
        <w:tab w:val="left" w:pos="1260"/>
        <w:tab w:val="right" w:leader="dot" w:pos="8460"/>
      </w:tabs>
      <w:spacing w:after="100"/>
      <w:ind w:left="660"/>
    </w:pPr>
    <w:rPr>
      <w:rFonts w:ascii="Calibri" w:hAnsi="Calibri" w:cs="Arial"/>
      <w:noProof/>
      <w:sz w:val="20"/>
      <w:szCs w:val="24"/>
    </w:rPr>
  </w:style>
  <w:style w:type="numbering" w:customStyle="1" w:styleId="Numbered">
    <w:name w:val="Numbered"/>
    <w:basedOn w:val="NoList"/>
    <w:uiPriority w:val="99"/>
    <w:rsid w:val="00137F86"/>
    <w:pPr>
      <w:numPr>
        <w:numId w:val="4"/>
      </w:numPr>
    </w:pPr>
  </w:style>
  <w:style w:type="numbering" w:customStyle="1" w:styleId="NumberedSteps">
    <w:name w:val="Numbered Steps"/>
    <w:basedOn w:val="NoList"/>
    <w:uiPriority w:val="99"/>
    <w:rsid w:val="00137F86"/>
    <w:pPr>
      <w:numPr>
        <w:numId w:val="5"/>
      </w:numPr>
    </w:pPr>
  </w:style>
  <w:style w:type="paragraph" w:customStyle="1" w:styleId="Numbers">
    <w:name w:val="Numbers"/>
    <w:qFormat/>
    <w:rsid w:val="003D68A0"/>
    <w:pPr>
      <w:numPr>
        <w:numId w:val="6"/>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rsid w:val="007715BA"/>
    <w:pPr>
      <w:numPr>
        <w:numId w:val="7"/>
      </w:numPr>
      <w:spacing w:after="360"/>
    </w:pPr>
  </w:style>
  <w:style w:type="paragraph" w:customStyle="1" w:styleId="LetterDate">
    <w:name w:val="Letter Date"/>
    <w:next w:val="LetterAddressee"/>
    <w:qFormat/>
    <w:rsid w:val="00EB2941"/>
    <w:pPr>
      <w:spacing w:before="2000" w:line="240" w:lineRule="auto"/>
    </w:pPr>
    <w:rPr>
      <w:rFonts w:ascii="Arial" w:hAnsi="Arial"/>
    </w:rPr>
  </w:style>
  <w:style w:type="paragraph" w:customStyle="1" w:styleId="LetterAddressee">
    <w:name w:val="Letter Addressee"/>
    <w:next w:val="LetterSalutation"/>
    <w:qFormat/>
    <w:rsid w:val="00EB2941"/>
    <w:pPr>
      <w:spacing w:after="0" w:line="240" w:lineRule="auto"/>
    </w:pPr>
    <w:rPr>
      <w:rFonts w:ascii="Arial" w:hAnsi="Arial"/>
    </w:rPr>
  </w:style>
  <w:style w:type="paragraph" w:customStyle="1" w:styleId="LetterSalutation">
    <w:name w:val="Letter Salutation"/>
    <w:next w:val="BodyParagraph"/>
    <w:qFormat/>
    <w:rsid w:val="00EB2941"/>
    <w:pPr>
      <w:spacing w:before="400" w:line="240" w:lineRule="auto"/>
    </w:pPr>
    <w:rPr>
      <w:rFonts w:ascii="Arial" w:hAnsi="Arial"/>
    </w:rPr>
  </w:style>
  <w:style w:type="paragraph" w:customStyle="1" w:styleId="LetterClosing">
    <w:name w:val="Letter Closing"/>
    <w:qFormat/>
    <w:rsid w:val="00EB2941"/>
    <w:pPr>
      <w:spacing w:after="1000" w:line="240" w:lineRule="auto"/>
    </w:pPr>
    <w:rPr>
      <w:rFonts w:ascii="Arial" w:hAnsi="Arial"/>
    </w:rPr>
  </w:style>
  <w:style w:type="paragraph" w:customStyle="1" w:styleId="ProposalTitle">
    <w:name w:val="Proposal Title"/>
    <w:basedOn w:val="Normal"/>
    <w:qFormat/>
    <w:rsid w:val="00D53A09"/>
    <w:pPr>
      <w:tabs>
        <w:tab w:val="left" w:pos="-1440"/>
        <w:tab w:val="left" w:pos="-720"/>
      </w:tabs>
      <w:spacing w:after="0" w:line="240" w:lineRule="atLeast"/>
      <w:ind w:right="-180"/>
      <w:jc w:val="right"/>
    </w:pPr>
    <w:rPr>
      <w:rFonts w:ascii="Calibri" w:eastAsia="Times New Roman" w:hAnsi="Calibri" w:cs="Times New Roman"/>
      <w:b/>
      <w:bCs/>
      <w:color w:val="221E1F"/>
      <w:sz w:val="28"/>
      <w:szCs w:val="28"/>
    </w:rPr>
  </w:style>
  <w:style w:type="character" w:customStyle="1" w:styleId="BodyParagraphChar">
    <w:name w:val="Body Paragraph Char"/>
    <w:basedOn w:val="DefaultParagraphFont"/>
    <w:link w:val="BodyParagraph"/>
    <w:rsid w:val="00322266"/>
  </w:style>
  <w:style w:type="paragraph" w:styleId="ListBullet3">
    <w:name w:val="List Bullet 3"/>
    <w:basedOn w:val="Normal"/>
    <w:uiPriority w:val="99"/>
    <w:unhideWhenUsed/>
    <w:rsid w:val="0039141A"/>
    <w:pPr>
      <w:spacing w:after="120" w:line="240" w:lineRule="auto"/>
      <w:ind w:left="1080" w:hanging="360"/>
      <w:contextualSpacing/>
    </w:pPr>
    <w:rPr>
      <w:rFonts w:eastAsia="Times New Roman" w:cs="Times New Roman"/>
      <w:szCs w:val="20"/>
    </w:rPr>
  </w:style>
  <w:style w:type="character" w:styleId="FollowedHyperlink">
    <w:name w:val="FollowedHyperlink"/>
    <w:basedOn w:val="DefaultParagraphFont"/>
    <w:uiPriority w:val="99"/>
    <w:semiHidden/>
    <w:unhideWhenUsed/>
    <w:rsid w:val="008C2806"/>
    <w:rPr>
      <w:color w:val="800080" w:themeColor="followedHyperlink"/>
      <w:u w:val="single"/>
    </w:rPr>
  </w:style>
  <w:style w:type="paragraph" w:styleId="PlainText">
    <w:name w:val="Plain Text"/>
    <w:basedOn w:val="Normal"/>
    <w:link w:val="PlainTextChar"/>
    <w:uiPriority w:val="99"/>
    <w:semiHidden/>
    <w:unhideWhenUsed/>
    <w:rsid w:val="00D53249"/>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D53249"/>
    <w:rPr>
      <w:rFonts w:ascii="Calibri" w:eastAsiaTheme="minorHAns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BodyParagraph"/>
    <w:link w:val="Heading1Char"/>
    <w:uiPriority w:val="9"/>
    <w:qFormat/>
    <w:rsid w:val="00143E9F"/>
    <w:pPr>
      <w:keepNext/>
      <w:numPr>
        <w:numId w:val="3"/>
      </w:numPr>
      <w:spacing w:after="120" w:line="240" w:lineRule="auto"/>
      <w:outlineLvl w:val="0"/>
    </w:pPr>
    <w:rPr>
      <w:rFonts w:eastAsia="Times New Roman" w:cs="Times New Roman"/>
      <w:b/>
      <w:color w:val="1F497D"/>
      <w:sz w:val="28"/>
      <w:szCs w:val="28"/>
    </w:rPr>
  </w:style>
  <w:style w:type="paragraph" w:styleId="Heading2">
    <w:name w:val="heading 2"/>
    <w:basedOn w:val="Heading1"/>
    <w:next w:val="BodyParagraph"/>
    <w:link w:val="Heading2Char"/>
    <w:unhideWhenUsed/>
    <w:qFormat/>
    <w:rsid w:val="00143E9F"/>
    <w:pPr>
      <w:numPr>
        <w:ilvl w:val="1"/>
      </w:numPr>
      <w:ind w:left="540" w:hanging="540"/>
      <w:outlineLvl w:val="1"/>
    </w:pPr>
    <w:rPr>
      <w:rFonts w:eastAsiaTheme="majorEastAsia" w:cstheme="majorBidi"/>
      <w:bCs/>
      <w:sz w:val="26"/>
      <w:szCs w:val="26"/>
    </w:rPr>
  </w:style>
  <w:style w:type="paragraph" w:styleId="Heading3">
    <w:name w:val="heading 3"/>
    <w:basedOn w:val="Heading2"/>
    <w:next w:val="BodyParagraph"/>
    <w:link w:val="Heading3Char"/>
    <w:unhideWhenUsed/>
    <w:qFormat/>
    <w:rsid w:val="00143E9F"/>
    <w:pPr>
      <w:keepLines/>
      <w:numPr>
        <w:ilvl w:val="2"/>
      </w:numPr>
      <w:ind w:left="1080"/>
      <w:outlineLvl w:val="2"/>
    </w:pPr>
    <w:rPr>
      <w:bCs w:val="0"/>
    </w:rPr>
  </w:style>
  <w:style w:type="paragraph" w:styleId="Heading4">
    <w:name w:val="heading 4"/>
    <w:basedOn w:val="Normal"/>
    <w:next w:val="BodyParagraph"/>
    <w:link w:val="Heading4Char"/>
    <w:uiPriority w:val="9"/>
    <w:unhideWhenUsed/>
    <w:qFormat/>
    <w:rsid w:val="0028429E"/>
    <w:pPr>
      <w:keepNext/>
      <w:keepLines/>
      <w:spacing w:before="200" w:after="0"/>
      <w:ind w:left="360"/>
      <w:outlineLvl w:val="3"/>
    </w:pPr>
    <w:rPr>
      <w:rFonts w:ascii="Calibri" w:eastAsiaTheme="majorEastAsia" w:hAnsi="Calibri" w:cs="Arial"/>
      <w:b/>
      <w:bCs/>
      <w:i/>
      <w:iCs/>
      <w:color w:val="1F497D"/>
      <w:sz w:val="24"/>
    </w:rPr>
  </w:style>
  <w:style w:type="paragraph" w:styleId="Heading5">
    <w:name w:val="heading 5"/>
    <w:basedOn w:val="Normal"/>
    <w:next w:val="Normal"/>
    <w:link w:val="Heading5Char"/>
    <w:uiPriority w:val="9"/>
    <w:unhideWhenUsed/>
    <w:qFormat/>
    <w:rsid w:val="004627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627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627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627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627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6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B02"/>
    <w:rPr>
      <w:rFonts w:ascii="Tahoma" w:hAnsi="Tahoma" w:cs="Tahoma"/>
      <w:sz w:val="16"/>
      <w:szCs w:val="16"/>
    </w:rPr>
  </w:style>
  <w:style w:type="paragraph" w:customStyle="1" w:styleId="TitleHeader">
    <w:name w:val="Title Header"/>
    <w:qFormat/>
    <w:rsid w:val="002A6B02"/>
    <w:pPr>
      <w:spacing w:after="120" w:line="240" w:lineRule="auto"/>
    </w:pPr>
    <w:rPr>
      <w:rFonts w:ascii="Arial" w:eastAsia="Times New Roman" w:hAnsi="Arial" w:cs="Arial"/>
      <w:b/>
      <w:i/>
      <w:color w:val="FFFFFF"/>
      <w:sz w:val="24"/>
      <w:szCs w:val="24"/>
    </w:rPr>
  </w:style>
  <w:style w:type="paragraph" w:customStyle="1" w:styleId="TitleProposal">
    <w:name w:val="Title Proposal"/>
    <w:qFormat/>
    <w:rsid w:val="00F535B2"/>
    <w:pPr>
      <w:spacing w:after="400" w:line="240" w:lineRule="auto"/>
    </w:pPr>
    <w:rPr>
      <w:rFonts w:ascii="Verdana" w:eastAsia="Times New Roman" w:hAnsi="Verdana" w:cs="Arial"/>
      <w:b/>
      <w:color w:val="FFFFFF"/>
      <w:sz w:val="28"/>
      <w:szCs w:val="28"/>
    </w:rPr>
  </w:style>
  <w:style w:type="paragraph" w:customStyle="1" w:styleId="TitleAddress">
    <w:name w:val="Title Address"/>
    <w:qFormat/>
    <w:rsid w:val="00F535B2"/>
    <w:pPr>
      <w:tabs>
        <w:tab w:val="left" w:pos="3960"/>
      </w:tabs>
      <w:spacing w:after="400" w:line="240" w:lineRule="auto"/>
    </w:pPr>
    <w:rPr>
      <w:rFonts w:ascii="Verdana" w:eastAsia="Times New Roman" w:hAnsi="Verdana" w:cs="Arial"/>
      <w:b/>
      <w:color w:val="FFFFFF"/>
    </w:rPr>
  </w:style>
  <w:style w:type="paragraph" w:styleId="Footer">
    <w:name w:val="footer"/>
    <w:basedOn w:val="Normal"/>
    <w:link w:val="FooterChar"/>
    <w:uiPriority w:val="99"/>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uiPriority w:val="99"/>
    <w:rsid w:val="002A6B02"/>
    <w:rPr>
      <w:rFonts w:ascii="Arial" w:eastAsia="Times New Roman" w:hAnsi="Arial" w:cs="Times New Roman"/>
      <w:szCs w:val="24"/>
    </w:rPr>
  </w:style>
  <w:style w:type="character" w:styleId="PageNumber">
    <w:name w:val="page number"/>
    <w:basedOn w:val="DefaultParagraphFont"/>
    <w:rsid w:val="002A6B02"/>
  </w:style>
  <w:style w:type="paragraph" w:styleId="Header">
    <w:name w:val="header"/>
    <w:basedOn w:val="Normal"/>
    <w:link w:val="HeaderChar"/>
    <w:uiPriority w:val="99"/>
    <w:rsid w:val="000357CA"/>
    <w:pPr>
      <w:pBdr>
        <w:bottom w:val="dotted" w:sz="4" w:space="1" w:color="1F497D"/>
      </w:pBd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0357CA"/>
    <w:rPr>
      <w:rFonts w:ascii="Arial" w:eastAsia="Times New Roman" w:hAnsi="Arial" w:cs="Times New Roman"/>
      <w:szCs w:val="24"/>
    </w:rPr>
  </w:style>
  <w:style w:type="paragraph" w:customStyle="1" w:styleId="PreparedFor">
    <w:name w:val="Prepared For"/>
    <w:rsid w:val="00F535B2"/>
    <w:pPr>
      <w:spacing w:before="400" w:after="120" w:line="240" w:lineRule="auto"/>
      <w:jc w:val="right"/>
    </w:pPr>
    <w:rPr>
      <w:rFonts w:ascii="Verdana" w:eastAsia="Times New Roman" w:hAnsi="Verdana" w:cs="Times New Roman"/>
      <w:i/>
      <w:szCs w:val="20"/>
    </w:rPr>
  </w:style>
  <w:style w:type="paragraph" w:customStyle="1" w:styleId="PreparedForCompany">
    <w:name w:val="Prepared For Company"/>
    <w:basedOn w:val="Normal"/>
    <w:qFormat/>
    <w:rsid w:val="00F535B2"/>
    <w:pPr>
      <w:spacing w:after="0" w:line="240" w:lineRule="auto"/>
      <w:jc w:val="right"/>
    </w:pPr>
    <w:rPr>
      <w:rFonts w:ascii="Verdana" w:eastAsia="Times New Roman" w:hAnsi="Verdana" w:cs="Times New Roman"/>
      <w:szCs w:val="24"/>
    </w:rPr>
  </w:style>
  <w:style w:type="character" w:customStyle="1" w:styleId="Heading1Char">
    <w:name w:val="Heading 1 Char"/>
    <w:basedOn w:val="DefaultParagraphFont"/>
    <w:link w:val="Heading1"/>
    <w:uiPriority w:val="9"/>
    <w:rsid w:val="00143E9F"/>
    <w:rPr>
      <w:rFonts w:eastAsia="Times New Roman" w:cs="Times New Roman"/>
      <w:b/>
      <w:color w:val="1F497D"/>
      <w:sz w:val="28"/>
      <w:szCs w:val="28"/>
    </w:rPr>
  </w:style>
  <w:style w:type="paragraph" w:styleId="TOCHeading">
    <w:name w:val="TOC Heading"/>
    <w:basedOn w:val="Heading1"/>
    <w:next w:val="Normal"/>
    <w:uiPriority w:val="39"/>
    <w:unhideWhenUsed/>
    <w:qFormat/>
    <w:rsid w:val="00F179F1"/>
    <w:pPr>
      <w:spacing w:before="480" w:after="0"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DE2A98"/>
    <w:pPr>
      <w:tabs>
        <w:tab w:val="left" w:pos="360"/>
        <w:tab w:val="left" w:pos="1170"/>
        <w:tab w:val="right" w:leader="dot" w:pos="8460"/>
      </w:tabs>
      <w:spacing w:after="100"/>
    </w:pPr>
    <w:rPr>
      <w:noProof/>
      <w:sz w:val="20"/>
    </w:rPr>
  </w:style>
  <w:style w:type="character" w:styleId="Hyperlink">
    <w:name w:val="Hyperlink"/>
    <w:basedOn w:val="DefaultParagraphFont"/>
    <w:uiPriority w:val="99"/>
    <w:unhideWhenUsed/>
    <w:rsid w:val="00CC0C48"/>
    <w:rPr>
      <w:color w:val="0000FF" w:themeColor="hyperlink"/>
    </w:rPr>
  </w:style>
  <w:style w:type="paragraph" w:customStyle="1" w:styleId="TableofContents">
    <w:name w:val="Table of Contents"/>
    <w:qFormat/>
    <w:rsid w:val="00B5598C"/>
    <w:pPr>
      <w:ind w:left="720"/>
    </w:pPr>
    <w:rPr>
      <w:rFonts w:eastAsia="Times New Roman" w:cs="Times New Roman"/>
      <w:b/>
      <w:color w:val="1F497D"/>
      <w:sz w:val="32"/>
      <w:szCs w:val="24"/>
    </w:rPr>
  </w:style>
  <w:style w:type="character" w:customStyle="1" w:styleId="Heading2Char">
    <w:name w:val="Heading 2 Char"/>
    <w:basedOn w:val="DefaultParagraphFont"/>
    <w:link w:val="Heading2"/>
    <w:rsid w:val="00143E9F"/>
    <w:rPr>
      <w:rFonts w:eastAsiaTheme="majorEastAsia" w:cstheme="majorBidi"/>
      <w:b/>
      <w:bCs/>
      <w:color w:val="1F497D"/>
      <w:sz w:val="26"/>
      <w:szCs w:val="26"/>
    </w:rPr>
  </w:style>
  <w:style w:type="paragraph" w:styleId="TOC2">
    <w:name w:val="toc 2"/>
    <w:basedOn w:val="Normal"/>
    <w:next w:val="Normal"/>
    <w:autoRedefine/>
    <w:uiPriority w:val="39"/>
    <w:unhideWhenUsed/>
    <w:rsid w:val="00E8660E"/>
    <w:pPr>
      <w:tabs>
        <w:tab w:val="left" w:pos="630"/>
        <w:tab w:val="right" w:leader="dot" w:pos="8460"/>
      </w:tabs>
      <w:spacing w:after="100"/>
      <w:ind w:left="180"/>
    </w:pPr>
    <w:rPr>
      <w:noProof/>
      <w:sz w:val="20"/>
    </w:rPr>
  </w:style>
  <w:style w:type="character" w:customStyle="1" w:styleId="Heading3Char">
    <w:name w:val="Heading 3 Char"/>
    <w:basedOn w:val="DefaultParagraphFont"/>
    <w:link w:val="Heading3"/>
    <w:rsid w:val="00143E9F"/>
    <w:rPr>
      <w:rFonts w:eastAsiaTheme="majorEastAsia" w:cstheme="majorBidi"/>
      <w:b/>
      <w:color w:val="1F497D"/>
      <w:sz w:val="26"/>
      <w:szCs w:val="26"/>
    </w:rPr>
  </w:style>
  <w:style w:type="paragraph" w:styleId="TOC3">
    <w:name w:val="toc 3"/>
    <w:basedOn w:val="Normal"/>
    <w:next w:val="Normal"/>
    <w:autoRedefine/>
    <w:uiPriority w:val="39"/>
    <w:unhideWhenUsed/>
    <w:rsid w:val="00F86A7D"/>
    <w:pPr>
      <w:tabs>
        <w:tab w:val="left" w:pos="900"/>
        <w:tab w:val="right" w:leader="dot" w:pos="8460"/>
      </w:tabs>
      <w:spacing w:after="100"/>
      <w:ind w:left="360"/>
    </w:pPr>
    <w:rPr>
      <w:rFonts w:ascii="Calibri" w:hAnsi="Calibri" w:cs="Arial"/>
      <w:noProof/>
      <w:sz w:val="20"/>
      <w:szCs w:val="24"/>
    </w:rPr>
  </w:style>
  <w:style w:type="paragraph" w:customStyle="1" w:styleId="BodyParagraph">
    <w:name w:val="Body Paragraph"/>
    <w:link w:val="BodyParagraphChar"/>
    <w:qFormat/>
    <w:rsid w:val="00143E9F"/>
    <w:pPr>
      <w:spacing w:after="240" w:line="264" w:lineRule="auto"/>
    </w:pPr>
  </w:style>
  <w:style w:type="paragraph" w:customStyle="1" w:styleId="BodyBeforeBullet">
    <w:name w:val="Body Before Bullet"/>
    <w:basedOn w:val="BodyParagraph"/>
    <w:next w:val="Bullets"/>
    <w:qFormat/>
    <w:rsid w:val="00143E9F"/>
    <w:pPr>
      <w:keepNext/>
      <w:spacing w:after="60"/>
    </w:pPr>
  </w:style>
  <w:style w:type="paragraph" w:customStyle="1" w:styleId="Bullets">
    <w:name w:val="Bullets"/>
    <w:basedOn w:val="Normal"/>
    <w:qFormat/>
    <w:rsid w:val="00671DF8"/>
    <w:pPr>
      <w:numPr>
        <w:numId w:val="1"/>
      </w:numPr>
      <w:spacing w:after="120" w:line="240" w:lineRule="auto"/>
    </w:pPr>
    <w:rPr>
      <w:rFonts w:eastAsia="Times New Roman" w:cs="Arial"/>
      <w:szCs w:val="21"/>
    </w:rPr>
  </w:style>
  <w:style w:type="paragraph" w:customStyle="1" w:styleId="BulletLast">
    <w:name w:val="Bullet Last"/>
    <w:basedOn w:val="Bullets"/>
    <w:next w:val="BodyParagraph"/>
    <w:qFormat/>
    <w:rsid w:val="00143E9F"/>
    <w:pPr>
      <w:spacing w:after="240"/>
    </w:pPr>
  </w:style>
  <w:style w:type="paragraph" w:styleId="FootnoteText">
    <w:name w:val="footnote text"/>
    <w:aliases w:val="Footnote Text1 Char,Footnote Text Char Ch"/>
    <w:basedOn w:val="Normal"/>
    <w:link w:val="FootnoteTextChar"/>
    <w:uiPriority w:val="99"/>
    <w:unhideWhenUsed/>
    <w:rsid w:val="00F535B2"/>
    <w:pPr>
      <w:spacing w:after="120" w:line="240" w:lineRule="auto"/>
    </w:pPr>
    <w:rPr>
      <w:rFonts w:ascii="Franklin Gothic Book" w:hAnsi="Franklin Gothic Book"/>
      <w:sz w:val="18"/>
      <w:szCs w:val="20"/>
    </w:rPr>
  </w:style>
  <w:style w:type="character" w:customStyle="1" w:styleId="FootnoteTextChar">
    <w:name w:val="Footnote Text Char"/>
    <w:aliases w:val="Footnote Text1 Char Char,Footnote Text Char Ch Char"/>
    <w:basedOn w:val="DefaultParagraphFont"/>
    <w:link w:val="FootnoteText"/>
    <w:uiPriority w:val="99"/>
    <w:rsid w:val="00F535B2"/>
    <w:rPr>
      <w:rFonts w:ascii="Franklin Gothic Book" w:hAnsi="Franklin Gothic Book"/>
      <w:sz w:val="18"/>
      <w:szCs w:val="20"/>
    </w:rPr>
  </w:style>
  <w:style w:type="character" w:styleId="FootnoteReference">
    <w:name w:val="footnote reference"/>
    <w:basedOn w:val="DefaultParagraphFont"/>
    <w:uiPriority w:val="99"/>
    <w:unhideWhenUsed/>
    <w:rsid w:val="001B352B"/>
    <w:rPr>
      <w:vertAlign w:val="superscript"/>
    </w:rPr>
  </w:style>
  <w:style w:type="paragraph" w:customStyle="1" w:styleId="Footnote">
    <w:name w:val="Footnote"/>
    <w:basedOn w:val="FootnoteText"/>
    <w:qFormat/>
    <w:rsid w:val="00F535B2"/>
  </w:style>
  <w:style w:type="paragraph" w:customStyle="1" w:styleId="TableFigureCaption">
    <w:name w:val="Table Figure Caption"/>
    <w:basedOn w:val="Normal"/>
    <w:next w:val="BodyParaAfterTableFigure"/>
    <w:qFormat/>
    <w:rsid w:val="0028429E"/>
    <w:pPr>
      <w:keepNext/>
      <w:spacing w:after="120" w:line="240" w:lineRule="auto"/>
      <w:jc w:val="center"/>
    </w:pPr>
    <w:rPr>
      <w:rFonts w:ascii="Calibri" w:hAnsi="Calibri"/>
      <w:b/>
    </w:rPr>
  </w:style>
  <w:style w:type="table" w:styleId="TableGrid">
    <w:name w:val="Table Grid"/>
    <w:basedOn w:val="TableNormal"/>
    <w:uiPriority w:val="59"/>
    <w:rsid w:val="001B3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er">
    <w:name w:val="Table Header"/>
    <w:qFormat/>
    <w:rsid w:val="000D7B44"/>
    <w:pPr>
      <w:spacing w:before="100" w:after="100" w:line="240" w:lineRule="auto"/>
      <w:jc w:val="center"/>
    </w:pPr>
    <w:rPr>
      <w:rFonts w:ascii="Calibri" w:hAnsi="Calibri"/>
      <w:b/>
      <w:color w:val="FFFFFF" w:themeColor="background1"/>
      <w:sz w:val="20"/>
    </w:rPr>
  </w:style>
  <w:style w:type="paragraph" w:customStyle="1" w:styleId="TableText">
    <w:name w:val="Table Text"/>
    <w:qFormat/>
    <w:rsid w:val="0028429E"/>
    <w:pPr>
      <w:spacing w:before="60" w:after="60" w:line="240" w:lineRule="auto"/>
      <w:jc w:val="center"/>
    </w:pPr>
    <w:rPr>
      <w:rFonts w:ascii="Calibri" w:hAnsi="Calibri"/>
      <w:sz w:val="20"/>
    </w:rPr>
  </w:style>
  <w:style w:type="paragraph" w:customStyle="1" w:styleId="BodyParaAfterTableFigure">
    <w:name w:val="Body Para After Table Figure"/>
    <w:basedOn w:val="BodyParagraph"/>
    <w:next w:val="BodyParagraph"/>
    <w:qFormat/>
    <w:rsid w:val="00B50663"/>
    <w:pPr>
      <w:spacing w:before="360"/>
    </w:pPr>
  </w:style>
  <w:style w:type="paragraph" w:customStyle="1" w:styleId="AppendixHeading">
    <w:name w:val="Appendix Heading"/>
    <w:basedOn w:val="Heading1"/>
    <w:next w:val="BodyParagraph"/>
    <w:qFormat/>
    <w:rsid w:val="0028429E"/>
    <w:pPr>
      <w:numPr>
        <w:numId w:val="2"/>
      </w:numPr>
    </w:pPr>
  </w:style>
  <w:style w:type="character" w:customStyle="1" w:styleId="Heading4Char">
    <w:name w:val="Heading 4 Char"/>
    <w:basedOn w:val="DefaultParagraphFont"/>
    <w:link w:val="Heading4"/>
    <w:uiPriority w:val="9"/>
    <w:rsid w:val="0028429E"/>
    <w:rPr>
      <w:rFonts w:ascii="Calibri" w:eastAsiaTheme="majorEastAsia" w:hAnsi="Calibri" w:cs="Arial"/>
      <w:b/>
      <w:bCs/>
      <w:i/>
      <w:iCs/>
      <w:color w:val="1F497D"/>
      <w:sz w:val="24"/>
    </w:rPr>
  </w:style>
  <w:style w:type="character" w:customStyle="1" w:styleId="Heading5Char">
    <w:name w:val="Heading 5 Char"/>
    <w:basedOn w:val="DefaultParagraphFont"/>
    <w:link w:val="Heading5"/>
    <w:uiPriority w:val="9"/>
    <w:rsid w:val="0046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627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627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627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6277A"/>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Paragraph"/>
    <w:qFormat/>
    <w:rsid w:val="00143E9F"/>
    <w:pPr>
      <w:keepNext/>
      <w:numPr>
        <w:ilvl w:val="1"/>
        <w:numId w:val="2"/>
      </w:numPr>
      <w:spacing w:after="60" w:line="240" w:lineRule="auto"/>
      <w:ind w:left="540" w:hanging="540"/>
    </w:pPr>
    <w:rPr>
      <w:rFonts w:ascii="Calibri" w:hAnsi="Calibri"/>
      <w:b/>
      <w:color w:val="1F497D"/>
      <w:sz w:val="26"/>
    </w:rPr>
  </w:style>
  <w:style w:type="paragraph" w:customStyle="1" w:styleId="AppendixHeading3">
    <w:name w:val="Appendix Heading 3"/>
    <w:basedOn w:val="Normal"/>
    <w:next w:val="BodyParagraph"/>
    <w:qFormat/>
    <w:rsid w:val="00143E9F"/>
    <w:pPr>
      <w:numPr>
        <w:ilvl w:val="2"/>
        <w:numId w:val="2"/>
      </w:numPr>
      <w:spacing w:after="120" w:line="240" w:lineRule="auto"/>
      <w:ind w:left="720" w:hanging="720"/>
    </w:pPr>
    <w:rPr>
      <w:rFonts w:ascii="Calibri" w:hAnsi="Calibri"/>
      <w:b/>
      <w:color w:val="1F497D"/>
      <w:sz w:val="24"/>
    </w:rPr>
  </w:style>
  <w:style w:type="paragraph" w:customStyle="1" w:styleId="AppendixHeading4">
    <w:name w:val="Appendix Heading 4"/>
    <w:basedOn w:val="BodyParagraph"/>
    <w:next w:val="BodyParagraph"/>
    <w:qFormat/>
    <w:rsid w:val="0028429E"/>
    <w:pPr>
      <w:keepNext/>
      <w:spacing w:after="60" w:line="240" w:lineRule="auto"/>
      <w:ind w:firstLine="360"/>
    </w:pPr>
    <w:rPr>
      <w:b/>
      <w:i/>
      <w:color w:val="1F497D"/>
    </w:rPr>
  </w:style>
  <w:style w:type="paragraph" w:styleId="TOC4">
    <w:name w:val="toc 4"/>
    <w:basedOn w:val="Normal"/>
    <w:next w:val="Normal"/>
    <w:autoRedefine/>
    <w:uiPriority w:val="39"/>
    <w:unhideWhenUsed/>
    <w:rsid w:val="002B07E5"/>
    <w:pPr>
      <w:tabs>
        <w:tab w:val="left" w:pos="1260"/>
        <w:tab w:val="right" w:leader="dot" w:pos="8460"/>
      </w:tabs>
      <w:spacing w:after="100"/>
      <w:ind w:left="660"/>
    </w:pPr>
    <w:rPr>
      <w:rFonts w:ascii="Calibri" w:hAnsi="Calibri" w:cs="Arial"/>
      <w:noProof/>
      <w:sz w:val="20"/>
      <w:szCs w:val="24"/>
    </w:rPr>
  </w:style>
  <w:style w:type="numbering" w:customStyle="1" w:styleId="Numbered">
    <w:name w:val="Numbered"/>
    <w:basedOn w:val="NoList"/>
    <w:uiPriority w:val="99"/>
    <w:rsid w:val="00137F86"/>
    <w:pPr>
      <w:numPr>
        <w:numId w:val="4"/>
      </w:numPr>
    </w:pPr>
  </w:style>
  <w:style w:type="numbering" w:customStyle="1" w:styleId="NumberedSteps">
    <w:name w:val="Numbered Steps"/>
    <w:basedOn w:val="NoList"/>
    <w:uiPriority w:val="99"/>
    <w:rsid w:val="00137F86"/>
    <w:pPr>
      <w:numPr>
        <w:numId w:val="5"/>
      </w:numPr>
    </w:pPr>
  </w:style>
  <w:style w:type="paragraph" w:customStyle="1" w:styleId="Numbers">
    <w:name w:val="Numbers"/>
    <w:qFormat/>
    <w:rsid w:val="003D68A0"/>
    <w:pPr>
      <w:numPr>
        <w:numId w:val="6"/>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rsid w:val="007715BA"/>
    <w:pPr>
      <w:numPr>
        <w:numId w:val="7"/>
      </w:numPr>
      <w:spacing w:after="360"/>
    </w:pPr>
  </w:style>
  <w:style w:type="paragraph" w:customStyle="1" w:styleId="LetterDate">
    <w:name w:val="Letter Date"/>
    <w:next w:val="LetterAddressee"/>
    <w:qFormat/>
    <w:rsid w:val="00EB2941"/>
    <w:pPr>
      <w:spacing w:before="2000" w:line="240" w:lineRule="auto"/>
    </w:pPr>
    <w:rPr>
      <w:rFonts w:ascii="Arial" w:hAnsi="Arial"/>
    </w:rPr>
  </w:style>
  <w:style w:type="paragraph" w:customStyle="1" w:styleId="LetterAddressee">
    <w:name w:val="Letter Addressee"/>
    <w:next w:val="LetterSalutation"/>
    <w:qFormat/>
    <w:rsid w:val="00EB2941"/>
    <w:pPr>
      <w:spacing w:after="0" w:line="240" w:lineRule="auto"/>
    </w:pPr>
    <w:rPr>
      <w:rFonts w:ascii="Arial" w:hAnsi="Arial"/>
    </w:rPr>
  </w:style>
  <w:style w:type="paragraph" w:customStyle="1" w:styleId="LetterSalutation">
    <w:name w:val="Letter Salutation"/>
    <w:next w:val="BodyParagraph"/>
    <w:qFormat/>
    <w:rsid w:val="00EB2941"/>
    <w:pPr>
      <w:spacing w:before="400" w:line="240" w:lineRule="auto"/>
    </w:pPr>
    <w:rPr>
      <w:rFonts w:ascii="Arial" w:hAnsi="Arial"/>
    </w:rPr>
  </w:style>
  <w:style w:type="paragraph" w:customStyle="1" w:styleId="LetterClosing">
    <w:name w:val="Letter Closing"/>
    <w:qFormat/>
    <w:rsid w:val="00EB2941"/>
    <w:pPr>
      <w:spacing w:after="1000" w:line="240" w:lineRule="auto"/>
    </w:pPr>
    <w:rPr>
      <w:rFonts w:ascii="Arial" w:hAnsi="Arial"/>
    </w:rPr>
  </w:style>
  <w:style w:type="paragraph" w:customStyle="1" w:styleId="ProposalTitle">
    <w:name w:val="Proposal Title"/>
    <w:basedOn w:val="Normal"/>
    <w:qFormat/>
    <w:rsid w:val="00D53A09"/>
    <w:pPr>
      <w:tabs>
        <w:tab w:val="left" w:pos="-1440"/>
        <w:tab w:val="left" w:pos="-720"/>
      </w:tabs>
      <w:spacing w:after="0" w:line="240" w:lineRule="atLeast"/>
      <w:ind w:right="-180"/>
      <w:jc w:val="right"/>
    </w:pPr>
    <w:rPr>
      <w:rFonts w:ascii="Calibri" w:eastAsia="Times New Roman" w:hAnsi="Calibri" w:cs="Times New Roman"/>
      <w:b/>
      <w:bCs/>
      <w:color w:val="221E1F"/>
      <w:sz w:val="28"/>
      <w:szCs w:val="28"/>
    </w:rPr>
  </w:style>
  <w:style w:type="character" w:customStyle="1" w:styleId="BodyParagraphChar">
    <w:name w:val="Body Paragraph Char"/>
    <w:basedOn w:val="DefaultParagraphFont"/>
    <w:link w:val="BodyParagraph"/>
    <w:rsid w:val="00322266"/>
  </w:style>
  <w:style w:type="paragraph" w:styleId="ListBullet3">
    <w:name w:val="List Bullet 3"/>
    <w:basedOn w:val="Normal"/>
    <w:uiPriority w:val="99"/>
    <w:unhideWhenUsed/>
    <w:rsid w:val="0039141A"/>
    <w:pPr>
      <w:spacing w:after="120" w:line="240" w:lineRule="auto"/>
      <w:ind w:left="1080" w:hanging="360"/>
      <w:contextualSpacing/>
    </w:pPr>
    <w:rPr>
      <w:rFonts w:eastAsia="Times New Roman" w:cs="Times New Roman"/>
      <w:szCs w:val="20"/>
    </w:rPr>
  </w:style>
  <w:style w:type="character" w:styleId="FollowedHyperlink">
    <w:name w:val="FollowedHyperlink"/>
    <w:basedOn w:val="DefaultParagraphFont"/>
    <w:uiPriority w:val="99"/>
    <w:semiHidden/>
    <w:unhideWhenUsed/>
    <w:rsid w:val="008C2806"/>
    <w:rPr>
      <w:color w:val="800080" w:themeColor="followedHyperlink"/>
      <w:u w:val="single"/>
    </w:rPr>
  </w:style>
  <w:style w:type="paragraph" w:styleId="PlainText">
    <w:name w:val="Plain Text"/>
    <w:basedOn w:val="Normal"/>
    <w:link w:val="PlainTextChar"/>
    <w:uiPriority w:val="99"/>
    <w:semiHidden/>
    <w:unhideWhenUsed/>
    <w:rsid w:val="00D53249"/>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D53249"/>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64542">
      <w:bodyDiv w:val="1"/>
      <w:marLeft w:val="0"/>
      <w:marRight w:val="0"/>
      <w:marTop w:val="0"/>
      <w:marBottom w:val="0"/>
      <w:divBdr>
        <w:top w:val="none" w:sz="0" w:space="0" w:color="auto"/>
        <w:left w:val="none" w:sz="0" w:space="0" w:color="auto"/>
        <w:bottom w:val="none" w:sz="0" w:space="0" w:color="auto"/>
        <w:right w:val="none" w:sz="0" w:space="0" w:color="auto"/>
      </w:divBdr>
    </w:div>
    <w:div w:id="256526660">
      <w:bodyDiv w:val="1"/>
      <w:marLeft w:val="0"/>
      <w:marRight w:val="0"/>
      <w:marTop w:val="0"/>
      <w:marBottom w:val="0"/>
      <w:divBdr>
        <w:top w:val="none" w:sz="0" w:space="0" w:color="auto"/>
        <w:left w:val="none" w:sz="0" w:space="0" w:color="auto"/>
        <w:bottom w:val="none" w:sz="0" w:space="0" w:color="auto"/>
        <w:right w:val="none" w:sz="0" w:space="0" w:color="auto"/>
      </w:divBdr>
    </w:div>
    <w:div w:id="308561883">
      <w:bodyDiv w:val="1"/>
      <w:marLeft w:val="0"/>
      <w:marRight w:val="0"/>
      <w:marTop w:val="0"/>
      <w:marBottom w:val="0"/>
      <w:divBdr>
        <w:top w:val="none" w:sz="0" w:space="0" w:color="auto"/>
        <w:left w:val="none" w:sz="0" w:space="0" w:color="auto"/>
        <w:bottom w:val="none" w:sz="0" w:space="0" w:color="auto"/>
        <w:right w:val="none" w:sz="0" w:space="0" w:color="auto"/>
      </w:divBdr>
    </w:div>
    <w:div w:id="322396584">
      <w:bodyDiv w:val="1"/>
      <w:marLeft w:val="0"/>
      <w:marRight w:val="0"/>
      <w:marTop w:val="0"/>
      <w:marBottom w:val="0"/>
      <w:divBdr>
        <w:top w:val="none" w:sz="0" w:space="0" w:color="auto"/>
        <w:left w:val="none" w:sz="0" w:space="0" w:color="auto"/>
        <w:bottom w:val="none" w:sz="0" w:space="0" w:color="auto"/>
        <w:right w:val="none" w:sz="0" w:space="0" w:color="auto"/>
      </w:divBdr>
    </w:div>
    <w:div w:id="356348378">
      <w:bodyDiv w:val="1"/>
      <w:marLeft w:val="0"/>
      <w:marRight w:val="0"/>
      <w:marTop w:val="0"/>
      <w:marBottom w:val="0"/>
      <w:divBdr>
        <w:top w:val="none" w:sz="0" w:space="0" w:color="auto"/>
        <w:left w:val="none" w:sz="0" w:space="0" w:color="auto"/>
        <w:bottom w:val="none" w:sz="0" w:space="0" w:color="auto"/>
        <w:right w:val="none" w:sz="0" w:space="0" w:color="auto"/>
      </w:divBdr>
    </w:div>
    <w:div w:id="678773218">
      <w:bodyDiv w:val="1"/>
      <w:marLeft w:val="0"/>
      <w:marRight w:val="0"/>
      <w:marTop w:val="0"/>
      <w:marBottom w:val="0"/>
      <w:divBdr>
        <w:top w:val="none" w:sz="0" w:space="0" w:color="auto"/>
        <w:left w:val="none" w:sz="0" w:space="0" w:color="auto"/>
        <w:bottom w:val="none" w:sz="0" w:space="0" w:color="auto"/>
        <w:right w:val="none" w:sz="0" w:space="0" w:color="auto"/>
      </w:divBdr>
    </w:div>
    <w:div w:id="688455702">
      <w:bodyDiv w:val="1"/>
      <w:marLeft w:val="0"/>
      <w:marRight w:val="0"/>
      <w:marTop w:val="0"/>
      <w:marBottom w:val="0"/>
      <w:divBdr>
        <w:top w:val="none" w:sz="0" w:space="0" w:color="auto"/>
        <w:left w:val="none" w:sz="0" w:space="0" w:color="auto"/>
        <w:bottom w:val="none" w:sz="0" w:space="0" w:color="auto"/>
        <w:right w:val="none" w:sz="0" w:space="0" w:color="auto"/>
      </w:divBdr>
    </w:div>
    <w:div w:id="719478333">
      <w:bodyDiv w:val="1"/>
      <w:marLeft w:val="0"/>
      <w:marRight w:val="0"/>
      <w:marTop w:val="0"/>
      <w:marBottom w:val="0"/>
      <w:divBdr>
        <w:top w:val="none" w:sz="0" w:space="0" w:color="auto"/>
        <w:left w:val="none" w:sz="0" w:space="0" w:color="auto"/>
        <w:bottom w:val="none" w:sz="0" w:space="0" w:color="auto"/>
        <w:right w:val="none" w:sz="0" w:space="0" w:color="auto"/>
      </w:divBdr>
    </w:div>
    <w:div w:id="771315613">
      <w:bodyDiv w:val="1"/>
      <w:marLeft w:val="0"/>
      <w:marRight w:val="0"/>
      <w:marTop w:val="0"/>
      <w:marBottom w:val="0"/>
      <w:divBdr>
        <w:top w:val="none" w:sz="0" w:space="0" w:color="auto"/>
        <w:left w:val="none" w:sz="0" w:space="0" w:color="auto"/>
        <w:bottom w:val="none" w:sz="0" w:space="0" w:color="auto"/>
        <w:right w:val="none" w:sz="0" w:space="0" w:color="auto"/>
      </w:divBdr>
    </w:div>
    <w:div w:id="838692633">
      <w:bodyDiv w:val="1"/>
      <w:marLeft w:val="0"/>
      <w:marRight w:val="0"/>
      <w:marTop w:val="0"/>
      <w:marBottom w:val="0"/>
      <w:divBdr>
        <w:top w:val="none" w:sz="0" w:space="0" w:color="auto"/>
        <w:left w:val="none" w:sz="0" w:space="0" w:color="auto"/>
        <w:bottom w:val="none" w:sz="0" w:space="0" w:color="auto"/>
        <w:right w:val="none" w:sz="0" w:space="0" w:color="auto"/>
      </w:divBdr>
    </w:div>
    <w:div w:id="863400615">
      <w:bodyDiv w:val="1"/>
      <w:marLeft w:val="0"/>
      <w:marRight w:val="0"/>
      <w:marTop w:val="0"/>
      <w:marBottom w:val="0"/>
      <w:divBdr>
        <w:top w:val="none" w:sz="0" w:space="0" w:color="auto"/>
        <w:left w:val="none" w:sz="0" w:space="0" w:color="auto"/>
        <w:bottom w:val="none" w:sz="0" w:space="0" w:color="auto"/>
        <w:right w:val="none" w:sz="0" w:space="0" w:color="auto"/>
      </w:divBdr>
    </w:div>
    <w:div w:id="900562740">
      <w:bodyDiv w:val="1"/>
      <w:marLeft w:val="0"/>
      <w:marRight w:val="0"/>
      <w:marTop w:val="0"/>
      <w:marBottom w:val="0"/>
      <w:divBdr>
        <w:top w:val="none" w:sz="0" w:space="0" w:color="auto"/>
        <w:left w:val="none" w:sz="0" w:space="0" w:color="auto"/>
        <w:bottom w:val="none" w:sz="0" w:space="0" w:color="auto"/>
        <w:right w:val="none" w:sz="0" w:space="0" w:color="auto"/>
      </w:divBdr>
    </w:div>
    <w:div w:id="912200308">
      <w:bodyDiv w:val="1"/>
      <w:marLeft w:val="0"/>
      <w:marRight w:val="0"/>
      <w:marTop w:val="0"/>
      <w:marBottom w:val="0"/>
      <w:divBdr>
        <w:top w:val="none" w:sz="0" w:space="0" w:color="auto"/>
        <w:left w:val="none" w:sz="0" w:space="0" w:color="auto"/>
        <w:bottom w:val="none" w:sz="0" w:space="0" w:color="auto"/>
        <w:right w:val="none" w:sz="0" w:space="0" w:color="auto"/>
      </w:divBdr>
    </w:div>
    <w:div w:id="969357111">
      <w:bodyDiv w:val="1"/>
      <w:marLeft w:val="0"/>
      <w:marRight w:val="0"/>
      <w:marTop w:val="0"/>
      <w:marBottom w:val="0"/>
      <w:divBdr>
        <w:top w:val="none" w:sz="0" w:space="0" w:color="auto"/>
        <w:left w:val="none" w:sz="0" w:space="0" w:color="auto"/>
        <w:bottom w:val="none" w:sz="0" w:space="0" w:color="auto"/>
        <w:right w:val="none" w:sz="0" w:space="0" w:color="auto"/>
      </w:divBdr>
    </w:div>
    <w:div w:id="1090540238">
      <w:bodyDiv w:val="1"/>
      <w:marLeft w:val="0"/>
      <w:marRight w:val="0"/>
      <w:marTop w:val="0"/>
      <w:marBottom w:val="0"/>
      <w:divBdr>
        <w:top w:val="none" w:sz="0" w:space="0" w:color="auto"/>
        <w:left w:val="none" w:sz="0" w:space="0" w:color="auto"/>
        <w:bottom w:val="none" w:sz="0" w:space="0" w:color="auto"/>
        <w:right w:val="none" w:sz="0" w:space="0" w:color="auto"/>
      </w:divBdr>
    </w:div>
    <w:div w:id="1440177806">
      <w:bodyDiv w:val="1"/>
      <w:marLeft w:val="0"/>
      <w:marRight w:val="0"/>
      <w:marTop w:val="0"/>
      <w:marBottom w:val="0"/>
      <w:divBdr>
        <w:top w:val="none" w:sz="0" w:space="0" w:color="auto"/>
        <w:left w:val="none" w:sz="0" w:space="0" w:color="auto"/>
        <w:bottom w:val="none" w:sz="0" w:space="0" w:color="auto"/>
        <w:right w:val="none" w:sz="0" w:space="0" w:color="auto"/>
      </w:divBdr>
      <w:divsChild>
        <w:div w:id="289626090">
          <w:marLeft w:val="0"/>
          <w:marRight w:val="0"/>
          <w:marTop w:val="0"/>
          <w:marBottom w:val="0"/>
          <w:divBdr>
            <w:top w:val="none" w:sz="0" w:space="0" w:color="auto"/>
            <w:left w:val="none" w:sz="0" w:space="0" w:color="auto"/>
            <w:bottom w:val="none" w:sz="0" w:space="0" w:color="auto"/>
            <w:right w:val="none" w:sz="0" w:space="0" w:color="auto"/>
          </w:divBdr>
          <w:divsChild>
            <w:div w:id="1937900054">
              <w:marLeft w:val="0"/>
              <w:marRight w:val="0"/>
              <w:marTop w:val="112"/>
              <w:marBottom w:val="0"/>
              <w:divBdr>
                <w:top w:val="single" w:sz="8" w:space="6" w:color="666666"/>
                <w:left w:val="none" w:sz="0" w:space="0" w:color="auto"/>
                <w:bottom w:val="none" w:sz="0" w:space="0" w:color="auto"/>
                <w:right w:val="none" w:sz="0" w:space="0" w:color="auto"/>
              </w:divBdr>
            </w:div>
          </w:divsChild>
        </w:div>
      </w:divsChild>
    </w:div>
    <w:div w:id="1444424827">
      <w:bodyDiv w:val="1"/>
      <w:marLeft w:val="0"/>
      <w:marRight w:val="0"/>
      <w:marTop w:val="0"/>
      <w:marBottom w:val="0"/>
      <w:divBdr>
        <w:top w:val="none" w:sz="0" w:space="0" w:color="auto"/>
        <w:left w:val="none" w:sz="0" w:space="0" w:color="auto"/>
        <w:bottom w:val="none" w:sz="0" w:space="0" w:color="auto"/>
        <w:right w:val="none" w:sz="0" w:space="0" w:color="auto"/>
      </w:divBdr>
    </w:div>
    <w:div w:id="1541018492">
      <w:bodyDiv w:val="1"/>
      <w:marLeft w:val="0"/>
      <w:marRight w:val="0"/>
      <w:marTop w:val="0"/>
      <w:marBottom w:val="0"/>
      <w:divBdr>
        <w:top w:val="none" w:sz="0" w:space="0" w:color="auto"/>
        <w:left w:val="none" w:sz="0" w:space="0" w:color="auto"/>
        <w:bottom w:val="none" w:sz="0" w:space="0" w:color="auto"/>
        <w:right w:val="none" w:sz="0" w:space="0" w:color="auto"/>
      </w:divBdr>
    </w:div>
    <w:div w:id="1558466693">
      <w:bodyDiv w:val="1"/>
      <w:marLeft w:val="0"/>
      <w:marRight w:val="0"/>
      <w:marTop w:val="0"/>
      <w:marBottom w:val="0"/>
      <w:divBdr>
        <w:top w:val="none" w:sz="0" w:space="0" w:color="auto"/>
        <w:left w:val="none" w:sz="0" w:space="0" w:color="auto"/>
        <w:bottom w:val="none" w:sz="0" w:space="0" w:color="auto"/>
        <w:right w:val="none" w:sz="0" w:space="0" w:color="auto"/>
      </w:divBdr>
    </w:div>
    <w:div w:id="1595359338">
      <w:bodyDiv w:val="1"/>
      <w:marLeft w:val="0"/>
      <w:marRight w:val="0"/>
      <w:marTop w:val="0"/>
      <w:marBottom w:val="0"/>
      <w:divBdr>
        <w:top w:val="none" w:sz="0" w:space="0" w:color="auto"/>
        <w:left w:val="none" w:sz="0" w:space="0" w:color="auto"/>
        <w:bottom w:val="none" w:sz="0" w:space="0" w:color="auto"/>
        <w:right w:val="none" w:sz="0" w:space="0" w:color="auto"/>
      </w:divBdr>
    </w:div>
    <w:div w:id="1764497761">
      <w:bodyDiv w:val="1"/>
      <w:marLeft w:val="0"/>
      <w:marRight w:val="0"/>
      <w:marTop w:val="0"/>
      <w:marBottom w:val="0"/>
      <w:divBdr>
        <w:top w:val="none" w:sz="0" w:space="0" w:color="auto"/>
        <w:left w:val="none" w:sz="0" w:space="0" w:color="auto"/>
        <w:bottom w:val="none" w:sz="0" w:space="0" w:color="auto"/>
        <w:right w:val="none" w:sz="0" w:space="0" w:color="auto"/>
      </w:divBdr>
    </w:div>
    <w:div w:id="1908030641">
      <w:bodyDiv w:val="1"/>
      <w:marLeft w:val="0"/>
      <w:marRight w:val="0"/>
      <w:marTop w:val="0"/>
      <w:marBottom w:val="0"/>
      <w:divBdr>
        <w:top w:val="none" w:sz="0" w:space="0" w:color="auto"/>
        <w:left w:val="none" w:sz="0" w:space="0" w:color="auto"/>
        <w:bottom w:val="none" w:sz="0" w:space="0" w:color="auto"/>
        <w:right w:val="none" w:sz="0" w:space="0" w:color="auto"/>
      </w:divBdr>
    </w:div>
    <w:div w:id="1948730900">
      <w:bodyDiv w:val="1"/>
      <w:marLeft w:val="0"/>
      <w:marRight w:val="0"/>
      <w:marTop w:val="0"/>
      <w:marBottom w:val="0"/>
      <w:divBdr>
        <w:top w:val="none" w:sz="0" w:space="0" w:color="auto"/>
        <w:left w:val="none" w:sz="0" w:space="0" w:color="auto"/>
        <w:bottom w:val="none" w:sz="0" w:space="0" w:color="auto"/>
        <w:right w:val="none" w:sz="0" w:space="0" w:color="auto"/>
      </w:divBdr>
    </w:div>
    <w:div w:id="1983460146">
      <w:bodyDiv w:val="1"/>
      <w:marLeft w:val="0"/>
      <w:marRight w:val="0"/>
      <w:marTop w:val="0"/>
      <w:marBottom w:val="0"/>
      <w:divBdr>
        <w:top w:val="none" w:sz="0" w:space="0" w:color="auto"/>
        <w:left w:val="none" w:sz="0" w:space="0" w:color="auto"/>
        <w:bottom w:val="none" w:sz="0" w:space="0" w:color="auto"/>
        <w:right w:val="none" w:sz="0" w:space="0" w:color="auto"/>
      </w:divBdr>
    </w:div>
    <w:div w:id="2114980736">
      <w:bodyDiv w:val="1"/>
      <w:marLeft w:val="0"/>
      <w:marRight w:val="0"/>
      <w:marTop w:val="0"/>
      <w:marBottom w:val="0"/>
      <w:divBdr>
        <w:top w:val="none" w:sz="0" w:space="0" w:color="auto"/>
        <w:left w:val="none" w:sz="0" w:space="0" w:color="auto"/>
        <w:bottom w:val="none" w:sz="0" w:space="0" w:color="auto"/>
        <w:right w:val="none" w:sz="0" w:space="0" w:color="auto"/>
      </w:divBdr>
    </w:div>
    <w:div w:id="213971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9.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image" Target="media/image11.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smartgrid.gov/sites/default/files/MASTER_SMUD%20CBS%20Interim%20Evaluation_Final_SUBMITTED%20TO%20TAG%202013102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hde\Documents\Nexant%20Templates\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nergy2\data\FSC\1726%20SDG&amp;E%202013%20PTR%20Evaluation\Output\zOld\Analysis%20for%20event-like%20day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nergy2\data\FSC\1726%20SDG&amp;E%202013%20PTR%20Evaluation\Output\SDG&amp;E%20PTR%20Match%20Results%20v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ergy2\data\FSC\1726%20SDG&amp;E%202013%20PTR%20Evaluation\Output\Ex%20Post%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[Analysis for event-like days.xlsx]Sheet4!PivotTable1</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square"/>
          <c:size val="5"/>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dLbl>
          <c:idx val="0"/>
          <c:delete val="1"/>
        </c:dLbl>
      </c:pivotFmt>
      <c:pivotFmt>
        <c:idx val="41"/>
        <c:marker>
          <c:symbol val="none"/>
        </c:marker>
        <c:dLbl>
          <c:idx val="0"/>
          <c:delete val="1"/>
        </c:dLbl>
      </c:pivotFmt>
      <c:pivotFmt>
        <c:idx val="42"/>
        <c:marker>
          <c:symbol val="none"/>
        </c:marker>
        <c:dLbl>
          <c:idx val="0"/>
          <c:delete val="1"/>
        </c:dLbl>
      </c:pivotFmt>
      <c:pivotFmt>
        <c:idx val="43"/>
        <c:marker>
          <c:symbol val="none"/>
        </c:marker>
        <c:dLbl>
          <c:idx val="0"/>
          <c:delete val="1"/>
        </c:dLbl>
      </c:pivotFmt>
      <c:pivotFmt>
        <c:idx val="44"/>
        <c:marker>
          <c:symbol val="none"/>
        </c:marker>
        <c:dLbl>
          <c:idx val="0"/>
          <c:delete val="1"/>
        </c:dLbl>
      </c:pivotFmt>
      <c:pivotFmt>
        <c:idx val="45"/>
        <c:marker>
          <c:symbol val="square"/>
          <c:size val="5"/>
        </c:marker>
        <c:dLbl>
          <c:idx val="0"/>
          <c:delete val="1"/>
        </c:dLbl>
      </c:pivotFmt>
      <c:pivotFmt>
        <c:idx val="46"/>
        <c:marker>
          <c:symbol val="none"/>
        </c:marker>
        <c:dLbl>
          <c:idx val="0"/>
          <c:delete val="1"/>
        </c:dLbl>
      </c:pivotFmt>
      <c:pivotFmt>
        <c:idx val="47"/>
        <c:marker>
          <c:symbol val="none"/>
        </c:marker>
        <c:dLbl>
          <c:idx val="0"/>
          <c:delete val="1"/>
        </c:dLbl>
      </c:pivotFmt>
      <c:pivotFmt>
        <c:idx val="48"/>
        <c:marker>
          <c:symbol val="none"/>
        </c:marker>
        <c:dLbl>
          <c:idx val="0"/>
          <c:delete val="1"/>
        </c:dLbl>
      </c:pivotFmt>
      <c:pivotFmt>
        <c:idx val="49"/>
        <c:marker>
          <c:symbol val="none"/>
        </c:marker>
        <c:dLbl>
          <c:idx val="0"/>
          <c:delete val="1"/>
        </c:dLbl>
      </c:pivotFmt>
    </c:pivotFmts>
    <c:plotArea>
      <c:layout/>
      <c:lineChart>
        <c:grouping val="standard"/>
        <c:varyColors val="0"/>
        <c:ser>
          <c:idx val="0"/>
          <c:order val="0"/>
          <c:tx>
            <c:strRef>
              <c:f>Sheet4!$B$1:$B$2</c:f>
              <c:strCache>
                <c:ptCount val="1"/>
                <c:pt idx="0">
                  <c:v>29-Jun-13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Sheet4!$B$3:$B$27</c:f>
              <c:numCache>
                <c:formatCode>General</c:formatCode>
                <c:ptCount val="24"/>
                <c:pt idx="0">
                  <c:v>0.75997409999999999</c:v>
                </c:pt>
                <c:pt idx="1">
                  <c:v>0.65399059999999998</c:v>
                </c:pt>
                <c:pt idx="2">
                  <c:v>0.5845399</c:v>
                </c:pt>
                <c:pt idx="3">
                  <c:v>0.54265280000000005</c:v>
                </c:pt>
                <c:pt idx="4">
                  <c:v>0.51977879999999999</c:v>
                </c:pt>
                <c:pt idx="5">
                  <c:v>0.52572479999999999</c:v>
                </c:pt>
                <c:pt idx="6">
                  <c:v>0.56620550000000003</c:v>
                </c:pt>
                <c:pt idx="7">
                  <c:v>0.64383140000000005</c:v>
                </c:pt>
                <c:pt idx="8">
                  <c:v>0.7370563</c:v>
                </c:pt>
                <c:pt idx="9">
                  <c:v>0.81986429999999999</c:v>
                </c:pt>
                <c:pt idx="10">
                  <c:v>0.92085539999999999</c:v>
                </c:pt>
                <c:pt idx="11">
                  <c:v>1.031863</c:v>
                </c:pt>
                <c:pt idx="12">
                  <c:v>1.153262</c:v>
                </c:pt>
                <c:pt idx="13">
                  <c:v>1.2678990000000001</c:v>
                </c:pt>
                <c:pt idx="14">
                  <c:v>1.3609910000000001</c:v>
                </c:pt>
                <c:pt idx="15">
                  <c:v>1.4391620000000001</c:v>
                </c:pt>
                <c:pt idx="16">
                  <c:v>1.4931270000000001</c:v>
                </c:pt>
                <c:pt idx="17">
                  <c:v>1.5171829999999999</c:v>
                </c:pt>
                <c:pt idx="18">
                  <c:v>1.4921249999999999</c:v>
                </c:pt>
                <c:pt idx="19">
                  <c:v>1.4172990000000001</c:v>
                </c:pt>
                <c:pt idx="20">
                  <c:v>1.410466</c:v>
                </c:pt>
                <c:pt idx="21">
                  <c:v>1.3388739999999999</c:v>
                </c:pt>
                <c:pt idx="22">
                  <c:v>1.174377</c:v>
                </c:pt>
                <c:pt idx="23">
                  <c:v>0.97407630000000001</c:v>
                </c:pt>
              </c:numCache>
            </c:numRef>
          </c:val>
          <c:smooth val="0"/>
        </c:ser>
        <c:ser>
          <c:idx val="1"/>
          <c:order val="1"/>
          <c:tx>
            <c:strRef>
              <c:f>Sheet4!$C$1:$C$2</c:f>
              <c:strCache>
                <c:ptCount val="1"/>
                <c:pt idx="0">
                  <c:v>6-Jul-13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Sheet4!$C$3:$C$27</c:f>
              <c:numCache>
                <c:formatCode>General</c:formatCode>
                <c:ptCount val="24"/>
                <c:pt idx="0">
                  <c:v>0.64052379999999998</c:v>
                </c:pt>
                <c:pt idx="1">
                  <c:v>0.56389719999999999</c:v>
                </c:pt>
                <c:pt idx="2">
                  <c:v>0.51646139999999996</c:v>
                </c:pt>
                <c:pt idx="3">
                  <c:v>0.48783140000000003</c:v>
                </c:pt>
                <c:pt idx="4">
                  <c:v>0.47570129999999999</c:v>
                </c:pt>
                <c:pt idx="5">
                  <c:v>0.48236200000000001</c:v>
                </c:pt>
                <c:pt idx="6">
                  <c:v>0.51893769999999995</c:v>
                </c:pt>
                <c:pt idx="7">
                  <c:v>0.58768240000000005</c:v>
                </c:pt>
                <c:pt idx="8">
                  <c:v>0.66911929999999997</c:v>
                </c:pt>
                <c:pt idx="9">
                  <c:v>0.72621760000000002</c:v>
                </c:pt>
                <c:pt idx="10">
                  <c:v>0.75704839999999995</c:v>
                </c:pt>
                <c:pt idx="11">
                  <c:v>0.78144219999999998</c:v>
                </c:pt>
                <c:pt idx="12">
                  <c:v>0.81136030000000003</c:v>
                </c:pt>
                <c:pt idx="13">
                  <c:v>0.83919909999999998</c:v>
                </c:pt>
                <c:pt idx="14">
                  <c:v>0.8728863</c:v>
                </c:pt>
                <c:pt idx="15">
                  <c:v>0.91043260000000004</c:v>
                </c:pt>
                <c:pt idx="16">
                  <c:v>0.94181499999999996</c:v>
                </c:pt>
                <c:pt idx="17">
                  <c:v>0.97639920000000002</c:v>
                </c:pt>
                <c:pt idx="18">
                  <c:v>0.98162700000000003</c:v>
                </c:pt>
                <c:pt idx="19">
                  <c:v>0.97605330000000001</c:v>
                </c:pt>
                <c:pt idx="20">
                  <c:v>1.031558</c:v>
                </c:pt>
                <c:pt idx="21">
                  <c:v>1.000688</c:v>
                </c:pt>
                <c:pt idx="22">
                  <c:v>0.89750359999999996</c:v>
                </c:pt>
                <c:pt idx="23">
                  <c:v>0.76025960000000004</c:v>
                </c:pt>
              </c:numCache>
            </c:numRef>
          </c:val>
          <c:smooth val="0"/>
        </c:ser>
        <c:ser>
          <c:idx val="2"/>
          <c:order val="2"/>
          <c:tx>
            <c:strRef>
              <c:f>Sheet4!$D$1:$D$2</c:f>
              <c:strCache>
                <c:ptCount val="1"/>
                <c:pt idx="0">
                  <c:v>13-Jul-13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Sheet4!$D$3:$D$27</c:f>
              <c:numCache>
                <c:formatCode>General</c:formatCode>
                <c:ptCount val="24"/>
                <c:pt idx="0">
                  <c:v>0.69716739999999999</c:v>
                </c:pt>
                <c:pt idx="1">
                  <c:v>0.60940680000000003</c:v>
                </c:pt>
                <c:pt idx="2">
                  <c:v>0.55330520000000005</c:v>
                </c:pt>
                <c:pt idx="3">
                  <c:v>0.52101149999999996</c:v>
                </c:pt>
                <c:pt idx="4">
                  <c:v>0.50572229999999996</c:v>
                </c:pt>
                <c:pt idx="5">
                  <c:v>0.51465570000000005</c:v>
                </c:pt>
                <c:pt idx="6">
                  <c:v>0.55424430000000002</c:v>
                </c:pt>
                <c:pt idx="7">
                  <c:v>0.62304179999999998</c:v>
                </c:pt>
                <c:pt idx="8">
                  <c:v>0.69880229999999999</c:v>
                </c:pt>
                <c:pt idx="9">
                  <c:v>0.75483080000000002</c:v>
                </c:pt>
                <c:pt idx="10">
                  <c:v>0.80931520000000001</c:v>
                </c:pt>
                <c:pt idx="11">
                  <c:v>0.86297820000000003</c:v>
                </c:pt>
                <c:pt idx="12">
                  <c:v>0.92031059999999998</c:v>
                </c:pt>
                <c:pt idx="13">
                  <c:v>0.96910039999999997</c:v>
                </c:pt>
                <c:pt idx="14">
                  <c:v>1.022033</c:v>
                </c:pt>
                <c:pt idx="15">
                  <c:v>1.069278</c:v>
                </c:pt>
                <c:pt idx="16">
                  <c:v>1.1127579999999999</c:v>
                </c:pt>
                <c:pt idx="17">
                  <c:v>1.1460859999999999</c:v>
                </c:pt>
                <c:pt idx="18">
                  <c:v>1.137607</c:v>
                </c:pt>
                <c:pt idx="19">
                  <c:v>1.0952299999999999</c:v>
                </c:pt>
                <c:pt idx="20">
                  <c:v>1.125577</c:v>
                </c:pt>
                <c:pt idx="21">
                  <c:v>1.0924720000000001</c:v>
                </c:pt>
                <c:pt idx="22">
                  <c:v>0.9698464</c:v>
                </c:pt>
                <c:pt idx="23">
                  <c:v>0.81447689999999995</c:v>
                </c:pt>
              </c:numCache>
            </c:numRef>
          </c:val>
          <c:smooth val="0"/>
        </c:ser>
        <c:ser>
          <c:idx val="3"/>
          <c:order val="3"/>
          <c:tx>
            <c:strRef>
              <c:f>Sheet4!$E$1:$E$2</c:f>
              <c:strCache>
                <c:ptCount val="1"/>
                <c:pt idx="0">
                  <c:v>17-Aug-13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Sheet4!$E$3:$E$27</c:f>
              <c:numCache>
                <c:formatCode>General</c:formatCode>
                <c:ptCount val="24"/>
                <c:pt idx="0">
                  <c:v>0.654891</c:v>
                </c:pt>
                <c:pt idx="1">
                  <c:v>0.57289129999999999</c:v>
                </c:pt>
                <c:pt idx="2">
                  <c:v>0.52052229999999999</c:v>
                </c:pt>
                <c:pt idx="3">
                  <c:v>0.4876065</c:v>
                </c:pt>
                <c:pt idx="4">
                  <c:v>0.47200189999999997</c:v>
                </c:pt>
                <c:pt idx="5">
                  <c:v>0.47976960000000002</c:v>
                </c:pt>
                <c:pt idx="6">
                  <c:v>0.52183520000000005</c:v>
                </c:pt>
                <c:pt idx="7">
                  <c:v>0.59383390000000003</c:v>
                </c:pt>
                <c:pt idx="8">
                  <c:v>0.66604960000000002</c:v>
                </c:pt>
                <c:pt idx="9">
                  <c:v>0.71525110000000003</c:v>
                </c:pt>
                <c:pt idx="10">
                  <c:v>0.76012080000000004</c:v>
                </c:pt>
                <c:pt idx="11">
                  <c:v>0.80973439999999997</c:v>
                </c:pt>
                <c:pt idx="12">
                  <c:v>0.87940529999999995</c:v>
                </c:pt>
                <c:pt idx="13">
                  <c:v>0.93537519999999996</c:v>
                </c:pt>
                <c:pt idx="14">
                  <c:v>0.98860650000000005</c:v>
                </c:pt>
                <c:pt idx="15">
                  <c:v>1.038278</c:v>
                </c:pt>
                <c:pt idx="16">
                  <c:v>1.085585</c:v>
                </c:pt>
                <c:pt idx="17">
                  <c:v>1.1222639999999999</c:v>
                </c:pt>
                <c:pt idx="18">
                  <c:v>1.105189</c:v>
                </c:pt>
                <c:pt idx="19">
                  <c:v>1.084138</c:v>
                </c:pt>
                <c:pt idx="20">
                  <c:v>1.1110530000000001</c:v>
                </c:pt>
                <c:pt idx="21">
                  <c:v>1.0410029999999999</c:v>
                </c:pt>
                <c:pt idx="22">
                  <c:v>0.91429240000000001</c:v>
                </c:pt>
                <c:pt idx="23">
                  <c:v>0.76556500000000005</c:v>
                </c:pt>
              </c:numCache>
            </c:numRef>
          </c:val>
          <c:smooth val="0"/>
        </c:ser>
        <c:ser>
          <c:idx val="4"/>
          <c:order val="4"/>
          <c:tx>
            <c:strRef>
              <c:f>Sheet4!$F$1:$F$2</c:f>
              <c:strCache>
                <c:ptCount val="1"/>
                <c:pt idx="0">
                  <c:v>24-Aug-13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Sheet4!$F$3:$F$27</c:f>
              <c:numCache>
                <c:formatCode>General</c:formatCode>
                <c:ptCount val="24"/>
                <c:pt idx="0">
                  <c:v>0.65407289999999996</c:v>
                </c:pt>
                <c:pt idx="1">
                  <c:v>0.56953889999999996</c:v>
                </c:pt>
                <c:pt idx="2">
                  <c:v>0.52174010000000004</c:v>
                </c:pt>
                <c:pt idx="3">
                  <c:v>0.49017440000000001</c:v>
                </c:pt>
                <c:pt idx="4">
                  <c:v>0.47706809999999999</c:v>
                </c:pt>
                <c:pt idx="5">
                  <c:v>0.48434120000000003</c:v>
                </c:pt>
                <c:pt idx="6">
                  <c:v>0.5302308</c:v>
                </c:pt>
                <c:pt idx="7">
                  <c:v>0.60285789999999995</c:v>
                </c:pt>
                <c:pt idx="8">
                  <c:v>0.66561890000000001</c:v>
                </c:pt>
                <c:pt idx="9">
                  <c:v>0.71060500000000004</c:v>
                </c:pt>
                <c:pt idx="10">
                  <c:v>0.74259439999999999</c:v>
                </c:pt>
                <c:pt idx="11">
                  <c:v>0.78829079999999996</c:v>
                </c:pt>
                <c:pt idx="12">
                  <c:v>0.84792429999999996</c:v>
                </c:pt>
                <c:pt idx="13">
                  <c:v>0.90725860000000003</c:v>
                </c:pt>
                <c:pt idx="14">
                  <c:v>0.96080960000000004</c:v>
                </c:pt>
                <c:pt idx="15">
                  <c:v>1.0240149999999999</c:v>
                </c:pt>
                <c:pt idx="16">
                  <c:v>1.0894189999999999</c:v>
                </c:pt>
                <c:pt idx="17">
                  <c:v>1.1102240000000001</c:v>
                </c:pt>
                <c:pt idx="18">
                  <c:v>1.0867610000000001</c:v>
                </c:pt>
                <c:pt idx="19">
                  <c:v>1.089583</c:v>
                </c:pt>
                <c:pt idx="20">
                  <c:v>1.11059</c:v>
                </c:pt>
                <c:pt idx="21">
                  <c:v>1.0351250000000001</c:v>
                </c:pt>
                <c:pt idx="22">
                  <c:v>0.91059610000000002</c:v>
                </c:pt>
                <c:pt idx="23">
                  <c:v>0.75480990000000003</c:v>
                </c:pt>
              </c:numCache>
            </c:numRef>
          </c:val>
          <c:smooth val="0"/>
        </c:ser>
        <c:ser>
          <c:idx val="5"/>
          <c:order val="5"/>
          <c:tx>
            <c:strRef>
              <c:f>Sheet4!$G$1:$G$2</c:f>
              <c:strCache>
                <c:ptCount val="1"/>
                <c:pt idx="0">
                  <c:v>31-Aug-13</c:v>
                </c:pt>
              </c:strCache>
            </c:strRef>
          </c:tx>
          <c:marker>
            <c:symbol val="square"/>
            <c:size val="5"/>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Sheet4!$G$3:$G$27</c:f>
              <c:numCache>
                <c:formatCode>General</c:formatCode>
                <c:ptCount val="24"/>
                <c:pt idx="0">
                  <c:v>1.1525270000000001</c:v>
                </c:pt>
                <c:pt idx="1">
                  <c:v>1.0061020000000001</c:v>
                </c:pt>
                <c:pt idx="2">
                  <c:v>0.89881500000000003</c:v>
                </c:pt>
                <c:pt idx="3">
                  <c:v>0.8276905</c:v>
                </c:pt>
                <c:pt idx="4">
                  <c:v>0.78341649999999996</c:v>
                </c:pt>
                <c:pt idx="5">
                  <c:v>0.77056930000000001</c:v>
                </c:pt>
                <c:pt idx="6">
                  <c:v>0.80849729999999997</c:v>
                </c:pt>
                <c:pt idx="7">
                  <c:v>0.90347290000000002</c:v>
                </c:pt>
                <c:pt idx="8">
                  <c:v>1.041758</c:v>
                </c:pt>
                <c:pt idx="9">
                  <c:v>1.187511</c:v>
                </c:pt>
                <c:pt idx="10">
                  <c:v>1.3128470000000001</c:v>
                </c:pt>
                <c:pt idx="11">
                  <c:v>1.3444510000000001</c:v>
                </c:pt>
                <c:pt idx="12">
                  <c:v>1.3939170000000001</c:v>
                </c:pt>
                <c:pt idx="13">
                  <c:v>1.438226</c:v>
                </c:pt>
                <c:pt idx="14">
                  <c:v>1.4978199999999999</c:v>
                </c:pt>
                <c:pt idx="15">
                  <c:v>1.5682400000000001</c:v>
                </c:pt>
                <c:pt idx="16">
                  <c:v>1.6284879999999999</c:v>
                </c:pt>
                <c:pt idx="17">
                  <c:v>1.625589</c:v>
                </c:pt>
                <c:pt idx="18">
                  <c:v>1.608236</c:v>
                </c:pt>
                <c:pt idx="19">
                  <c:v>1.6017159999999999</c:v>
                </c:pt>
                <c:pt idx="20">
                  <c:v>1.6065830000000001</c:v>
                </c:pt>
                <c:pt idx="21">
                  <c:v>1.5095670000000001</c:v>
                </c:pt>
                <c:pt idx="22">
                  <c:v>1.3494409999999999</c:v>
                </c:pt>
                <c:pt idx="23">
                  <c:v>1.1481939999999999</c:v>
                </c:pt>
              </c:numCache>
            </c:numRef>
          </c:val>
          <c:smooth val="0"/>
        </c:ser>
        <c:ser>
          <c:idx val="6"/>
          <c:order val="6"/>
          <c:tx>
            <c:strRef>
              <c:f>Sheet4!$H$1:$H$2</c:f>
              <c:strCache>
                <c:ptCount val="1"/>
                <c:pt idx="0">
                  <c:v>7-Sep-13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Sheet4!$H$3:$H$27</c:f>
              <c:numCache>
                <c:formatCode>General</c:formatCode>
                <c:ptCount val="24"/>
                <c:pt idx="0">
                  <c:v>0.97398229999999997</c:v>
                </c:pt>
                <c:pt idx="1">
                  <c:v>0.84312160000000003</c:v>
                </c:pt>
                <c:pt idx="2">
                  <c:v>0.75379390000000002</c:v>
                </c:pt>
                <c:pt idx="3">
                  <c:v>0.69594909999999999</c:v>
                </c:pt>
                <c:pt idx="4">
                  <c:v>0.65948859999999998</c:v>
                </c:pt>
                <c:pt idx="5">
                  <c:v>0.65094379999999996</c:v>
                </c:pt>
                <c:pt idx="6">
                  <c:v>0.69133469999999997</c:v>
                </c:pt>
                <c:pt idx="7">
                  <c:v>0.78435619999999995</c:v>
                </c:pt>
                <c:pt idx="8">
                  <c:v>0.92088080000000005</c:v>
                </c:pt>
                <c:pt idx="9">
                  <c:v>1.0715030000000001</c:v>
                </c:pt>
                <c:pt idx="10">
                  <c:v>1.2460610000000001</c:v>
                </c:pt>
                <c:pt idx="11">
                  <c:v>1.4205019999999999</c:v>
                </c:pt>
                <c:pt idx="12">
                  <c:v>1.554052</c:v>
                </c:pt>
                <c:pt idx="13">
                  <c:v>1.6584380000000001</c:v>
                </c:pt>
                <c:pt idx="14">
                  <c:v>1.7471639999999999</c:v>
                </c:pt>
                <c:pt idx="15">
                  <c:v>1.8234079999999999</c:v>
                </c:pt>
                <c:pt idx="16">
                  <c:v>1.8478490000000001</c:v>
                </c:pt>
                <c:pt idx="17">
                  <c:v>1.7955490000000001</c:v>
                </c:pt>
                <c:pt idx="18">
                  <c:v>1.6852039999999999</c:v>
                </c:pt>
                <c:pt idx="19">
                  <c:v>1.629321</c:v>
                </c:pt>
                <c:pt idx="20">
                  <c:v>1.5832219999999999</c:v>
                </c:pt>
                <c:pt idx="21">
                  <c:v>1.4489320000000001</c:v>
                </c:pt>
                <c:pt idx="22">
                  <c:v>1.264332</c:v>
                </c:pt>
                <c:pt idx="23">
                  <c:v>1.0545500000000001</c:v>
                </c:pt>
              </c:numCache>
            </c:numRef>
          </c:val>
          <c:smooth val="0"/>
        </c:ser>
        <c:ser>
          <c:idx val="7"/>
          <c:order val="7"/>
          <c:tx>
            <c:strRef>
              <c:f>Sheet4!$I$1:$I$2</c:f>
              <c:strCache>
                <c:ptCount val="1"/>
                <c:pt idx="0">
                  <c:v>14-Sep-13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Sheet4!$I$3:$I$27</c:f>
              <c:numCache>
                <c:formatCode>General</c:formatCode>
                <c:ptCount val="24"/>
                <c:pt idx="0">
                  <c:v>0.63502409999999998</c:v>
                </c:pt>
                <c:pt idx="1">
                  <c:v>0.55895079999999997</c:v>
                </c:pt>
                <c:pt idx="2">
                  <c:v>0.5137467</c:v>
                </c:pt>
                <c:pt idx="3">
                  <c:v>0.48499639999999999</c:v>
                </c:pt>
                <c:pt idx="4">
                  <c:v>0.47129690000000002</c:v>
                </c:pt>
                <c:pt idx="5">
                  <c:v>0.48303439999999997</c:v>
                </c:pt>
                <c:pt idx="6">
                  <c:v>0.53206600000000004</c:v>
                </c:pt>
                <c:pt idx="7">
                  <c:v>0.61080310000000004</c:v>
                </c:pt>
                <c:pt idx="8">
                  <c:v>0.67817289999999997</c:v>
                </c:pt>
                <c:pt idx="9">
                  <c:v>0.70501749999999996</c:v>
                </c:pt>
                <c:pt idx="10">
                  <c:v>0.72526489999999999</c:v>
                </c:pt>
                <c:pt idx="11">
                  <c:v>0.76830180000000003</c:v>
                </c:pt>
                <c:pt idx="12">
                  <c:v>0.83917079999999999</c:v>
                </c:pt>
                <c:pt idx="13">
                  <c:v>0.93415579999999998</c:v>
                </c:pt>
                <c:pt idx="14">
                  <c:v>1.028826</c:v>
                </c:pt>
                <c:pt idx="15">
                  <c:v>1.1124449999999999</c:v>
                </c:pt>
                <c:pt idx="16">
                  <c:v>1.1755629999999999</c:v>
                </c:pt>
                <c:pt idx="17">
                  <c:v>1.20323</c:v>
                </c:pt>
                <c:pt idx="18">
                  <c:v>1.177967</c:v>
                </c:pt>
                <c:pt idx="19">
                  <c:v>1.2024919999999999</c:v>
                </c:pt>
                <c:pt idx="20">
                  <c:v>1.1600140000000001</c:v>
                </c:pt>
                <c:pt idx="21">
                  <c:v>1.064246</c:v>
                </c:pt>
                <c:pt idx="22">
                  <c:v>0.9279946</c:v>
                </c:pt>
                <c:pt idx="23">
                  <c:v>0.78244639999999999</c:v>
                </c:pt>
              </c:numCache>
            </c:numRef>
          </c:val>
          <c:smooth val="0"/>
        </c:ser>
        <c:ser>
          <c:idx val="8"/>
          <c:order val="8"/>
          <c:tx>
            <c:strRef>
              <c:f>Sheet4!$J$1:$J$2</c:f>
              <c:strCache>
                <c:ptCount val="1"/>
                <c:pt idx="0">
                  <c:v>28-Sep-13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Sheet4!$J$3:$J$27</c:f>
              <c:numCache>
                <c:formatCode>General</c:formatCode>
                <c:ptCount val="24"/>
                <c:pt idx="0">
                  <c:v>0.53961769999999998</c:v>
                </c:pt>
                <c:pt idx="1">
                  <c:v>0.47906660000000001</c:v>
                </c:pt>
                <c:pt idx="2">
                  <c:v>0.4430385</c:v>
                </c:pt>
                <c:pt idx="3">
                  <c:v>0.421319</c:v>
                </c:pt>
                <c:pt idx="4">
                  <c:v>0.41695900000000002</c:v>
                </c:pt>
                <c:pt idx="5">
                  <c:v>0.43202770000000001</c:v>
                </c:pt>
                <c:pt idx="6">
                  <c:v>0.48868820000000002</c:v>
                </c:pt>
                <c:pt idx="7">
                  <c:v>0.56572250000000002</c:v>
                </c:pt>
                <c:pt idx="8">
                  <c:v>0.62282009999999999</c:v>
                </c:pt>
                <c:pt idx="9">
                  <c:v>0.63193999999999995</c:v>
                </c:pt>
                <c:pt idx="10">
                  <c:v>0.62869319999999995</c:v>
                </c:pt>
                <c:pt idx="11">
                  <c:v>0.62531479999999995</c:v>
                </c:pt>
                <c:pt idx="12">
                  <c:v>0.63131159999999997</c:v>
                </c:pt>
                <c:pt idx="13">
                  <c:v>0.64752149999999997</c:v>
                </c:pt>
                <c:pt idx="14">
                  <c:v>0.67729419999999996</c:v>
                </c:pt>
                <c:pt idx="15">
                  <c:v>0.71855869999999999</c:v>
                </c:pt>
                <c:pt idx="16">
                  <c:v>0.77065760000000005</c:v>
                </c:pt>
                <c:pt idx="17">
                  <c:v>0.83158129999999997</c:v>
                </c:pt>
                <c:pt idx="18">
                  <c:v>0.90108659999999996</c:v>
                </c:pt>
                <c:pt idx="19">
                  <c:v>0.99243800000000004</c:v>
                </c:pt>
                <c:pt idx="20">
                  <c:v>0.9609316</c:v>
                </c:pt>
                <c:pt idx="21">
                  <c:v>0.89233810000000002</c:v>
                </c:pt>
                <c:pt idx="22">
                  <c:v>0.78377859999999999</c:v>
                </c:pt>
                <c:pt idx="23">
                  <c:v>0.65366400000000002</c:v>
                </c:pt>
              </c:numCache>
            </c:numRef>
          </c:val>
          <c:smooth val="0"/>
        </c:ser>
        <c:ser>
          <c:idx val="9"/>
          <c:order val="9"/>
          <c:tx>
            <c:strRef>
              <c:f>Sheet4!$K$1:$K$2</c:f>
              <c:strCache>
                <c:ptCount val="1"/>
                <c:pt idx="0">
                  <c:v>5-Oct-13</c:v>
                </c:pt>
              </c:strCache>
            </c:strRef>
          </c:tx>
          <c:marker>
            <c:symbol val="none"/>
          </c:marker>
          <c:cat>
            <c:strRef>
              <c:f>Sheet4!$A$3:$A$27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Sheet4!$K$3:$K$27</c:f>
              <c:numCache>
                <c:formatCode>General</c:formatCode>
                <c:ptCount val="24"/>
                <c:pt idx="0">
                  <c:v>0.5534635</c:v>
                </c:pt>
                <c:pt idx="1">
                  <c:v>0.4901182</c:v>
                </c:pt>
                <c:pt idx="2">
                  <c:v>0.4556906</c:v>
                </c:pt>
                <c:pt idx="3">
                  <c:v>0.43270059999999999</c:v>
                </c:pt>
                <c:pt idx="4">
                  <c:v>0.42548010000000003</c:v>
                </c:pt>
                <c:pt idx="5">
                  <c:v>0.44232080000000001</c:v>
                </c:pt>
                <c:pt idx="6">
                  <c:v>0.50049399999999999</c:v>
                </c:pt>
                <c:pt idx="7">
                  <c:v>0.57791740000000003</c:v>
                </c:pt>
                <c:pt idx="8">
                  <c:v>0.63209099999999996</c:v>
                </c:pt>
                <c:pt idx="9">
                  <c:v>0.64874889999999996</c:v>
                </c:pt>
                <c:pt idx="10">
                  <c:v>0.64790859999999995</c:v>
                </c:pt>
                <c:pt idx="11">
                  <c:v>0.65147940000000004</c:v>
                </c:pt>
                <c:pt idx="12">
                  <c:v>0.66834510000000003</c:v>
                </c:pt>
                <c:pt idx="13">
                  <c:v>0.70502220000000004</c:v>
                </c:pt>
                <c:pt idx="14">
                  <c:v>0.75309669999999995</c:v>
                </c:pt>
                <c:pt idx="15">
                  <c:v>0.81930630000000004</c:v>
                </c:pt>
                <c:pt idx="16">
                  <c:v>0.88414490000000001</c:v>
                </c:pt>
                <c:pt idx="17">
                  <c:v>0.93368799999999996</c:v>
                </c:pt>
                <c:pt idx="18">
                  <c:v>0.9890504</c:v>
                </c:pt>
                <c:pt idx="19">
                  <c:v>1.05233</c:v>
                </c:pt>
                <c:pt idx="20">
                  <c:v>1.008947</c:v>
                </c:pt>
                <c:pt idx="21">
                  <c:v>0.92779199999999995</c:v>
                </c:pt>
                <c:pt idx="22">
                  <c:v>0.80542780000000003</c:v>
                </c:pt>
                <c:pt idx="23">
                  <c:v>0.66846329999999998</c:v>
                </c:pt>
              </c:numCache>
            </c:numRef>
          </c:val>
          <c:smooth val="0"/>
        </c:ser>
        <c:dLbls>
          <c:showLegendKey val="0"/>
          <c:showVal val="0"/>
          <c:showCatName val="0"/>
          <c:showSerName val="0"/>
          <c:showPercent val="0"/>
          <c:showBubbleSize val="0"/>
        </c:dLbls>
        <c:marker val="1"/>
        <c:smooth val="0"/>
        <c:axId val="34311168"/>
        <c:axId val="34329728"/>
      </c:lineChart>
      <c:catAx>
        <c:axId val="34311168"/>
        <c:scaling>
          <c:orientation val="minMax"/>
        </c:scaling>
        <c:delete val="0"/>
        <c:axPos val="b"/>
        <c:title>
          <c:tx>
            <c:rich>
              <a:bodyPr/>
              <a:lstStyle/>
              <a:p>
                <a:pPr>
                  <a:defRPr/>
                </a:pPr>
                <a:r>
                  <a:rPr lang="en-US"/>
                  <a:t>Hour Ending</a:t>
                </a:r>
              </a:p>
            </c:rich>
          </c:tx>
          <c:layout/>
          <c:overlay val="0"/>
        </c:title>
        <c:majorTickMark val="out"/>
        <c:minorTickMark val="none"/>
        <c:tickLblPos val="nextTo"/>
        <c:crossAx val="34329728"/>
        <c:crosses val="autoZero"/>
        <c:auto val="1"/>
        <c:lblAlgn val="ctr"/>
        <c:lblOffset val="100"/>
        <c:noMultiLvlLbl val="0"/>
      </c:catAx>
      <c:valAx>
        <c:axId val="34329728"/>
        <c:scaling>
          <c:orientation val="minMax"/>
          <c:max val="2"/>
          <c:min val="0"/>
        </c:scaling>
        <c:delete val="0"/>
        <c:axPos val="l"/>
        <c:majorGridlines/>
        <c:title>
          <c:tx>
            <c:rich>
              <a:bodyPr rot="-5400000" vert="horz"/>
              <a:lstStyle/>
              <a:p>
                <a:pPr>
                  <a:defRPr/>
                </a:pPr>
                <a:r>
                  <a:rPr lang="en-US"/>
                  <a:t>kW</a:t>
                </a:r>
              </a:p>
            </c:rich>
          </c:tx>
          <c:layout/>
          <c:overlay val="0"/>
        </c:title>
        <c:numFmt formatCode="#,##0.0" sourceLinked="0"/>
        <c:majorTickMark val="out"/>
        <c:minorTickMark val="none"/>
        <c:tickLblPos val="nextTo"/>
        <c:crossAx val="34311168"/>
        <c:crosses val="autoZero"/>
        <c:crossBetween val="between"/>
      </c:valAx>
    </c:plotArea>
    <c:legend>
      <c:legendPos val="r"/>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68285214348206"/>
          <c:y val="0.16289552347623221"/>
          <c:w val="0.8537615923009626"/>
          <c:h val="0.66924941673957805"/>
        </c:manualLayout>
      </c:layout>
      <c:lineChart>
        <c:grouping val="standard"/>
        <c:varyColors val="0"/>
        <c:ser>
          <c:idx val="0"/>
          <c:order val="0"/>
          <c:tx>
            <c:strRef>
              <c:f>Sheet1!$J$3</c:f>
              <c:strCache>
                <c:ptCount val="1"/>
                <c:pt idx="0">
                  <c:v>PTR Treatment</c:v>
                </c:pt>
              </c:strCache>
            </c:strRef>
          </c:tx>
          <c:marker>
            <c:symbol val="none"/>
          </c:marker>
          <c:val>
            <c:numRef>
              <c:f>Sheet1!$J$4:$J$27</c:f>
              <c:numCache>
                <c:formatCode>General</c:formatCode>
                <c:ptCount val="24"/>
                <c:pt idx="0">
                  <c:v>0.86852590000000063</c:v>
                </c:pt>
                <c:pt idx="1">
                  <c:v>0.7499059000000009</c:v>
                </c:pt>
                <c:pt idx="2">
                  <c:v>0.67038620000000004</c:v>
                </c:pt>
                <c:pt idx="3">
                  <c:v>0.62049790000000005</c:v>
                </c:pt>
                <c:pt idx="4">
                  <c:v>0.59070269999999958</c:v>
                </c:pt>
                <c:pt idx="5">
                  <c:v>0.58928039999999893</c:v>
                </c:pt>
                <c:pt idx="6">
                  <c:v>0.62963380000000091</c:v>
                </c:pt>
                <c:pt idx="7">
                  <c:v>0.71527379999999996</c:v>
                </c:pt>
                <c:pt idx="8">
                  <c:v>0.83040899999999951</c:v>
                </c:pt>
                <c:pt idx="9">
                  <c:v>0.94755480000000003</c:v>
                </c:pt>
                <c:pt idx="10">
                  <c:v>1.0857009999999998</c:v>
                </c:pt>
                <c:pt idx="11">
                  <c:v>1.22878</c:v>
                </c:pt>
                <c:pt idx="12">
                  <c:v>1.356141</c:v>
                </c:pt>
                <c:pt idx="13">
                  <c:v>1.4655499999999984</c:v>
                </c:pt>
                <c:pt idx="14">
                  <c:v>1.5565150000000001</c:v>
                </c:pt>
                <c:pt idx="15">
                  <c:v>1.633758</c:v>
                </c:pt>
                <c:pt idx="16">
                  <c:v>1.6726580000000015</c:v>
                </c:pt>
                <c:pt idx="17">
                  <c:v>1.6582480000000015</c:v>
                </c:pt>
                <c:pt idx="18">
                  <c:v>1.5899889999999999</c:v>
                </c:pt>
                <c:pt idx="19">
                  <c:v>1.5250679999999999</c:v>
                </c:pt>
                <c:pt idx="20">
                  <c:v>1.498362</c:v>
                </c:pt>
                <c:pt idx="21">
                  <c:v>1.394968</c:v>
                </c:pt>
                <c:pt idx="22">
                  <c:v>1.2203739999999998</c:v>
                </c:pt>
                <c:pt idx="23">
                  <c:v>1.0151649999999985</c:v>
                </c:pt>
              </c:numCache>
            </c:numRef>
          </c:val>
          <c:smooth val="0"/>
        </c:ser>
        <c:ser>
          <c:idx val="1"/>
          <c:order val="1"/>
          <c:tx>
            <c:strRef>
              <c:f>Sheet1!$T$3</c:f>
              <c:strCache>
                <c:ptCount val="1"/>
                <c:pt idx="0">
                  <c:v>Control </c:v>
                </c:pt>
              </c:strCache>
            </c:strRef>
          </c:tx>
          <c:marker>
            <c:symbol val="none"/>
          </c:marker>
          <c:val>
            <c:numRef>
              <c:f>Sheet1!$T$4:$T$27</c:f>
              <c:numCache>
                <c:formatCode>General</c:formatCode>
                <c:ptCount val="24"/>
                <c:pt idx="0">
                  <c:v>0.86747590000000063</c:v>
                </c:pt>
                <c:pt idx="1">
                  <c:v>0.75609770000000065</c:v>
                </c:pt>
                <c:pt idx="2">
                  <c:v>0.68320800000000004</c:v>
                </c:pt>
                <c:pt idx="3">
                  <c:v>0.63457710000000001</c:v>
                </c:pt>
                <c:pt idx="4">
                  <c:v>0.60541029999999996</c:v>
                </c:pt>
                <c:pt idx="5">
                  <c:v>0.60348800000000002</c:v>
                </c:pt>
                <c:pt idx="6">
                  <c:v>0.63082290000000063</c:v>
                </c:pt>
                <c:pt idx="7">
                  <c:v>0.70054309999999997</c:v>
                </c:pt>
                <c:pt idx="8">
                  <c:v>0.81028069999999996</c:v>
                </c:pt>
                <c:pt idx="9">
                  <c:v>0.93919640000000004</c:v>
                </c:pt>
                <c:pt idx="10">
                  <c:v>1.0936859999999999</c:v>
                </c:pt>
                <c:pt idx="11">
                  <c:v>1.2397049999999981</c:v>
                </c:pt>
                <c:pt idx="12">
                  <c:v>1.369246</c:v>
                </c:pt>
                <c:pt idx="13">
                  <c:v>1.4784120000000001</c:v>
                </c:pt>
                <c:pt idx="14">
                  <c:v>1.5720050000000001</c:v>
                </c:pt>
                <c:pt idx="15">
                  <c:v>1.6474929999999999</c:v>
                </c:pt>
                <c:pt idx="16">
                  <c:v>1.681586</c:v>
                </c:pt>
                <c:pt idx="17">
                  <c:v>1.668398</c:v>
                </c:pt>
                <c:pt idx="18">
                  <c:v>1.5947100000000001</c:v>
                </c:pt>
                <c:pt idx="19">
                  <c:v>1.5294919999999983</c:v>
                </c:pt>
                <c:pt idx="20">
                  <c:v>1.4975449999999983</c:v>
                </c:pt>
                <c:pt idx="21">
                  <c:v>1.379022</c:v>
                </c:pt>
                <c:pt idx="22">
                  <c:v>1.2041839999999999</c:v>
                </c:pt>
                <c:pt idx="23">
                  <c:v>1.0157139999999998</c:v>
                </c:pt>
              </c:numCache>
            </c:numRef>
          </c:val>
          <c:smooth val="0"/>
        </c:ser>
        <c:dLbls>
          <c:showLegendKey val="0"/>
          <c:showVal val="0"/>
          <c:showCatName val="0"/>
          <c:showSerName val="0"/>
          <c:showPercent val="0"/>
          <c:showBubbleSize val="0"/>
        </c:dLbls>
        <c:marker val="1"/>
        <c:smooth val="0"/>
        <c:axId val="78190848"/>
        <c:axId val="80032896"/>
      </c:lineChart>
      <c:catAx>
        <c:axId val="78190848"/>
        <c:scaling>
          <c:orientation val="minMax"/>
        </c:scaling>
        <c:delete val="0"/>
        <c:axPos val="b"/>
        <c:title>
          <c:tx>
            <c:rich>
              <a:bodyPr/>
              <a:lstStyle/>
              <a:p>
                <a:pPr>
                  <a:defRPr/>
                </a:pPr>
                <a:r>
                  <a:rPr lang="en-US"/>
                  <a:t>Hour Ending</a:t>
                </a:r>
              </a:p>
            </c:rich>
          </c:tx>
          <c:layout/>
          <c:overlay val="0"/>
        </c:title>
        <c:majorTickMark val="out"/>
        <c:minorTickMark val="none"/>
        <c:tickLblPos val="nextTo"/>
        <c:crossAx val="80032896"/>
        <c:crosses val="autoZero"/>
        <c:auto val="1"/>
        <c:lblAlgn val="ctr"/>
        <c:lblOffset val="100"/>
        <c:noMultiLvlLbl val="0"/>
      </c:catAx>
      <c:valAx>
        <c:axId val="80032896"/>
        <c:scaling>
          <c:orientation val="minMax"/>
        </c:scaling>
        <c:delete val="0"/>
        <c:axPos val="l"/>
        <c:majorGridlines/>
        <c:title>
          <c:tx>
            <c:rich>
              <a:bodyPr rot="-5400000" vert="horz"/>
              <a:lstStyle/>
              <a:p>
                <a:pPr>
                  <a:defRPr/>
                </a:pPr>
                <a:r>
                  <a:rPr lang="en-US"/>
                  <a:t>kW</a:t>
                </a:r>
              </a:p>
            </c:rich>
          </c:tx>
          <c:layout/>
          <c:overlay val="0"/>
        </c:title>
        <c:numFmt formatCode="General" sourceLinked="1"/>
        <c:majorTickMark val="out"/>
        <c:minorTickMark val="none"/>
        <c:tickLblPos val="nextTo"/>
        <c:crossAx val="781908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'eg of adjustment'!$B$4</c:f>
              <c:strCache>
                <c:ptCount val="1"/>
                <c:pt idx="0">
                  <c:v>Treatment</c:v>
                </c:pt>
              </c:strCache>
            </c:strRef>
          </c:tx>
          <c:spPr>
            <a:ln>
              <a:solidFill>
                <a:schemeClr val="accent2"/>
              </a:solidFill>
            </a:ln>
          </c:spPr>
          <c:marker>
            <c:symbol val="none"/>
          </c:marker>
          <c:val>
            <c:numRef>
              <c:f>'eg of adjustment'!$B$5:$B$28</c:f>
              <c:numCache>
                <c:formatCode>General</c:formatCode>
                <c:ptCount val="24"/>
                <c:pt idx="0">
                  <c:v>66.409369999999996</c:v>
                </c:pt>
                <c:pt idx="1">
                  <c:v>57.969060000000006</c:v>
                </c:pt>
                <c:pt idx="2">
                  <c:v>51.78501000000005</c:v>
                </c:pt>
                <c:pt idx="3">
                  <c:v>47.691610000000011</c:v>
                </c:pt>
                <c:pt idx="4">
                  <c:v>45.141239999999996</c:v>
                </c:pt>
                <c:pt idx="5">
                  <c:v>44.399340000000002</c:v>
                </c:pt>
                <c:pt idx="6">
                  <c:v>46.586669999999998</c:v>
                </c:pt>
                <c:pt idx="7">
                  <c:v>52.053310000000003</c:v>
                </c:pt>
                <c:pt idx="8">
                  <c:v>60.017399999999995</c:v>
                </c:pt>
                <c:pt idx="9">
                  <c:v>68.410810000000026</c:v>
                </c:pt>
                <c:pt idx="10">
                  <c:v>75.630839999999978</c:v>
                </c:pt>
                <c:pt idx="11">
                  <c:v>77.453100000000006</c:v>
                </c:pt>
                <c:pt idx="12">
                  <c:v>80.306020000000004</c:v>
                </c:pt>
                <c:pt idx="13">
                  <c:v>82.856359999999981</c:v>
                </c:pt>
                <c:pt idx="14">
                  <c:v>86.288910000000001</c:v>
                </c:pt>
                <c:pt idx="15">
                  <c:v>90.353979999999979</c:v>
                </c:pt>
                <c:pt idx="16">
                  <c:v>93.834360000000004</c:v>
                </c:pt>
                <c:pt idx="17">
                  <c:v>93.675029999999978</c:v>
                </c:pt>
                <c:pt idx="18">
                  <c:v>92.678109999999919</c:v>
                </c:pt>
                <c:pt idx="19">
                  <c:v>92.30265</c:v>
                </c:pt>
                <c:pt idx="20">
                  <c:v>92.578679999999949</c:v>
                </c:pt>
                <c:pt idx="21">
                  <c:v>86.988230000000001</c:v>
                </c:pt>
                <c:pt idx="22">
                  <c:v>77.763440000000003</c:v>
                </c:pt>
                <c:pt idx="23">
                  <c:v>66.163219999999995</c:v>
                </c:pt>
              </c:numCache>
            </c:numRef>
          </c:val>
          <c:smooth val="0"/>
        </c:ser>
        <c:ser>
          <c:idx val="2"/>
          <c:order val="1"/>
          <c:tx>
            <c:strRef>
              <c:f>'eg of adjustment'!$D$4</c:f>
              <c:strCache>
                <c:ptCount val="1"/>
                <c:pt idx="0">
                  <c:v>Control</c:v>
                </c:pt>
              </c:strCache>
            </c:strRef>
          </c:tx>
          <c:spPr>
            <a:ln>
              <a:solidFill>
                <a:schemeClr val="accent1">
                  <a:lumMod val="75000"/>
                </a:schemeClr>
              </a:solidFill>
            </a:ln>
          </c:spPr>
          <c:marker>
            <c:symbol val="none"/>
          </c:marker>
          <c:val>
            <c:numRef>
              <c:f>'eg of adjustment'!$D$5:$D$28</c:f>
              <c:numCache>
                <c:formatCode>General</c:formatCode>
                <c:ptCount val="24"/>
                <c:pt idx="0">
                  <c:v>64.953220000000115</c:v>
                </c:pt>
                <c:pt idx="1">
                  <c:v>57.335760000000001</c:v>
                </c:pt>
                <c:pt idx="2">
                  <c:v>52.062540000000013</c:v>
                </c:pt>
                <c:pt idx="3">
                  <c:v>48.047320000000006</c:v>
                </c:pt>
                <c:pt idx="4">
                  <c:v>45.84413</c:v>
                </c:pt>
                <c:pt idx="5">
                  <c:v>44.942100000000003</c:v>
                </c:pt>
                <c:pt idx="6">
                  <c:v>46.341579999999993</c:v>
                </c:pt>
                <c:pt idx="7">
                  <c:v>50.571120000000001</c:v>
                </c:pt>
                <c:pt idx="8">
                  <c:v>58.372659999999996</c:v>
                </c:pt>
                <c:pt idx="9">
                  <c:v>67.56583999999998</c:v>
                </c:pt>
                <c:pt idx="10">
                  <c:v>76.411990000000117</c:v>
                </c:pt>
                <c:pt idx="11">
                  <c:v>83.659199999999998</c:v>
                </c:pt>
                <c:pt idx="12">
                  <c:v>88.057969999999997</c:v>
                </c:pt>
                <c:pt idx="13">
                  <c:v>91.226739999999978</c:v>
                </c:pt>
                <c:pt idx="14">
                  <c:v>94.924369999999996</c:v>
                </c:pt>
                <c:pt idx="15">
                  <c:v>98.712549999999993</c:v>
                </c:pt>
                <c:pt idx="16">
                  <c:v>101.1844</c:v>
                </c:pt>
                <c:pt idx="17">
                  <c:v>99.535379999999989</c:v>
                </c:pt>
                <c:pt idx="18">
                  <c:v>93.567530000000005</c:v>
                </c:pt>
                <c:pt idx="19">
                  <c:v>91.251109999999997</c:v>
                </c:pt>
                <c:pt idx="20">
                  <c:v>90.792509999999993</c:v>
                </c:pt>
                <c:pt idx="21">
                  <c:v>84.892210000000006</c:v>
                </c:pt>
                <c:pt idx="22">
                  <c:v>75.666449999999998</c:v>
                </c:pt>
                <c:pt idx="23">
                  <c:v>65.014560000000117</c:v>
                </c:pt>
              </c:numCache>
            </c:numRef>
          </c:val>
          <c:smooth val="0"/>
        </c:ser>
        <c:ser>
          <c:idx val="1"/>
          <c:order val="2"/>
          <c:tx>
            <c:strRef>
              <c:f>'eg of adjustment'!$C$4</c:f>
              <c:strCache>
                <c:ptCount val="1"/>
                <c:pt idx="0">
                  <c:v>Adjusted Control</c:v>
                </c:pt>
              </c:strCache>
            </c:strRef>
          </c:tx>
          <c:spPr>
            <a:ln>
              <a:solidFill>
                <a:schemeClr val="accent1">
                  <a:lumMod val="60000"/>
                  <a:lumOff val="40000"/>
                </a:schemeClr>
              </a:solidFill>
              <a:prstDash val="dash"/>
            </a:ln>
          </c:spPr>
          <c:marker>
            <c:symbol val="none"/>
          </c:marker>
          <c:val>
            <c:numRef>
              <c:f>'eg of adjustment'!$C$5:$C$28</c:f>
              <c:numCache>
                <c:formatCode>General</c:formatCode>
                <c:ptCount val="24"/>
                <c:pt idx="0">
                  <c:v>64.953220000000115</c:v>
                </c:pt>
                <c:pt idx="1">
                  <c:v>57.335760000000001</c:v>
                </c:pt>
                <c:pt idx="2">
                  <c:v>52.062540000000013</c:v>
                </c:pt>
                <c:pt idx="3">
                  <c:v>48.047320000000006</c:v>
                </c:pt>
                <c:pt idx="4">
                  <c:v>45.84413</c:v>
                </c:pt>
                <c:pt idx="5">
                  <c:v>44.942100000000003</c:v>
                </c:pt>
                <c:pt idx="6">
                  <c:v>46.341579999999993</c:v>
                </c:pt>
                <c:pt idx="7">
                  <c:v>50.571120000000001</c:v>
                </c:pt>
                <c:pt idx="8">
                  <c:v>58.372659999999996</c:v>
                </c:pt>
                <c:pt idx="9">
                  <c:v>67.56583999999998</c:v>
                </c:pt>
                <c:pt idx="10">
                  <c:v>76.411990000000117</c:v>
                </c:pt>
                <c:pt idx="11">
                  <c:v>82.779969999999992</c:v>
                </c:pt>
                <c:pt idx="12">
                  <c:v>87.079689999999999</c:v>
                </c:pt>
                <c:pt idx="13">
                  <c:v>90.31223</c:v>
                </c:pt>
                <c:pt idx="14">
                  <c:v>93.887680000000003</c:v>
                </c:pt>
                <c:pt idx="15">
                  <c:v>97.823229999999995</c:v>
                </c:pt>
                <c:pt idx="16">
                  <c:v>100.5959</c:v>
                </c:pt>
                <c:pt idx="17">
                  <c:v>98.866519999999994</c:v>
                </c:pt>
                <c:pt idx="18">
                  <c:v>93.567530000000005</c:v>
                </c:pt>
                <c:pt idx="19">
                  <c:v>91.251109999999997</c:v>
                </c:pt>
                <c:pt idx="20">
                  <c:v>90.792509999999993</c:v>
                </c:pt>
                <c:pt idx="21">
                  <c:v>84.892210000000006</c:v>
                </c:pt>
                <c:pt idx="22">
                  <c:v>75.666449999999998</c:v>
                </c:pt>
                <c:pt idx="23">
                  <c:v>65.014560000000117</c:v>
                </c:pt>
              </c:numCache>
            </c:numRef>
          </c:val>
          <c:smooth val="0"/>
        </c:ser>
        <c:dLbls>
          <c:showLegendKey val="0"/>
          <c:showVal val="0"/>
          <c:showCatName val="0"/>
          <c:showSerName val="0"/>
          <c:showPercent val="0"/>
          <c:showBubbleSize val="0"/>
        </c:dLbls>
        <c:marker val="1"/>
        <c:smooth val="0"/>
        <c:axId val="80047104"/>
        <c:axId val="80053376"/>
      </c:lineChart>
      <c:catAx>
        <c:axId val="80047104"/>
        <c:scaling>
          <c:orientation val="minMax"/>
        </c:scaling>
        <c:delete val="0"/>
        <c:axPos val="b"/>
        <c:title>
          <c:tx>
            <c:rich>
              <a:bodyPr/>
              <a:lstStyle/>
              <a:p>
                <a:pPr>
                  <a:defRPr/>
                </a:pPr>
                <a:r>
                  <a:rPr lang="en-US"/>
                  <a:t>Hour Ending</a:t>
                </a:r>
              </a:p>
            </c:rich>
          </c:tx>
          <c:layout/>
          <c:overlay val="0"/>
        </c:title>
        <c:majorTickMark val="out"/>
        <c:minorTickMark val="none"/>
        <c:tickLblPos val="nextTo"/>
        <c:crossAx val="80053376"/>
        <c:crosses val="autoZero"/>
        <c:auto val="1"/>
        <c:lblAlgn val="ctr"/>
        <c:lblOffset val="100"/>
        <c:noMultiLvlLbl val="0"/>
      </c:catAx>
      <c:valAx>
        <c:axId val="80053376"/>
        <c:scaling>
          <c:orientation val="minMax"/>
        </c:scaling>
        <c:delete val="0"/>
        <c:axPos val="l"/>
        <c:majorGridlines/>
        <c:title>
          <c:tx>
            <c:rich>
              <a:bodyPr rot="-5400000" vert="horz"/>
              <a:lstStyle/>
              <a:p>
                <a:pPr>
                  <a:defRPr/>
                </a:pPr>
                <a:r>
                  <a:rPr lang="en-US"/>
                  <a:t>MW</a:t>
                </a:r>
              </a:p>
            </c:rich>
          </c:tx>
          <c:layout/>
          <c:overlay val="0"/>
        </c:title>
        <c:numFmt formatCode="General" sourceLinked="1"/>
        <c:majorTickMark val="out"/>
        <c:minorTickMark val="none"/>
        <c:tickLblPos val="nextTo"/>
        <c:crossAx val="80047104"/>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59C2A-DF88-4E72-95A3-6A8EF6ED1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Report.dotx</Template>
  <TotalTime>123</TotalTime>
  <Pages>34</Pages>
  <Words>8731</Words>
  <Characters>49771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FSC Group</Company>
  <LinksUpToDate>false</LinksUpToDate>
  <CharactersWithSpaces>58386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Rohde, Michael</dc:creator>
  <cp:lastModifiedBy>Josh Schellenberg</cp:lastModifiedBy>
  <cp:revision>9</cp:revision>
  <cp:lastPrinted>2014-03-25T01:06:00Z</cp:lastPrinted>
  <dcterms:created xsi:type="dcterms:W3CDTF">2014-03-24T22:27:00Z</dcterms:created>
  <dcterms:modified xsi:type="dcterms:W3CDTF">2014-03-25T01:08:00Z</dcterms:modified>
</cp:coreProperties>
</file>