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C7" w:rsidRDefault="00F829C7" w:rsidP="00F829C7">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Tagnipes, Jeorge S. [</w:t>
      </w:r>
      <w:hyperlink r:id="rId5" w:history="1">
        <w:r>
          <w:rPr>
            <w:rStyle w:val="Hyperlink"/>
            <w:rFonts w:ascii="Tahoma" w:hAnsi="Tahoma" w:cs="Tahoma"/>
            <w:sz w:val="20"/>
            <w:szCs w:val="20"/>
          </w:rPr>
          <w:t>mailto:jeorge.tagnipes@cpuc.ca.gov</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April 07, 2016 3:45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Best, Carmen</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t>
      </w:r>
      <w:proofErr w:type="spellStart"/>
      <w:r>
        <w:rPr>
          <w:rFonts w:ascii="Tahoma" w:hAnsi="Tahoma" w:cs="Tahoma"/>
          <w:sz w:val="20"/>
          <w:szCs w:val="20"/>
        </w:rPr>
        <w:t>Skala</w:t>
      </w:r>
      <w:proofErr w:type="spellEnd"/>
      <w:r>
        <w:rPr>
          <w:rFonts w:ascii="Tahoma" w:hAnsi="Tahoma" w:cs="Tahoma"/>
          <w:sz w:val="20"/>
          <w:szCs w:val="20"/>
        </w:rPr>
        <w:t>, Pete</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R.09-01-019 (RRIM Rehearing) Energy Division Response #04</w:t>
      </w:r>
    </w:p>
    <w:p w:rsidR="00F829C7" w:rsidRDefault="00F829C7" w:rsidP="00F829C7"/>
    <w:p w:rsidR="00F829C7" w:rsidRDefault="00F829C7" w:rsidP="00F829C7">
      <w:pPr>
        <w:rPr>
          <w:rFonts w:ascii="Palatino Linotype" w:hAnsi="Palatino Linotype"/>
        </w:rPr>
      </w:pPr>
      <w:r>
        <w:rPr>
          <w:rFonts w:ascii="Palatino Linotype" w:hAnsi="Palatino Linotype"/>
        </w:rPr>
        <w:t>Service List in R.09-01-019</w:t>
      </w:r>
    </w:p>
    <w:p w:rsidR="00F829C7" w:rsidRDefault="00F829C7" w:rsidP="00F829C7">
      <w:pPr>
        <w:pStyle w:val="Heading1"/>
        <w:spacing w:after="0"/>
        <w:rPr>
          <w:rFonts w:eastAsia="Times New Roman"/>
        </w:rPr>
      </w:pPr>
      <w:r>
        <w:rPr>
          <w:rFonts w:eastAsia="Times New Roman"/>
        </w:rPr>
        <w:t>Risk Reward Incentive Mechanism Rehearing – R.09-01-019</w:t>
      </w:r>
    </w:p>
    <w:p w:rsidR="00F829C7" w:rsidRDefault="00F829C7" w:rsidP="00F829C7">
      <w:pPr>
        <w:rPr>
          <w:rFonts w:ascii="Palatino Linotype" w:hAnsi="Palatino Linotype"/>
          <w:sz w:val="24"/>
          <w:szCs w:val="24"/>
        </w:rPr>
      </w:pPr>
      <w:r>
        <w:rPr>
          <w:rFonts w:ascii="Palatino Linotype" w:hAnsi="Palatino Linotype"/>
          <w:sz w:val="24"/>
          <w:szCs w:val="24"/>
        </w:rPr>
        <w:t>Energy Division Data Response 04</w:t>
      </w:r>
    </w:p>
    <w:p w:rsidR="00F829C7" w:rsidRDefault="00F829C7" w:rsidP="00F829C7">
      <w:pPr>
        <w:rPr>
          <w:rFonts w:ascii="Palatino Linotype" w:hAnsi="Palatino Linotype"/>
          <w:sz w:val="24"/>
          <w:szCs w:val="24"/>
        </w:rPr>
      </w:pPr>
      <w:r>
        <w:rPr>
          <w:rFonts w:ascii="Palatino Linotype" w:hAnsi="Palatino Linotype"/>
          <w:sz w:val="24"/>
          <w:szCs w:val="24"/>
        </w:rPr>
        <w:t>Updated:  4/7/2016</w:t>
      </w:r>
    </w:p>
    <w:p w:rsidR="00F829C7" w:rsidRDefault="00F829C7" w:rsidP="00F829C7">
      <w:pPr>
        <w:rPr>
          <w:rFonts w:ascii="Palatino Linotype" w:hAnsi="Palatino Linotype"/>
          <w:sz w:val="24"/>
          <w:szCs w:val="24"/>
        </w:rPr>
      </w:pPr>
      <w:r>
        <w:rPr>
          <w:rFonts w:ascii="Palatino Linotype" w:hAnsi="Palatino Linotype"/>
          <w:sz w:val="24"/>
          <w:szCs w:val="24"/>
        </w:rPr>
        <w:t xml:space="preserve">Intro:  PG&amp;E, SCE, SDG&amp;E/SCG, and ORA submitted data requests to the Energy Division for the 2006-2008 Risk Reward Incentive Mechanism Rehearing.  In an effort to ensure all parties have equal access to both the requested information and the responses, Energy Division requests the parties post these responses on their respective web sites and distribute the link to all parties in R. 09-01-019.  </w:t>
      </w:r>
    </w:p>
    <w:p w:rsidR="00624EA9" w:rsidRDefault="00624EA9" w:rsidP="00F829C7">
      <w:pPr>
        <w:rPr>
          <w:rFonts w:ascii="Palatino Linotype" w:hAnsi="Palatino Linotype"/>
          <w:sz w:val="24"/>
          <w:szCs w:val="24"/>
        </w:rPr>
      </w:pPr>
      <w:bookmarkStart w:id="0" w:name="_GoBack"/>
      <w:bookmarkEnd w:id="0"/>
    </w:p>
    <w:p w:rsidR="00624EA9" w:rsidRDefault="00624EA9" w:rsidP="00F829C7">
      <w:pPr>
        <w:rPr>
          <w:rFonts w:ascii="Palatino Linotype" w:hAnsi="Palatino Linotype"/>
          <w:sz w:val="24"/>
          <w:szCs w:val="24"/>
        </w:rPr>
      </w:pPr>
    </w:p>
    <w:tbl>
      <w:tblPr>
        <w:tblW w:w="0" w:type="auto"/>
        <w:tblCellMar>
          <w:left w:w="0" w:type="dxa"/>
          <w:right w:w="0" w:type="dxa"/>
        </w:tblCellMar>
        <w:tblLook w:val="04A0" w:firstRow="1" w:lastRow="0" w:firstColumn="1" w:lastColumn="0" w:noHBand="0" w:noVBand="1"/>
      </w:tblPr>
      <w:tblGrid>
        <w:gridCol w:w="336"/>
        <w:gridCol w:w="1465"/>
        <w:gridCol w:w="4350"/>
        <w:gridCol w:w="7745"/>
      </w:tblGrid>
      <w:tr w:rsidR="00F829C7" w:rsidTr="00F829C7">
        <w:trPr>
          <w:trHeight w:val="594"/>
          <w:tblHead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29C7" w:rsidRDefault="00F829C7">
            <w:pPr>
              <w:spacing w:after="200" w:line="276" w:lineRule="auto"/>
              <w:rPr>
                <w:rFonts w:ascii="Palatino Linotype" w:hAnsi="Palatino Linotype"/>
                <w:sz w:val="24"/>
                <w:szCs w:val="24"/>
              </w:rPr>
            </w:pPr>
            <w:r>
              <w:rPr>
                <w:rFonts w:ascii="Palatino Linotype" w:hAnsi="Palatino Linotype"/>
                <w:sz w:val="24"/>
                <w:szCs w:val="24"/>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29C7" w:rsidRDefault="00F829C7">
            <w:pPr>
              <w:spacing w:after="200" w:line="276" w:lineRule="auto"/>
              <w:rPr>
                <w:rFonts w:ascii="Palatino Linotype" w:hAnsi="Palatino Linotype"/>
                <w:sz w:val="24"/>
                <w:szCs w:val="24"/>
              </w:rPr>
            </w:pPr>
            <w:r>
              <w:rPr>
                <w:rFonts w:ascii="Palatino Linotype" w:hAnsi="Palatino Linotype"/>
                <w:sz w:val="24"/>
                <w:szCs w:val="24"/>
              </w:rPr>
              <w:t>Requesting Party</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29C7" w:rsidRDefault="00F829C7">
            <w:pPr>
              <w:spacing w:after="200" w:line="276" w:lineRule="auto"/>
              <w:rPr>
                <w:rFonts w:ascii="Palatino Linotype" w:hAnsi="Palatino Linotype"/>
                <w:sz w:val="24"/>
                <w:szCs w:val="24"/>
              </w:rPr>
            </w:pPr>
            <w:r>
              <w:rPr>
                <w:rFonts w:ascii="Palatino Linotype" w:hAnsi="Palatino Linotype"/>
                <w:sz w:val="24"/>
                <w:szCs w:val="24"/>
              </w:rPr>
              <w:t>Question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29C7" w:rsidRDefault="00F829C7">
            <w:pPr>
              <w:spacing w:after="200" w:line="276" w:lineRule="auto"/>
              <w:rPr>
                <w:rFonts w:ascii="Palatino Linotype" w:hAnsi="Palatino Linotype"/>
                <w:sz w:val="24"/>
                <w:szCs w:val="24"/>
              </w:rPr>
            </w:pPr>
            <w:r>
              <w:rPr>
                <w:rFonts w:ascii="Palatino Linotype" w:hAnsi="Palatino Linotype"/>
                <w:sz w:val="24"/>
                <w:szCs w:val="24"/>
              </w:rPr>
              <w:t>Response</w:t>
            </w:r>
          </w:p>
        </w:tc>
      </w:tr>
      <w:tr w:rsidR="00F829C7" w:rsidTr="00F829C7">
        <w:trPr>
          <w:trHeight w:val="61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29C7" w:rsidRDefault="00F829C7">
            <w:pPr>
              <w:spacing w:after="200" w:line="276" w:lineRule="auto"/>
              <w:rPr>
                <w:rFonts w:ascii="Palatino Linotype" w:hAnsi="Palatino Linotype"/>
                <w:sz w:val="24"/>
                <w:szCs w:val="24"/>
              </w:rPr>
            </w:pPr>
            <w:r>
              <w:rPr>
                <w:rFonts w:ascii="Palatino Linotype" w:hAnsi="Palatino Linotype"/>
                <w:sz w:val="24"/>
                <w:szCs w:val="24"/>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829C7" w:rsidRDefault="00F829C7">
            <w:pPr>
              <w:spacing w:after="200" w:line="276" w:lineRule="auto"/>
              <w:rPr>
                <w:rFonts w:ascii="Palatino Linotype" w:hAnsi="Palatino Linotype"/>
                <w:sz w:val="24"/>
                <w:szCs w:val="24"/>
              </w:rPr>
            </w:pPr>
            <w:r>
              <w:rPr>
                <w:rFonts w:ascii="Palatino Linotype" w:hAnsi="Palatino Linotype"/>
                <w:sz w:val="24"/>
                <w:szCs w:val="24"/>
              </w:rPr>
              <w:t>ORA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829C7" w:rsidRDefault="00F829C7">
            <w:pPr>
              <w:spacing w:after="200" w:line="276" w:lineRule="auto"/>
              <w:rPr>
                <w:rFonts w:ascii="Palatino Linotype" w:hAnsi="Palatino Linotype"/>
                <w:sz w:val="24"/>
                <w:szCs w:val="24"/>
              </w:rPr>
            </w:pPr>
            <w:r>
              <w:rPr>
                <w:rFonts w:ascii="Palatino Linotype" w:hAnsi="Palatino Linotype"/>
                <w:sz w:val="24"/>
                <w:szCs w:val="24"/>
              </w:rPr>
              <w:t>Question 1: Did the Commission and/or the Energy Division submit the 2006-2008 Energy Efficiency Evaluation Report to the California Energy Commission (CEC) for use in the Integrated Energy Policy Report (IEPR)?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829C7" w:rsidRDefault="00F829C7">
            <w:pPr>
              <w:spacing w:after="200" w:line="276" w:lineRule="auto"/>
              <w:rPr>
                <w:rFonts w:ascii="Palatino Linotype" w:hAnsi="Palatino Linotype"/>
                <w:sz w:val="24"/>
                <w:szCs w:val="24"/>
              </w:rPr>
            </w:pPr>
            <w:r>
              <w:rPr>
                <w:rFonts w:ascii="Palatino Linotype" w:hAnsi="Palatino Linotype"/>
                <w:sz w:val="24"/>
                <w:szCs w:val="24"/>
              </w:rPr>
              <w:t>Yes</w:t>
            </w:r>
          </w:p>
        </w:tc>
      </w:tr>
      <w:tr w:rsidR="00F829C7" w:rsidTr="00F829C7">
        <w:trPr>
          <w:trHeight w:val="61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29C7" w:rsidRDefault="00F829C7">
            <w:pPr>
              <w:spacing w:after="200" w:line="276" w:lineRule="auto"/>
              <w:rPr>
                <w:rFonts w:ascii="Palatino Linotype" w:hAnsi="Palatino Linotype"/>
                <w:sz w:val="24"/>
                <w:szCs w:val="24"/>
              </w:rPr>
            </w:pPr>
            <w:r>
              <w:rPr>
                <w:rFonts w:ascii="Palatino Linotype" w:hAnsi="Palatino Linotype"/>
                <w:sz w:val="24"/>
                <w:szCs w:val="24"/>
              </w:rPr>
              <w:lastRenderedPageBreak/>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829C7" w:rsidRDefault="00F829C7">
            <w:pPr>
              <w:spacing w:after="200" w:line="276" w:lineRule="auto"/>
              <w:rPr>
                <w:rFonts w:ascii="Palatino Linotype" w:hAnsi="Palatino Linotype"/>
                <w:sz w:val="24"/>
                <w:szCs w:val="24"/>
              </w:rPr>
            </w:pPr>
            <w:r>
              <w:rPr>
                <w:rFonts w:ascii="Palatino Linotype" w:hAnsi="Palatino Linotype"/>
                <w:sz w:val="24"/>
                <w:szCs w:val="24"/>
              </w:rPr>
              <w:t>ORA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829C7" w:rsidRDefault="00F829C7">
            <w:pPr>
              <w:spacing w:after="200" w:line="276" w:lineRule="auto"/>
              <w:rPr>
                <w:rFonts w:ascii="Palatino Linotype" w:hAnsi="Palatino Linotype"/>
                <w:sz w:val="24"/>
                <w:szCs w:val="24"/>
              </w:rPr>
            </w:pPr>
            <w:r>
              <w:rPr>
                <w:rFonts w:ascii="Palatino Linotype" w:hAnsi="Palatino Linotype"/>
                <w:sz w:val="24"/>
                <w:szCs w:val="24"/>
              </w:rPr>
              <w:t>If the answer to question 1 is yes, please provide any additional available information about the submission of the 2006-2008 Energy Efficiency Evaluation Report to the CEC, and the CEC’s use of the 2006-2008 Energy Efficiency Evaluation Report for the IEPR process.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829C7" w:rsidRDefault="00F829C7">
            <w:pPr>
              <w:spacing w:after="200" w:line="276" w:lineRule="auto"/>
              <w:rPr>
                <w:rFonts w:ascii="Palatino Linotype" w:hAnsi="Palatino Linotype"/>
                <w:sz w:val="24"/>
                <w:szCs w:val="24"/>
              </w:rPr>
            </w:pPr>
            <w:r>
              <w:rPr>
                <w:rFonts w:ascii="Palatino Linotype" w:hAnsi="Palatino Linotype"/>
                <w:sz w:val="24"/>
                <w:szCs w:val="24"/>
              </w:rPr>
              <w:t xml:space="preserve">The 2011 IEPR report states that “staff leveraged the CPUC’s most recent efforts to measure utility program savings.  The CPUC Energy Division’s evaluation-based estimates of program savings from 2006-2008 program cycle, as well as additional evaluation for 2009 programs, represent the most thorough and comprehensive effort to date”.  See page 110 of the </w:t>
            </w:r>
            <w:hyperlink r:id="rId6" w:history="1">
              <w:r>
                <w:rPr>
                  <w:rStyle w:val="Hyperlink"/>
                  <w:rFonts w:ascii="Palatino Linotype" w:hAnsi="Palatino Linotype"/>
                  <w:sz w:val="24"/>
                  <w:szCs w:val="24"/>
                </w:rPr>
                <w:t>report</w:t>
              </w:r>
            </w:hyperlink>
            <w:r>
              <w:rPr>
                <w:rFonts w:ascii="Palatino Linotype" w:hAnsi="Palatino Linotype"/>
                <w:sz w:val="24"/>
                <w:szCs w:val="24"/>
              </w:rPr>
              <w:t>.</w:t>
            </w:r>
          </w:p>
        </w:tc>
      </w:tr>
      <w:tr w:rsidR="00F829C7" w:rsidTr="00F829C7">
        <w:trPr>
          <w:trHeight w:val="61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29C7" w:rsidRDefault="00F829C7">
            <w:pPr>
              <w:spacing w:after="200" w:line="276" w:lineRule="auto"/>
              <w:rPr>
                <w:rFonts w:ascii="Palatino Linotype" w:hAnsi="Palatino Linotype"/>
                <w:sz w:val="24"/>
                <w:szCs w:val="24"/>
              </w:rPr>
            </w:pPr>
            <w:r>
              <w:rPr>
                <w:rFonts w:ascii="Palatino Linotype" w:hAnsi="Palatino Linotype"/>
                <w:sz w:val="24"/>
                <w:szCs w:val="24"/>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829C7" w:rsidRDefault="00F829C7">
            <w:pPr>
              <w:spacing w:after="200" w:line="276" w:lineRule="auto"/>
              <w:rPr>
                <w:rFonts w:ascii="Palatino Linotype" w:hAnsi="Palatino Linotype"/>
                <w:sz w:val="24"/>
                <w:szCs w:val="24"/>
              </w:rPr>
            </w:pPr>
            <w:r>
              <w:rPr>
                <w:rFonts w:ascii="Palatino Linotype" w:hAnsi="Palatino Linotype"/>
                <w:sz w:val="24"/>
                <w:szCs w:val="24"/>
              </w:rPr>
              <w:t>ORA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829C7" w:rsidRDefault="00F829C7">
            <w:pPr>
              <w:spacing w:after="200" w:line="276" w:lineRule="auto"/>
              <w:rPr>
                <w:rFonts w:ascii="Palatino Linotype" w:hAnsi="Palatino Linotype"/>
                <w:sz w:val="24"/>
                <w:szCs w:val="24"/>
              </w:rPr>
            </w:pPr>
            <w:r>
              <w:rPr>
                <w:rFonts w:ascii="Palatino Linotype" w:hAnsi="Palatino Linotype"/>
                <w:sz w:val="24"/>
                <w:szCs w:val="24"/>
              </w:rPr>
              <w:t xml:space="preserve">Question 3: Did the Commission and/or the Energy Division use or consider the 2006-2008 Energy Efficiency Evaluation Report for purposes other than the risk/reward incentive mechanism (RRIM) adopted in D.07-09-043, such as updating energy efficiency potential studies, including, but not limited to, the 2011 potential study under contract with Navigant Consulting?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829C7" w:rsidRDefault="00F829C7">
            <w:pPr>
              <w:spacing w:after="200" w:line="276" w:lineRule="auto"/>
              <w:rPr>
                <w:rFonts w:ascii="Palatino Linotype" w:hAnsi="Palatino Linotype"/>
                <w:sz w:val="24"/>
                <w:szCs w:val="24"/>
              </w:rPr>
            </w:pPr>
            <w:r>
              <w:rPr>
                <w:rFonts w:ascii="Palatino Linotype" w:hAnsi="Palatino Linotype"/>
                <w:sz w:val="24"/>
                <w:szCs w:val="24"/>
              </w:rPr>
              <w:t xml:space="preserve">Yes, the 2011 Potential model is calibrated to ex-post gross and net savings from the 2006-2008 EE Evaluation Report.  See page 20 of </w:t>
            </w:r>
            <w:hyperlink r:id="rId7" w:history="1">
              <w:r>
                <w:rPr>
                  <w:rStyle w:val="Hyperlink"/>
                  <w:rFonts w:ascii="Palatino Linotype" w:hAnsi="Palatino Linotype"/>
                  <w:sz w:val="24"/>
                  <w:szCs w:val="24"/>
                </w:rPr>
                <w:t>report</w:t>
              </w:r>
            </w:hyperlink>
            <w:r>
              <w:rPr>
                <w:rFonts w:ascii="Palatino Linotype" w:hAnsi="Palatino Linotype"/>
                <w:sz w:val="24"/>
                <w:szCs w:val="24"/>
              </w:rPr>
              <w:t>.</w:t>
            </w:r>
          </w:p>
        </w:tc>
      </w:tr>
      <w:tr w:rsidR="00F829C7" w:rsidTr="00F829C7">
        <w:trPr>
          <w:trHeight w:val="61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29C7" w:rsidRDefault="00F829C7">
            <w:pPr>
              <w:spacing w:after="200" w:line="276" w:lineRule="auto"/>
              <w:rPr>
                <w:rFonts w:ascii="Palatino Linotype" w:hAnsi="Palatino Linotype"/>
                <w:sz w:val="24"/>
                <w:szCs w:val="24"/>
              </w:rPr>
            </w:pPr>
            <w:r>
              <w:rPr>
                <w:rFonts w:ascii="Palatino Linotype" w:hAnsi="Palatino Linotype"/>
                <w:sz w:val="24"/>
                <w:szCs w:val="24"/>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829C7" w:rsidRDefault="00F829C7">
            <w:pPr>
              <w:spacing w:after="200" w:line="276" w:lineRule="auto"/>
              <w:rPr>
                <w:rFonts w:ascii="Palatino Linotype" w:hAnsi="Palatino Linotype"/>
                <w:sz w:val="24"/>
                <w:szCs w:val="24"/>
              </w:rPr>
            </w:pPr>
            <w:r>
              <w:rPr>
                <w:rFonts w:ascii="Palatino Linotype" w:hAnsi="Palatino Linotype"/>
                <w:sz w:val="24"/>
                <w:szCs w:val="24"/>
              </w:rPr>
              <w:t>ORA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829C7" w:rsidRDefault="00F829C7">
            <w:pPr>
              <w:spacing w:after="200" w:line="276" w:lineRule="auto"/>
              <w:rPr>
                <w:rFonts w:ascii="Palatino Linotype" w:hAnsi="Palatino Linotype"/>
                <w:sz w:val="24"/>
                <w:szCs w:val="24"/>
              </w:rPr>
            </w:pPr>
            <w:r>
              <w:rPr>
                <w:rFonts w:ascii="Palatino Linotype" w:hAnsi="Palatino Linotype"/>
                <w:sz w:val="24"/>
                <w:szCs w:val="24"/>
              </w:rPr>
              <w:t xml:space="preserve">If the answer to question 3 is yes, please list every purpose other than </w:t>
            </w:r>
            <w:r>
              <w:rPr>
                <w:rFonts w:ascii="Palatino Linotype" w:hAnsi="Palatino Linotype"/>
                <w:sz w:val="24"/>
                <w:szCs w:val="24"/>
              </w:rPr>
              <w:lastRenderedPageBreak/>
              <w:t>the RRIM for which the Commission and/or the Energy Division used the 2006-2008 Energy Efficiency Evaluation Report.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829C7" w:rsidRDefault="00F829C7">
            <w:pPr>
              <w:spacing w:after="200" w:line="276" w:lineRule="auto"/>
              <w:rPr>
                <w:rFonts w:ascii="Palatino Linotype" w:hAnsi="Palatino Linotype"/>
                <w:sz w:val="24"/>
                <w:szCs w:val="24"/>
              </w:rPr>
            </w:pPr>
            <w:r>
              <w:rPr>
                <w:rFonts w:ascii="Palatino Linotype" w:hAnsi="Palatino Linotype"/>
                <w:sz w:val="24"/>
                <w:szCs w:val="24"/>
              </w:rPr>
              <w:lastRenderedPageBreak/>
              <w:t xml:space="preserve">Energy Division also informed the Joint Agency Steering Committee (JASC) and the Demand Analysis Working Group (DAWG) of the </w:t>
            </w:r>
            <w:r>
              <w:rPr>
                <w:rFonts w:ascii="Palatino Linotype" w:hAnsi="Palatino Linotype"/>
                <w:sz w:val="24"/>
                <w:szCs w:val="24"/>
              </w:rPr>
              <w:lastRenderedPageBreak/>
              <w:t>2006-2008 Energy Efficiency Evaluation Report.</w:t>
            </w:r>
          </w:p>
        </w:tc>
      </w:tr>
      <w:tr w:rsidR="00F829C7" w:rsidTr="00F829C7">
        <w:trPr>
          <w:trHeight w:val="61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29C7" w:rsidRDefault="00F829C7">
            <w:pPr>
              <w:spacing w:after="200" w:line="276" w:lineRule="auto"/>
              <w:rPr>
                <w:rFonts w:ascii="Palatino Linotype" w:hAnsi="Palatino Linotype"/>
                <w:sz w:val="24"/>
                <w:szCs w:val="24"/>
              </w:rPr>
            </w:pPr>
            <w:r>
              <w:rPr>
                <w:rFonts w:ascii="Palatino Linotype" w:hAnsi="Palatino Linotype"/>
                <w:sz w:val="24"/>
                <w:szCs w:val="24"/>
              </w:rPr>
              <w:lastRenderedPageBreak/>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829C7" w:rsidRDefault="00F829C7">
            <w:pPr>
              <w:spacing w:after="200" w:line="276" w:lineRule="auto"/>
              <w:rPr>
                <w:rFonts w:ascii="Palatino Linotype" w:hAnsi="Palatino Linotype"/>
                <w:sz w:val="24"/>
                <w:szCs w:val="24"/>
              </w:rPr>
            </w:pPr>
            <w:r>
              <w:rPr>
                <w:rFonts w:ascii="Palatino Linotype" w:hAnsi="Palatino Linotype"/>
                <w:sz w:val="24"/>
                <w:szCs w:val="24"/>
              </w:rPr>
              <w:t>ORA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829C7" w:rsidRDefault="00F829C7">
            <w:pPr>
              <w:spacing w:after="200" w:line="276" w:lineRule="auto"/>
              <w:rPr>
                <w:rFonts w:ascii="Palatino Linotype" w:hAnsi="Palatino Linotype"/>
                <w:sz w:val="24"/>
                <w:szCs w:val="24"/>
              </w:rPr>
            </w:pPr>
            <w:r>
              <w:rPr>
                <w:rFonts w:ascii="Palatino Linotype" w:hAnsi="Palatino Linotype"/>
                <w:sz w:val="24"/>
                <w:szCs w:val="24"/>
              </w:rPr>
              <w:t>Question 5: Did the Commission and/or the Energy Division submit the 2006-2008 Energy Efficiency Evaluation Report to the California Independent System Operator (CAISO) for use in the Transmission Planning Process (TPP)?</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829C7" w:rsidRDefault="00F829C7">
            <w:pPr>
              <w:spacing w:after="200" w:line="276" w:lineRule="auto"/>
              <w:rPr>
                <w:rFonts w:ascii="Palatino Linotype" w:hAnsi="Palatino Linotype"/>
                <w:sz w:val="24"/>
                <w:szCs w:val="24"/>
              </w:rPr>
            </w:pPr>
            <w:r>
              <w:rPr>
                <w:rFonts w:ascii="Palatino Linotype" w:hAnsi="Palatino Linotype"/>
                <w:sz w:val="24"/>
                <w:szCs w:val="24"/>
              </w:rPr>
              <w:t>The CAISO started incorporating EE forecasts into their planning process for this most recent cycle, so the 2006-2008 results would not have been relevant.</w:t>
            </w:r>
          </w:p>
        </w:tc>
      </w:tr>
      <w:tr w:rsidR="00F829C7" w:rsidTr="00F829C7">
        <w:trPr>
          <w:trHeight w:val="61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29C7" w:rsidRDefault="00F829C7">
            <w:pPr>
              <w:spacing w:after="200" w:line="276" w:lineRule="auto"/>
              <w:rPr>
                <w:rFonts w:ascii="Palatino Linotype" w:hAnsi="Palatino Linotype"/>
                <w:sz w:val="24"/>
                <w:szCs w:val="24"/>
              </w:rPr>
            </w:pPr>
            <w:r>
              <w:rPr>
                <w:rFonts w:ascii="Palatino Linotype" w:hAnsi="Palatino Linotype"/>
                <w:sz w:val="24"/>
                <w:szCs w:val="24"/>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829C7" w:rsidRDefault="00F829C7">
            <w:pPr>
              <w:spacing w:after="200" w:line="276" w:lineRule="auto"/>
              <w:rPr>
                <w:rFonts w:ascii="Palatino Linotype" w:hAnsi="Palatino Linotype"/>
                <w:sz w:val="24"/>
                <w:szCs w:val="24"/>
              </w:rPr>
            </w:pPr>
            <w:r>
              <w:rPr>
                <w:rFonts w:ascii="Palatino Linotype" w:hAnsi="Palatino Linotype"/>
                <w:sz w:val="24"/>
                <w:szCs w:val="24"/>
              </w:rPr>
              <w:t>ORA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829C7" w:rsidRDefault="00F829C7">
            <w:pPr>
              <w:spacing w:after="200" w:line="276" w:lineRule="auto"/>
              <w:rPr>
                <w:rFonts w:ascii="Palatino Linotype" w:hAnsi="Palatino Linotype"/>
                <w:sz w:val="24"/>
                <w:szCs w:val="24"/>
              </w:rPr>
            </w:pPr>
            <w:r>
              <w:rPr>
                <w:rFonts w:ascii="Palatino Linotype" w:hAnsi="Palatino Linotype"/>
                <w:sz w:val="24"/>
                <w:szCs w:val="24"/>
              </w:rPr>
              <w:t>If the answer to question 5 is yes, please provide any additional available information about the submission of the 2006-2008 Energy Efficiency Evaluation Report to the CAISO and the CAISO’s use of the 2006-2008 Energy Efficiency Evaluation Report for the TPP process.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829C7" w:rsidRDefault="00F829C7">
            <w:pPr>
              <w:spacing w:after="200" w:line="276" w:lineRule="auto"/>
              <w:rPr>
                <w:rFonts w:ascii="Palatino Linotype" w:hAnsi="Palatino Linotype"/>
                <w:sz w:val="24"/>
                <w:szCs w:val="24"/>
              </w:rPr>
            </w:pPr>
          </w:p>
        </w:tc>
      </w:tr>
      <w:tr w:rsidR="00F829C7" w:rsidTr="00F829C7">
        <w:trPr>
          <w:trHeight w:val="61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29C7" w:rsidRDefault="00F829C7">
            <w:pPr>
              <w:spacing w:after="200" w:line="276" w:lineRule="auto"/>
              <w:rPr>
                <w:rFonts w:ascii="Palatino Linotype" w:hAnsi="Palatino Linotype"/>
                <w:sz w:val="24"/>
                <w:szCs w:val="24"/>
              </w:rPr>
            </w:pPr>
            <w:r>
              <w:rPr>
                <w:rFonts w:ascii="Palatino Linotype" w:hAnsi="Palatino Linotype"/>
                <w:sz w:val="24"/>
                <w:szCs w:val="24"/>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829C7" w:rsidRDefault="00F829C7">
            <w:pPr>
              <w:spacing w:after="200" w:line="276" w:lineRule="auto"/>
              <w:rPr>
                <w:rFonts w:ascii="Palatino Linotype" w:hAnsi="Palatino Linotype"/>
                <w:sz w:val="24"/>
                <w:szCs w:val="24"/>
              </w:rPr>
            </w:pPr>
            <w:r>
              <w:rPr>
                <w:rFonts w:ascii="Palatino Linotype" w:hAnsi="Palatino Linotype"/>
                <w:sz w:val="24"/>
                <w:szCs w:val="24"/>
              </w:rPr>
              <w:t>SDGE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829C7" w:rsidRDefault="00F829C7">
            <w:pPr>
              <w:spacing w:after="200" w:line="276" w:lineRule="auto"/>
              <w:rPr>
                <w:rFonts w:ascii="Palatino Linotype" w:hAnsi="Palatino Linotype"/>
                <w:sz w:val="24"/>
                <w:szCs w:val="24"/>
              </w:rPr>
            </w:pPr>
            <w:r>
              <w:rPr>
                <w:rFonts w:ascii="Palatino Linotype" w:hAnsi="Palatino Linotype"/>
                <w:sz w:val="24"/>
                <w:szCs w:val="24"/>
              </w:rPr>
              <w:t xml:space="preserve">By email requesting the password for </w:t>
            </w:r>
            <w:r>
              <w:rPr>
                <w:rFonts w:ascii="Palatino Linotype" w:hAnsi="Palatino Linotype"/>
                <w:sz w:val="24"/>
                <w:szCs w:val="24"/>
              </w:rPr>
              <w:lastRenderedPageBreak/>
              <w:t>the Risk Reward Templates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829C7" w:rsidRDefault="00F829C7">
            <w:pPr>
              <w:spacing w:after="200" w:line="276" w:lineRule="auto"/>
              <w:rPr>
                <w:rFonts w:ascii="Palatino Linotype" w:hAnsi="Palatino Linotype"/>
                <w:sz w:val="24"/>
                <w:szCs w:val="24"/>
              </w:rPr>
            </w:pPr>
            <w:r>
              <w:rPr>
                <w:rFonts w:ascii="Palatino Linotype" w:hAnsi="Palatino Linotype"/>
                <w:color w:val="1F497D"/>
              </w:rPr>
              <w:lastRenderedPageBreak/>
              <w:t>VRTRRIM</w:t>
            </w:r>
          </w:p>
        </w:tc>
      </w:tr>
      <w:tr w:rsidR="00F829C7" w:rsidTr="00F829C7">
        <w:trPr>
          <w:trHeight w:val="61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29C7" w:rsidRDefault="00F829C7">
            <w:pPr>
              <w:spacing w:after="200" w:line="276" w:lineRule="auto"/>
              <w:rPr>
                <w:rFonts w:ascii="Palatino Linotype" w:hAnsi="Palatino Linotype"/>
                <w:sz w:val="24"/>
                <w:szCs w:val="24"/>
              </w:rPr>
            </w:pPr>
            <w:r>
              <w:rPr>
                <w:rFonts w:ascii="Palatino Linotype" w:hAnsi="Palatino Linotype"/>
                <w:sz w:val="24"/>
                <w:szCs w:val="24"/>
              </w:rPr>
              <w:lastRenderedPageBreak/>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829C7" w:rsidRDefault="00F829C7">
            <w:pPr>
              <w:spacing w:after="200" w:line="276" w:lineRule="auto"/>
              <w:rPr>
                <w:rFonts w:ascii="Palatino Linotype" w:hAnsi="Palatino Linotype"/>
                <w:sz w:val="24"/>
                <w:szCs w:val="24"/>
              </w:rPr>
            </w:pPr>
            <w:r>
              <w:rPr>
                <w:rFonts w:ascii="Palatino Linotype" w:hAnsi="Palatino Linotype"/>
                <w:sz w:val="24"/>
                <w:szCs w:val="24"/>
              </w:rPr>
              <w:t>SDGE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829C7" w:rsidRDefault="00F829C7">
            <w:pPr>
              <w:spacing w:after="200" w:line="276" w:lineRule="auto"/>
              <w:rPr>
                <w:rFonts w:ascii="Palatino Linotype" w:hAnsi="Palatino Linotype"/>
                <w:sz w:val="24"/>
                <w:szCs w:val="24"/>
              </w:rPr>
            </w:pPr>
            <w:r>
              <w:rPr>
                <w:rFonts w:ascii="Palatino Linotype" w:hAnsi="Palatino Linotype"/>
                <w:sz w:val="24"/>
                <w:szCs w:val="24"/>
              </w:rPr>
              <w:t>By email requesting guidance on how to import text files into Access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829C7" w:rsidRDefault="00F829C7">
            <w:pPr>
              <w:rPr>
                <w:rFonts w:ascii="Palatino Linotype" w:hAnsi="Palatino Linotype"/>
                <w:color w:val="1F497D"/>
              </w:rPr>
            </w:pPr>
            <w:r>
              <w:rPr>
                <w:rFonts w:ascii="Palatino Linotype" w:hAnsi="Palatino Linotype"/>
                <w:color w:val="1F497D"/>
              </w:rPr>
              <w:t>Open Access and click “External Data” and click “Text File”</w:t>
            </w:r>
          </w:p>
          <w:p w:rsidR="00F829C7" w:rsidRDefault="00F829C7">
            <w:pPr>
              <w:rPr>
                <w:rFonts w:ascii="Palatino Linotype" w:hAnsi="Palatino Linotype"/>
                <w:color w:val="1F497D"/>
              </w:rPr>
            </w:pPr>
            <w:r>
              <w:rPr>
                <w:noProof/>
              </w:rPr>
              <w:drawing>
                <wp:inline distT="0" distB="0" distL="0" distR="0" wp14:anchorId="4607A795" wp14:editId="2EB4D9A5">
                  <wp:extent cx="2844800" cy="1041400"/>
                  <wp:effectExtent l="0" t="0" r="0" b="6350"/>
                  <wp:docPr id="3" name="Picture 3" descr="cid:image001.png@01D190E4.19F5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90E4.19F513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44800" cy="1041400"/>
                          </a:xfrm>
                          <a:prstGeom prst="rect">
                            <a:avLst/>
                          </a:prstGeom>
                          <a:noFill/>
                          <a:ln>
                            <a:noFill/>
                          </a:ln>
                        </pic:spPr>
                      </pic:pic>
                    </a:graphicData>
                  </a:graphic>
                </wp:inline>
              </w:drawing>
            </w:r>
          </w:p>
          <w:p w:rsidR="00F829C7" w:rsidRDefault="00F829C7">
            <w:pPr>
              <w:rPr>
                <w:rFonts w:ascii="Palatino Linotype" w:hAnsi="Palatino Linotype"/>
                <w:color w:val="1F497D"/>
              </w:rPr>
            </w:pPr>
            <w:r>
              <w:rPr>
                <w:rFonts w:ascii="Palatino Linotype" w:hAnsi="Palatino Linotype"/>
                <w:color w:val="1F497D"/>
              </w:rPr>
              <w:t>Then when I found the text files, I selected “Delimited” and for the delimiter it looked “pipe-delimited”</w:t>
            </w:r>
            <w:r>
              <w:t xml:space="preserve"> </w:t>
            </w:r>
            <w:r>
              <w:rPr>
                <w:noProof/>
              </w:rPr>
              <w:drawing>
                <wp:inline distT="0" distB="0" distL="0" distR="0" wp14:anchorId="6B0E5299" wp14:editId="1F83B89C">
                  <wp:extent cx="730250" cy="768350"/>
                  <wp:effectExtent l="0" t="0" r="0" b="0"/>
                  <wp:docPr id="2" name="Picture 2" descr="cid:image002.png@01D190E4.19F5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90E4.19F5139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30250" cy="768350"/>
                          </a:xfrm>
                          <a:prstGeom prst="rect">
                            <a:avLst/>
                          </a:prstGeom>
                          <a:noFill/>
                          <a:ln>
                            <a:noFill/>
                          </a:ln>
                        </pic:spPr>
                      </pic:pic>
                    </a:graphicData>
                  </a:graphic>
                </wp:inline>
              </w:drawing>
            </w:r>
            <w:r>
              <w:rPr>
                <w:rFonts w:ascii="Palatino Linotype" w:hAnsi="Palatino Linotype"/>
                <w:color w:val="1F497D"/>
              </w:rPr>
              <w:t> so I entered that in “other”:</w:t>
            </w:r>
          </w:p>
          <w:p w:rsidR="00F829C7" w:rsidRDefault="00F829C7">
            <w:pPr>
              <w:rPr>
                <w:rFonts w:ascii="Palatino Linotype" w:hAnsi="Palatino Linotype"/>
                <w:color w:val="1F497D"/>
              </w:rPr>
            </w:pPr>
          </w:p>
          <w:p w:rsidR="00F829C7" w:rsidRDefault="00F829C7">
            <w:pPr>
              <w:rPr>
                <w:rFonts w:ascii="Palatino Linotype" w:hAnsi="Palatino Linotype"/>
                <w:color w:val="1F497D"/>
              </w:rPr>
            </w:pPr>
            <w:r>
              <w:rPr>
                <w:noProof/>
              </w:rPr>
              <w:drawing>
                <wp:inline distT="0" distB="0" distL="0" distR="0" wp14:anchorId="1B4E0A45" wp14:editId="1BECCB7D">
                  <wp:extent cx="3276600" cy="2178050"/>
                  <wp:effectExtent l="0" t="0" r="0" b="0"/>
                  <wp:docPr id="1" name="Picture 1" descr="cid:image005.jpg@01D190E4.65790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jpg@01D190E4.65790BF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76600" cy="2178050"/>
                          </a:xfrm>
                          <a:prstGeom prst="rect">
                            <a:avLst/>
                          </a:prstGeom>
                          <a:noFill/>
                          <a:ln>
                            <a:noFill/>
                          </a:ln>
                        </pic:spPr>
                      </pic:pic>
                    </a:graphicData>
                  </a:graphic>
                </wp:inline>
              </w:drawing>
            </w:r>
          </w:p>
          <w:p w:rsidR="00F829C7" w:rsidRDefault="00F829C7">
            <w:pPr>
              <w:spacing w:after="200" w:line="276" w:lineRule="auto"/>
              <w:rPr>
                <w:rFonts w:ascii="Palatino Linotype" w:hAnsi="Palatino Linotype"/>
                <w:sz w:val="24"/>
                <w:szCs w:val="24"/>
              </w:rPr>
            </w:pPr>
          </w:p>
        </w:tc>
      </w:tr>
    </w:tbl>
    <w:p w:rsidR="00F829C7" w:rsidRDefault="00F829C7" w:rsidP="00F829C7">
      <w:pPr>
        <w:rPr>
          <w:rFonts w:ascii="Palatino Linotype" w:hAnsi="Palatino Linotype"/>
          <w:sz w:val="24"/>
          <w:szCs w:val="24"/>
        </w:rPr>
      </w:pPr>
    </w:p>
    <w:p w:rsidR="00F829C7" w:rsidRDefault="00F829C7" w:rsidP="00F829C7">
      <w:pPr>
        <w:rPr>
          <w:rFonts w:ascii="Palatino Linotype" w:hAnsi="Palatino Linotype"/>
          <w:sz w:val="20"/>
          <w:szCs w:val="20"/>
        </w:rPr>
      </w:pPr>
      <w:r>
        <w:rPr>
          <w:rFonts w:ascii="Palatino Linotype" w:hAnsi="Palatino Linotype"/>
          <w:sz w:val="20"/>
          <w:szCs w:val="20"/>
        </w:rPr>
        <w:t xml:space="preserve">Jeorge S. Tagnipes </w:t>
      </w:r>
      <w:r>
        <w:rPr>
          <w:rFonts w:ascii="Palatino Linotype" w:hAnsi="Palatino Linotype"/>
          <w:color w:val="FF0000"/>
          <w:sz w:val="20"/>
          <w:szCs w:val="20"/>
        </w:rPr>
        <w:t>|</w:t>
      </w:r>
      <w:r>
        <w:rPr>
          <w:rFonts w:ascii="Palatino Linotype" w:hAnsi="Palatino Linotype"/>
          <w:sz w:val="20"/>
          <w:szCs w:val="20"/>
        </w:rPr>
        <w:t xml:space="preserve"> 415.703.2451 </w:t>
      </w:r>
      <w:r>
        <w:rPr>
          <w:rFonts w:ascii="Palatino Linotype" w:hAnsi="Palatino Linotype"/>
          <w:color w:val="FF0000"/>
          <w:sz w:val="20"/>
          <w:szCs w:val="20"/>
        </w:rPr>
        <w:t>|</w:t>
      </w:r>
      <w:r>
        <w:rPr>
          <w:rFonts w:ascii="Palatino Linotype" w:hAnsi="Palatino Linotype"/>
          <w:sz w:val="20"/>
          <w:szCs w:val="20"/>
        </w:rPr>
        <w:t xml:space="preserve"> </w:t>
      </w:r>
      <w:hyperlink r:id="rId14" w:history="1">
        <w:r>
          <w:rPr>
            <w:rStyle w:val="Hyperlink"/>
            <w:rFonts w:ascii="Palatino Linotype" w:hAnsi="Palatino Linotype"/>
            <w:sz w:val="20"/>
            <w:szCs w:val="20"/>
          </w:rPr>
          <w:t>jeorge.tagnipes@cpuc.ca.gov</w:t>
        </w:r>
      </w:hyperlink>
      <w:r>
        <w:rPr>
          <w:rFonts w:ascii="Palatino Linotype" w:hAnsi="Palatino Linotype"/>
          <w:color w:val="FF0000"/>
          <w:sz w:val="20"/>
          <w:szCs w:val="20"/>
        </w:rPr>
        <w:t>  |</w:t>
      </w:r>
      <w:r>
        <w:rPr>
          <w:rFonts w:ascii="Palatino Linotype" w:hAnsi="Palatino Linotype"/>
          <w:sz w:val="20"/>
          <w:szCs w:val="20"/>
        </w:rPr>
        <w:t xml:space="preserve"> Energy Division </w:t>
      </w:r>
      <w:r>
        <w:rPr>
          <w:rFonts w:ascii="Palatino Linotype" w:hAnsi="Palatino Linotype"/>
          <w:color w:val="FF0000"/>
          <w:sz w:val="20"/>
          <w:szCs w:val="20"/>
        </w:rPr>
        <w:t>|</w:t>
      </w:r>
      <w:r>
        <w:rPr>
          <w:rFonts w:ascii="Palatino Linotype" w:hAnsi="Palatino Linotype"/>
          <w:sz w:val="20"/>
          <w:szCs w:val="20"/>
        </w:rPr>
        <w:t xml:space="preserve"> </w:t>
      </w:r>
      <w:hyperlink r:id="rId15" w:history="1">
        <w:r>
          <w:rPr>
            <w:rStyle w:val="Hyperlink"/>
            <w:rFonts w:ascii="Palatino Linotype" w:hAnsi="Palatino Linotype"/>
            <w:sz w:val="20"/>
            <w:szCs w:val="20"/>
          </w:rPr>
          <w:t>www.cpuc.ca.gov/lap</w:t>
        </w:r>
      </w:hyperlink>
    </w:p>
    <w:p w:rsidR="009B20EB" w:rsidRPr="00F829C7" w:rsidRDefault="00624EA9">
      <w:pPr>
        <w:rPr>
          <w:sz w:val="16"/>
          <w:szCs w:val="16"/>
        </w:rPr>
      </w:pPr>
    </w:p>
    <w:sectPr w:rsidR="009B20EB" w:rsidRPr="00F829C7" w:rsidSect="00F829C7">
      <w:pgSz w:w="15840" w:h="12240" w:orient="landscape"/>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9C7"/>
    <w:rsid w:val="00175181"/>
    <w:rsid w:val="00624EA9"/>
    <w:rsid w:val="00D858E9"/>
    <w:rsid w:val="00F8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C7"/>
    <w:pPr>
      <w:spacing w:after="0" w:line="240" w:lineRule="auto"/>
    </w:pPr>
    <w:rPr>
      <w:rFonts w:ascii="Calibri" w:hAnsi="Calibri" w:cs="Times New Roman"/>
    </w:rPr>
  </w:style>
  <w:style w:type="paragraph" w:styleId="Heading1">
    <w:name w:val="heading 1"/>
    <w:basedOn w:val="Normal"/>
    <w:link w:val="Heading1Char"/>
    <w:uiPriority w:val="9"/>
    <w:qFormat/>
    <w:rsid w:val="00F829C7"/>
    <w:pPr>
      <w:keepNext/>
      <w:spacing w:before="240" w:after="60" w:line="276" w:lineRule="auto"/>
      <w:outlineLvl w:val="0"/>
    </w:pPr>
    <w:rPr>
      <w:rFonts w:ascii="Cambria" w:hAnsi="Cambria"/>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9C7"/>
    <w:rPr>
      <w:rFonts w:ascii="Cambria" w:hAnsi="Cambria" w:cs="Times New Roman"/>
      <w:b/>
      <w:bCs/>
      <w:kern w:val="36"/>
      <w:sz w:val="32"/>
      <w:szCs w:val="32"/>
    </w:rPr>
  </w:style>
  <w:style w:type="character" w:styleId="Hyperlink">
    <w:name w:val="Hyperlink"/>
    <w:basedOn w:val="DefaultParagraphFont"/>
    <w:uiPriority w:val="99"/>
    <w:semiHidden/>
    <w:unhideWhenUsed/>
    <w:rsid w:val="00F829C7"/>
    <w:rPr>
      <w:color w:val="0000FF"/>
      <w:u w:val="single"/>
    </w:rPr>
  </w:style>
  <w:style w:type="paragraph" w:styleId="BalloonText">
    <w:name w:val="Balloon Text"/>
    <w:basedOn w:val="Normal"/>
    <w:link w:val="BalloonTextChar"/>
    <w:uiPriority w:val="99"/>
    <w:semiHidden/>
    <w:unhideWhenUsed/>
    <w:rsid w:val="00F829C7"/>
    <w:rPr>
      <w:rFonts w:ascii="Tahoma" w:hAnsi="Tahoma" w:cs="Tahoma"/>
      <w:sz w:val="16"/>
      <w:szCs w:val="16"/>
    </w:rPr>
  </w:style>
  <w:style w:type="character" w:customStyle="1" w:styleId="BalloonTextChar">
    <w:name w:val="Balloon Text Char"/>
    <w:basedOn w:val="DefaultParagraphFont"/>
    <w:link w:val="BalloonText"/>
    <w:uiPriority w:val="99"/>
    <w:semiHidden/>
    <w:rsid w:val="00F829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C7"/>
    <w:pPr>
      <w:spacing w:after="0" w:line="240" w:lineRule="auto"/>
    </w:pPr>
    <w:rPr>
      <w:rFonts w:ascii="Calibri" w:hAnsi="Calibri" w:cs="Times New Roman"/>
    </w:rPr>
  </w:style>
  <w:style w:type="paragraph" w:styleId="Heading1">
    <w:name w:val="heading 1"/>
    <w:basedOn w:val="Normal"/>
    <w:link w:val="Heading1Char"/>
    <w:uiPriority w:val="9"/>
    <w:qFormat/>
    <w:rsid w:val="00F829C7"/>
    <w:pPr>
      <w:keepNext/>
      <w:spacing w:before="240" w:after="60" w:line="276" w:lineRule="auto"/>
      <w:outlineLvl w:val="0"/>
    </w:pPr>
    <w:rPr>
      <w:rFonts w:ascii="Cambria" w:hAnsi="Cambria"/>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9C7"/>
    <w:rPr>
      <w:rFonts w:ascii="Cambria" w:hAnsi="Cambria" w:cs="Times New Roman"/>
      <w:b/>
      <w:bCs/>
      <w:kern w:val="36"/>
      <w:sz w:val="32"/>
      <w:szCs w:val="32"/>
    </w:rPr>
  </w:style>
  <w:style w:type="character" w:styleId="Hyperlink">
    <w:name w:val="Hyperlink"/>
    <w:basedOn w:val="DefaultParagraphFont"/>
    <w:uiPriority w:val="99"/>
    <w:semiHidden/>
    <w:unhideWhenUsed/>
    <w:rsid w:val="00F829C7"/>
    <w:rPr>
      <w:color w:val="0000FF"/>
      <w:u w:val="single"/>
    </w:rPr>
  </w:style>
  <w:style w:type="paragraph" w:styleId="BalloonText">
    <w:name w:val="Balloon Text"/>
    <w:basedOn w:val="Normal"/>
    <w:link w:val="BalloonTextChar"/>
    <w:uiPriority w:val="99"/>
    <w:semiHidden/>
    <w:unhideWhenUsed/>
    <w:rsid w:val="00F829C7"/>
    <w:rPr>
      <w:rFonts w:ascii="Tahoma" w:hAnsi="Tahoma" w:cs="Tahoma"/>
      <w:sz w:val="16"/>
      <w:szCs w:val="16"/>
    </w:rPr>
  </w:style>
  <w:style w:type="character" w:customStyle="1" w:styleId="BalloonTextChar">
    <w:name w:val="Balloon Text Char"/>
    <w:basedOn w:val="DefaultParagraphFont"/>
    <w:link w:val="BalloonText"/>
    <w:uiPriority w:val="99"/>
    <w:semiHidden/>
    <w:rsid w:val="00F829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55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5.jpg@01D190E4.65790BF0" TargetMode="External"/><Relationship Id="rId3" Type="http://schemas.openxmlformats.org/officeDocument/2006/relationships/settings" Target="settings.xml"/><Relationship Id="rId7" Type="http://schemas.openxmlformats.org/officeDocument/2006/relationships/hyperlink" Target="http://www.cpuc.ca.gov/WorkArea/DownloadAsset.aspx?id=4020" TargetMode="External"/><Relationship Id="rId12" Type="http://schemas.openxmlformats.org/officeDocument/2006/relationships/image" Target="media/image3.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nergy.ca.gov/2011publications/CEC-100-2011-001/CEC-100-2011-001-CMF.pdf" TargetMode="External"/><Relationship Id="rId11" Type="http://schemas.openxmlformats.org/officeDocument/2006/relationships/image" Target="cid:image002.png@01D190E4.19F51390" TargetMode="External"/><Relationship Id="rId5" Type="http://schemas.openxmlformats.org/officeDocument/2006/relationships/hyperlink" Target="mailto:jeorge.tagnipes@cpuc.ca.gov" TargetMode="External"/><Relationship Id="rId15" Type="http://schemas.openxmlformats.org/officeDocument/2006/relationships/hyperlink" Target="http://www.cpuc.ca.gov/lap"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cid:image001.png@01D190E4.19F51390" TargetMode="External"/><Relationship Id="rId14" Type="http://schemas.openxmlformats.org/officeDocument/2006/relationships/hyperlink" Target="mailto:jeorge.tagnipes@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593</Words>
  <Characters>3382</Characters>
  <Application>Microsoft Office Word</Application>
  <DocSecurity>0</DocSecurity>
  <Lines>28</Lines>
  <Paragraphs>7</Paragraphs>
  <ScaleCrop>false</ScaleCrop>
  <Company>Sempra Energy</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afaustin</dc:creator>
  <cp:lastModifiedBy>afaustin</cp:lastModifiedBy>
  <cp:revision>2</cp:revision>
  <dcterms:created xsi:type="dcterms:W3CDTF">2016-04-11T17:37:00Z</dcterms:created>
  <dcterms:modified xsi:type="dcterms:W3CDTF">2016-04-11T17:43:00Z</dcterms:modified>
</cp:coreProperties>
</file>