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95" w:rsidRDefault="003B3495" w:rsidP="003B3495">
      <w:pPr>
        <w:jc w:val="center"/>
        <w:rPr>
          <w:rFonts w:ascii="Times New Roman" w:hAnsi="Times New Roman"/>
          <w:sz w:val="26"/>
          <w:szCs w:val="26"/>
        </w:rPr>
      </w:pPr>
      <w:r>
        <w:rPr>
          <w:rFonts w:ascii="Times New Roman" w:hAnsi="Times New Roman"/>
          <w:sz w:val="26"/>
          <w:szCs w:val="26"/>
        </w:rPr>
        <w:t>FEDERAL ENERGY REGULATORY COMMISSION</w:t>
      </w:r>
    </w:p>
    <w:p w:rsidR="003B3495" w:rsidRDefault="003B3495" w:rsidP="003B3495">
      <w:pPr>
        <w:jc w:val="center"/>
        <w:rPr>
          <w:rFonts w:ascii="Times New Roman" w:hAnsi="Times New Roman"/>
          <w:sz w:val="26"/>
          <w:szCs w:val="26"/>
        </w:rPr>
      </w:pPr>
      <w:r>
        <w:rPr>
          <w:rFonts w:ascii="Times New Roman" w:hAnsi="Times New Roman"/>
          <w:sz w:val="26"/>
          <w:szCs w:val="26"/>
        </w:rPr>
        <w:t>WASHINGTON, D.C.  20426</w:t>
      </w:r>
    </w:p>
    <w:p w:rsidR="003B3495" w:rsidRDefault="003B3495" w:rsidP="003B3495">
      <w:pPr>
        <w:rPr>
          <w:sz w:val="26"/>
          <w:szCs w:val="26"/>
        </w:rPr>
      </w:pPr>
    </w:p>
    <w:p w:rsidR="003B3495" w:rsidRDefault="003B3495" w:rsidP="003B3495">
      <w:pPr>
        <w:rPr>
          <w:sz w:val="26"/>
          <w:szCs w:val="26"/>
        </w:rPr>
      </w:pPr>
    </w:p>
    <w:p w:rsidR="003B3495" w:rsidRDefault="003B3495" w:rsidP="003B3495">
      <w:pPr>
        <w:rPr>
          <w:rFonts w:ascii="Times New Roman" w:hAnsi="Times New Roman"/>
          <w:sz w:val="26"/>
          <w:szCs w:val="26"/>
        </w:rPr>
      </w:pPr>
      <w:r>
        <w:rPr>
          <w:rFonts w:ascii="Times New Roman" w:hAnsi="Times New Roman"/>
          <w:sz w:val="26"/>
          <w:szCs w:val="26"/>
        </w:rPr>
        <w:t>OFFICE OF ENERGY MARKET REGULATION</w:t>
      </w:r>
    </w:p>
    <w:p w:rsidR="003B3495" w:rsidRDefault="003B3495" w:rsidP="003B3495">
      <w:pPr>
        <w:rPr>
          <w:sz w:val="26"/>
          <w:szCs w:val="26"/>
        </w:rPr>
      </w:pPr>
    </w:p>
    <w:p w:rsidR="003B3495" w:rsidRDefault="003B3495" w:rsidP="003B3495">
      <w:pPr>
        <w:ind w:left="5040"/>
        <w:rPr>
          <w:rFonts w:ascii="Times New Roman" w:hAnsi="Times New Roman"/>
          <w:sz w:val="26"/>
          <w:szCs w:val="26"/>
        </w:rPr>
      </w:pPr>
      <w:r>
        <w:rPr>
          <w:rFonts w:ascii="Times New Roman" w:hAnsi="Times New Roman"/>
          <w:sz w:val="26"/>
          <w:szCs w:val="26"/>
        </w:rPr>
        <w:t>San Diego Gas &amp; Electric Company</w:t>
      </w:r>
    </w:p>
    <w:p w:rsidR="003B3495" w:rsidRDefault="003B3495" w:rsidP="003B3495">
      <w:pPr>
        <w:ind w:left="4320" w:firstLine="720"/>
        <w:jc w:val="both"/>
        <w:rPr>
          <w:rFonts w:ascii="Times New Roman" w:hAnsi="Times New Roman"/>
          <w:sz w:val="26"/>
          <w:szCs w:val="26"/>
          <w:lang w:val="nb-NO"/>
        </w:rPr>
      </w:pPr>
      <w:r>
        <w:rPr>
          <w:rFonts w:ascii="Times New Roman" w:hAnsi="Times New Roman"/>
          <w:sz w:val="26"/>
          <w:szCs w:val="26"/>
        </w:rPr>
        <w:t xml:space="preserve">Docket Nos.  </w:t>
      </w:r>
      <w:r>
        <w:rPr>
          <w:rFonts w:ascii="Times New Roman" w:hAnsi="Times New Roman"/>
          <w:sz w:val="26"/>
          <w:szCs w:val="26"/>
          <w:lang w:val="nb-NO"/>
        </w:rPr>
        <w:t>ER11-2548-000</w:t>
      </w:r>
    </w:p>
    <w:p w:rsidR="003B3495" w:rsidRDefault="003B3495" w:rsidP="003B3495">
      <w:pPr>
        <w:ind w:left="4320" w:firstLine="720"/>
        <w:jc w:val="both"/>
        <w:rPr>
          <w:rFonts w:ascii="Times New Roman" w:hAnsi="Times New Roman"/>
          <w:sz w:val="26"/>
          <w:szCs w:val="26"/>
          <w:lang w:val="nb-NO"/>
        </w:rPr>
      </w:pPr>
      <w:r>
        <w:rPr>
          <w:rFonts w:ascii="Times New Roman" w:hAnsi="Times New Roman"/>
          <w:sz w:val="26"/>
          <w:szCs w:val="26"/>
          <w:lang w:val="nb-NO"/>
        </w:rPr>
        <w:t>                        ER11-2948-000</w:t>
      </w:r>
    </w:p>
    <w:p w:rsidR="003B3495" w:rsidRDefault="003B3495" w:rsidP="003B3495">
      <w:pPr>
        <w:ind w:left="4320" w:firstLine="720"/>
        <w:jc w:val="both"/>
        <w:rPr>
          <w:rFonts w:ascii="Times New Roman" w:hAnsi="Times New Roman"/>
          <w:b/>
          <w:bCs/>
          <w:sz w:val="26"/>
          <w:szCs w:val="26"/>
          <w:lang w:val="nb-NO"/>
        </w:rPr>
      </w:pPr>
      <w:r>
        <w:rPr>
          <w:rFonts w:ascii="Times New Roman" w:hAnsi="Times New Roman"/>
          <w:b/>
          <w:bCs/>
          <w:sz w:val="26"/>
          <w:szCs w:val="26"/>
          <w:lang w:val="nb-NO"/>
        </w:rPr>
        <w:t>March 25, 2011</w:t>
      </w:r>
    </w:p>
    <w:p w:rsidR="003B3495" w:rsidRDefault="003B3495" w:rsidP="003B3495">
      <w:pPr>
        <w:rPr>
          <w:sz w:val="26"/>
          <w:szCs w:val="26"/>
          <w:lang w:val="nb-NO"/>
        </w:rPr>
      </w:pPr>
    </w:p>
    <w:p w:rsidR="003B3495" w:rsidRDefault="003B3495" w:rsidP="003B3495">
      <w:pPr>
        <w:rPr>
          <w:rFonts w:ascii="Times New Roman" w:hAnsi="Times New Roman"/>
          <w:sz w:val="26"/>
          <w:szCs w:val="26"/>
          <w:lang w:val="nb-NO"/>
        </w:rPr>
      </w:pPr>
      <w:r>
        <w:rPr>
          <w:rFonts w:ascii="Times New Roman" w:hAnsi="Times New Roman"/>
          <w:sz w:val="26"/>
          <w:szCs w:val="26"/>
          <w:lang w:val="nb-NO"/>
        </w:rPr>
        <w:t>Sempra Energy</w:t>
      </w:r>
    </w:p>
    <w:p w:rsidR="003B3495" w:rsidRDefault="003B3495" w:rsidP="003B3495">
      <w:pPr>
        <w:pStyle w:val="fercparanumber"/>
        <w:spacing w:before="0" w:beforeAutospacing="0" w:after="0" w:afterAutospacing="0"/>
        <w:rPr>
          <w:sz w:val="26"/>
          <w:szCs w:val="26"/>
          <w:lang w:val="nb-NO"/>
        </w:rPr>
      </w:pPr>
      <w:r>
        <w:rPr>
          <w:sz w:val="26"/>
          <w:szCs w:val="26"/>
          <w:lang w:val="nb-NO"/>
        </w:rPr>
        <w:t>101 Ash Street, HQ12</w:t>
      </w:r>
    </w:p>
    <w:p w:rsidR="003B3495" w:rsidRDefault="003B3495" w:rsidP="003B3495">
      <w:pPr>
        <w:pStyle w:val="fercparanumber"/>
        <w:spacing w:before="0" w:beforeAutospacing="0" w:after="0" w:afterAutospacing="0"/>
        <w:rPr>
          <w:sz w:val="26"/>
          <w:szCs w:val="26"/>
        </w:rPr>
      </w:pPr>
      <w:r>
        <w:rPr>
          <w:sz w:val="26"/>
          <w:szCs w:val="26"/>
        </w:rPr>
        <w:t>San Diego, CA  92101</w:t>
      </w:r>
    </w:p>
    <w:p w:rsidR="003B3495" w:rsidRDefault="003B3495" w:rsidP="003B3495">
      <w:pPr>
        <w:ind w:left="1440" w:hanging="1440"/>
        <w:rPr>
          <w:sz w:val="26"/>
          <w:szCs w:val="26"/>
        </w:rPr>
      </w:pPr>
    </w:p>
    <w:p w:rsidR="003B3495" w:rsidRDefault="003B3495" w:rsidP="003B3495">
      <w:pPr>
        <w:ind w:left="1440" w:hanging="1440"/>
        <w:rPr>
          <w:rFonts w:ascii="Times New Roman" w:hAnsi="Times New Roman"/>
          <w:sz w:val="26"/>
          <w:szCs w:val="26"/>
        </w:rPr>
      </w:pPr>
      <w:r>
        <w:rPr>
          <w:rFonts w:ascii="Times New Roman" w:hAnsi="Times New Roman"/>
          <w:sz w:val="26"/>
          <w:szCs w:val="26"/>
        </w:rPr>
        <w:t>Attention:      James Walsh, Esq.</w:t>
      </w:r>
    </w:p>
    <w:p w:rsidR="003B3495" w:rsidRDefault="003B3495" w:rsidP="003B3495">
      <w:pPr>
        <w:ind w:left="1440" w:hanging="1440"/>
        <w:rPr>
          <w:rFonts w:ascii="Times New Roman" w:hAnsi="Times New Roman"/>
          <w:sz w:val="26"/>
          <w:szCs w:val="26"/>
        </w:rPr>
      </w:pPr>
      <w:r>
        <w:rPr>
          <w:rFonts w:ascii="Times New Roman" w:hAnsi="Times New Roman"/>
          <w:sz w:val="26"/>
          <w:szCs w:val="26"/>
        </w:rPr>
        <w:t xml:space="preserve">                        Counsel for San Diego Gas &amp; Electric Company </w:t>
      </w:r>
    </w:p>
    <w:p w:rsidR="003B3495" w:rsidRDefault="003B3495" w:rsidP="003B3495">
      <w:pPr>
        <w:ind w:left="1440" w:hanging="1440"/>
        <w:rPr>
          <w:sz w:val="26"/>
          <w:szCs w:val="26"/>
        </w:rPr>
      </w:pPr>
    </w:p>
    <w:p w:rsidR="003B3495" w:rsidRDefault="003B3495" w:rsidP="003B3495">
      <w:pPr>
        <w:ind w:left="1440" w:hanging="1440"/>
        <w:rPr>
          <w:rFonts w:ascii="Times New Roman" w:hAnsi="Times New Roman"/>
          <w:sz w:val="26"/>
          <w:szCs w:val="26"/>
        </w:rPr>
      </w:pPr>
      <w:r>
        <w:rPr>
          <w:rFonts w:ascii="Times New Roman" w:hAnsi="Times New Roman"/>
          <w:sz w:val="26"/>
          <w:szCs w:val="26"/>
        </w:rPr>
        <w:t>Reference:     Wholesale Distribution Access Tariff Revisions</w:t>
      </w:r>
    </w:p>
    <w:p w:rsidR="003B3495" w:rsidRDefault="003B3495" w:rsidP="003B3495">
      <w:pPr>
        <w:pStyle w:val="fercparanumber"/>
        <w:spacing w:before="0" w:beforeAutospacing="0" w:after="0" w:afterAutospacing="0"/>
        <w:rPr>
          <w:sz w:val="26"/>
          <w:szCs w:val="26"/>
        </w:rPr>
      </w:pPr>
    </w:p>
    <w:p w:rsidR="003B3495" w:rsidRDefault="003B3495" w:rsidP="003B3495">
      <w:pPr>
        <w:pStyle w:val="fercparanumber"/>
        <w:spacing w:before="0" w:beforeAutospacing="0" w:after="0" w:afterAutospacing="0"/>
        <w:rPr>
          <w:sz w:val="26"/>
          <w:szCs w:val="26"/>
        </w:rPr>
      </w:pPr>
      <w:r>
        <w:rPr>
          <w:sz w:val="26"/>
          <w:szCs w:val="26"/>
        </w:rPr>
        <w:t>Dear Mr. Walsh:</w:t>
      </w:r>
    </w:p>
    <w:p w:rsidR="003B3495" w:rsidRDefault="003B3495" w:rsidP="003B3495">
      <w:pPr>
        <w:pStyle w:val="fercparanumber"/>
        <w:spacing w:before="0" w:beforeAutospacing="0" w:after="0" w:afterAutospacing="0"/>
        <w:rPr>
          <w:sz w:val="26"/>
          <w:szCs w:val="26"/>
        </w:rPr>
      </w:pPr>
    </w:p>
    <w:p w:rsidR="003B3495" w:rsidRDefault="003B3495" w:rsidP="003B3495">
      <w:pPr>
        <w:pStyle w:val="fercparanumber"/>
        <w:spacing w:before="0" w:beforeAutospacing="0" w:after="0" w:afterAutospacing="0"/>
        <w:ind w:firstLine="720"/>
        <w:rPr>
          <w:sz w:val="26"/>
          <w:szCs w:val="26"/>
        </w:rPr>
      </w:pPr>
      <w:r>
        <w:rPr>
          <w:sz w:val="26"/>
          <w:szCs w:val="26"/>
        </w:rPr>
        <w:t>On February 25, 2011, you filed in Docket No. ER11-2948-000, revisions to SDG&amp;E’s Wholesale Distribution Access Tariff, on behalf of San Diego Gas &amp; Electric Company (SDG&amp;E).  The proposed revisions allow interconnection customers to SDG&amp;E’s 12 kV distribution system the option to obtain Full Deliverability Status through necessary deliverability studies undertaken by the California Independent System Operator Corporation (CAISO), pursuant to sections 6.5.2 and 8.3 of CAISO’s Generator Interconnection Procedures (GIP).</w:t>
      </w:r>
      <w:r>
        <w:rPr>
          <w:rStyle w:val="FootnoteReference"/>
          <w:sz w:val="26"/>
          <w:szCs w:val="26"/>
        </w:rPr>
        <w:footnoteReference w:customMarkFollows="1" w:id="1"/>
        <w:t>[1]</w:t>
      </w:r>
      <w:r>
        <w:rPr>
          <w:rStyle w:val="Strong"/>
          <w:sz w:val="26"/>
          <w:szCs w:val="26"/>
        </w:rPr>
        <w:t>[1]</w:t>
      </w:r>
      <w:proofErr w:type="gramStart"/>
      <w:r>
        <w:rPr>
          <w:sz w:val="26"/>
          <w:szCs w:val="26"/>
        </w:rPr>
        <w:t>  Waiver</w:t>
      </w:r>
      <w:proofErr w:type="gramEnd"/>
      <w:r>
        <w:rPr>
          <w:sz w:val="26"/>
          <w:szCs w:val="26"/>
        </w:rPr>
        <w:t xml:space="preserve"> of the Commission’s notice requirements pursuant to section 35.11 of the Commission’s rules and regulations (18 C.F.R. § 35.11) is granted, and the proposed revisions are accepted for filing, effective January 20, 2011, as requested.</w:t>
      </w:r>
    </w:p>
    <w:p w:rsidR="003B3495" w:rsidRDefault="003B3495" w:rsidP="003B3495">
      <w:pPr>
        <w:pStyle w:val="fercparanumber"/>
        <w:spacing w:before="0" w:beforeAutospacing="0" w:after="0" w:afterAutospacing="0"/>
        <w:ind w:firstLine="720"/>
        <w:rPr>
          <w:sz w:val="26"/>
          <w:szCs w:val="26"/>
        </w:rPr>
      </w:pPr>
      <w:r>
        <w:rPr>
          <w:sz w:val="26"/>
          <w:szCs w:val="26"/>
        </w:rPr>
        <w:t xml:space="preserve">  </w:t>
      </w:r>
    </w:p>
    <w:p w:rsidR="003B3495" w:rsidRDefault="003B3495" w:rsidP="003B3495">
      <w:pPr>
        <w:pStyle w:val="fercparanumber"/>
        <w:spacing w:before="0" w:beforeAutospacing="0" w:after="0" w:afterAutospacing="0"/>
        <w:ind w:firstLine="720"/>
        <w:rPr>
          <w:sz w:val="26"/>
          <w:szCs w:val="26"/>
        </w:rPr>
      </w:pPr>
      <w:proofErr w:type="gramStart"/>
      <w:r>
        <w:rPr>
          <w:sz w:val="26"/>
          <w:szCs w:val="26"/>
        </w:rPr>
        <w:t>Previously, in Docket No.</w:t>
      </w:r>
      <w:proofErr w:type="gramEnd"/>
      <w:r>
        <w:rPr>
          <w:sz w:val="26"/>
          <w:szCs w:val="26"/>
        </w:rPr>
        <w:t xml:space="preserve"> ER11-2548-000, you also requested certain revisions in this regard.  Subsequently, on February 14, 2011, you filed a letter in this proceeding, stating SDG&amp;E was engaged in conversations with CAISO regarding further revisions to </w:t>
      </w:r>
    </w:p>
    <w:p w:rsidR="003B3495" w:rsidRDefault="003B3495" w:rsidP="003B3495">
      <w:pPr>
        <w:pStyle w:val="fercparanumber"/>
        <w:spacing w:before="0" w:beforeAutospacing="0" w:after="0" w:afterAutospacing="0"/>
        <w:rPr>
          <w:sz w:val="26"/>
          <w:szCs w:val="26"/>
        </w:rPr>
      </w:pPr>
    </w:p>
    <w:p w:rsidR="003B3495" w:rsidRDefault="003B3495" w:rsidP="003B3495">
      <w:pPr>
        <w:pStyle w:val="fercparanumber"/>
        <w:spacing w:before="0" w:beforeAutospacing="0" w:after="0" w:afterAutospacing="0"/>
        <w:rPr>
          <w:sz w:val="26"/>
          <w:szCs w:val="26"/>
        </w:rPr>
      </w:pPr>
      <w:r>
        <w:rPr>
          <w:sz w:val="26"/>
          <w:szCs w:val="26"/>
        </w:rPr>
        <w:lastRenderedPageBreak/>
        <w:t>(</w:t>
      </w:r>
      <w:proofErr w:type="spellStart"/>
      <w:r>
        <w:rPr>
          <w:sz w:val="26"/>
          <w:szCs w:val="26"/>
        </w:rPr>
        <w:t>i</w:t>
      </w:r>
      <w:proofErr w:type="spellEnd"/>
      <w:r>
        <w:rPr>
          <w:sz w:val="26"/>
          <w:szCs w:val="26"/>
        </w:rPr>
        <w:t xml:space="preserve">) </w:t>
      </w:r>
      <w:proofErr w:type="gramStart"/>
      <w:r>
        <w:rPr>
          <w:sz w:val="26"/>
          <w:szCs w:val="26"/>
        </w:rPr>
        <w:t>align</w:t>
      </w:r>
      <w:proofErr w:type="gramEnd"/>
      <w:r>
        <w:rPr>
          <w:sz w:val="26"/>
          <w:szCs w:val="26"/>
        </w:rPr>
        <w:t xml:space="preserve"> the timing of the CAISO’s deliverability studies with the timing of the proposed studies under SDG&amp;E’s WDAT and (ii) with the GIP’s provisions of security; and you requested the Commission defer action pending a future amendment.   </w:t>
      </w:r>
    </w:p>
    <w:p w:rsidR="003B3495" w:rsidRDefault="003B3495" w:rsidP="003B3495">
      <w:pPr>
        <w:pStyle w:val="fercparanumber"/>
        <w:spacing w:before="0" w:beforeAutospacing="0" w:after="0" w:afterAutospacing="0"/>
        <w:rPr>
          <w:sz w:val="26"/>
          <w:szCs w:val="26"/>
        </w:rPr>
      </w:pPr>
    </w:p>
    <w:p w:rsidR="003B3495" w:rsidRDefault="003B3495" w:rsidP="003B3495">
      <w:pPr>
        <w:pStyle w:val="fercparanumber"/>
        <w:spacing w:before="0" w:beforeAutospacing="0" w:after="0" w:afterAutospacing="0"/>
        <w:ind w:firstLine="720"/>
        <w:rPr>
          <w:sz w:val="26"/>
          <w:szCs w:val="26"/>
        </w:rPr>
      </w:pPr>
      <w:r>
        <w:rPr>
          <w:sz w:val="26"/>
          <w:szCs w:val="26"/>
        </w:rPr>
        <w:t>These filings were noticed on December 29, 2010 and February 25, 2011, with comments, protests or motions to intervene due on or before January 18, 2011 and March 18, 2011, respectively.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rsidR="003B3495" w:rsidRDefault="003B3495" w:rsidP="003B3495">
      <w:pPr>
        <w:ind w:firstLine="720"/>
        <w:rPr>
          <w:sz w:val="26"/>
          <w:szCs w:val="26"/>
        </w:rPr>
      </w:pPr>
    </w:p>
    <w:p w:rsidR="003B3495" w:rsidRDefault="003B3495" w:rsidP="003B3495">
      <w:pPr>
        <w:ind w:firstLine="720"/>
        <w:rPr>
          <w:rFonts w:ascii="Times New Roman" w:hAnsi="Times New Roman"/>
          <w:sz w:val="26"/>
          <w:szCs w:val="26"/>
        </w:rPr>
      </w:pPr>
      <w:r>
        <w:rPr>
          <w:rFonts w:ascii="Times New Roman" w:hAnsi="Times New Roman"/>
          <w:sz w:val="26"/>
          <w:szCs w:val="26"/>
        </w:rPr>
        <w:t>This acceptance for filing shall not be construed as constituting approval of the referenced filing or of any rate, charge, classification, or any rule, regulation, or practice affecting such rates or services provided for in the filed documents; nor shall such acceptance be deemed as recognition of any claimed contractual right or obligation associated therewith; and such acceptance is without prejudice to any findings or orders which have been or any which may hereafter be made by the Commission in any proceeding now pending or hereafter instituted by or against San Diego Gas &amp; Electric Company.</w:t>
      </w:r>
    </w:p>
    <w:p w:rsidR="003B3495" w:rsidRDefault="003B3495" w:rsidP="003B3495">
      <w:pPr>
        <w:ind w:firstLine="720"/>
        <w:rPr>
          <w:sz w:val="26"/>
          <w:szCs w:val="26"/>
        </w:rPr>
      </w:pPr>
    </w:p>
    <w:p w:rsidR="003B3495" w:rsidRDefault="003B3495" w:rsidP="003B3495">
      <w:pPr>
        <w:rPr>
          <w:rFonts w:ascii="Times New Roman" w:hAnsi="Times New Roman"/>
          <w:sz w:val="26"/>
          <w:szCs w:val="26"/>
        </w:rPr>
      </w:pPr>
      <w:r>
        <w:rPr>
          <w:rFonts w:ascii="Times New Roman" w:hAnsi="Times New Roman"/>
          <w:sz w:val="26"/>
          <w:szCs w:val="26"/>
        </w:rPr>
        <w:t>            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rsidR="003B3495" w:rsidRDefault="003B3495" w:rsidP="003B3495">
      <w:pPr>
        <w:rPr>
          <w:sz w:val="26"/>
          <w:szCs w:val="26"/>
        </w:rPr>
      </w:pPr>
    </w:p>
    <w:p w:rsidR="003B3495" w:rsidRDefault="003B3495" w:rsidP="003B3495">
      <w:pPr>
        <w:rPr>
          <w:rFonts w:ascii="Times New Roman" w:hAnsi="Times New Roman"/>
          <w:sz w:val="26"/>
          <w:szCs w:val="26"/>
        </w:rPr>
      </w:pPr>
      <w:r>
        <w:rPr>
          <w:rFonts w:ascii="Times New Roman" w:hAnsi="Times New Roman"/>
          <w:sz w:val="26"/>
          <w:szCs w:val="26"/>
        </w:rPr>
        <w:t>                                                                                    Sincerely,</w:t>
      </w:r>
    </w:p>
    <w:p w:rsidR="003B3495" w:rsidRDefault="003B3495" w:rsidP="003B3495">
      <w:pPr>
        <w:rPr>
          <w:rFonts w:ascii="Times New Roman" w:hAnsi="Times New Roman"/>
          <w:sz w:val="26"/>
          <w:szCs w:val="26"/>
        </w:rPr>
      </w:pPr>
      <w:r>
        <w:rPr>
          <w:rFonts w:ascii="Times New Roman" w:hAnsi="Times New Roman"/>
          <w:sz w:val="26"/>
          <w:szCs w:val="26"/>
        </w:rPr>
        <w:t xml:space="preserve">                                                                                          </w:t>
      </w:r>
    </w:p>
    <w:p w:rsidR="003B3495" w:rsidRDefault="003B3495" w:rsidP="003B3495">
      <w:pPr>
        <w:rPr>
          <w:sz w:val="26"/>
          <w:szCs w:val="26"/>
        </w:rPr>
      </w:pPr>
    </w:p>
    <w:p w:rsidR="003B3495" w:rsidRDefault="003B3495" w:rsidP="003B3495">
      <w:pPr>
        <w:ind w:firstLine="5040"/>
        <w:rPr>
          <w:rFonts w:ascii="Times New Roman" w:hAnsi="Times New Roman"/>
          <w:sz w:val="26"/>
          <w:szCs w:val="26"/>
        </w:rPr>
      </w:pPr>
      <w:r>
        <w:rPr>
          <w:rFonts w:ascii="Times New Roman" w:hAnsi="Times New Roman"/>
          <w:sz w:val="26"/>
          <w:szCs w:val="26"/>
        </w:rPr>
        <w:t>                                                                                                                                                            Steve P. Rodgers, Director</w:t>
      </w:r>
    </w:p>
    <w:p w:rsidR="003B3495" w:rsidRDefault="003B3495" w:rsidP="003B3495">
      <w:pPr>
        <w:ind w:left="5040"/>
        <w:rPr>
          <w:rFonts w:ascii="Times New Roman" w:hAnsi="Times New Roman"/>
          <w:sz w:val="26"/>
          <w:szCs w:val="26"/>
        </w:rPr>
      </w:pPr>
      <w:r>
        <w:rPr>
          <w:rFonts w:ascii="Times New Roman" w:hAnsi="Times New Roman"/>
          <w:sz w:val="26"/>
          <w:szCs w:val="26"/>
        </w:rPr>
        <w:t xml:space="preserve">Division of Electric Power </w:t>
      </w:r>
    </w:p>
    <w:p w:rsidR="003B3495" w:rsidRDefault="003B3495" w:rsidP="003B3495">
      <w:pPr>
        <w:ind w:left="5040"/>
        <w:rPr>
          <w:rFonts w:ascii="Times New Roman" w:hAnsi="Times New Roman"/>
          <w:sz w:val="26"/>
          <w:szCs w:val="26"/>
        </w:rPr>
      </w:pPr>
      <w:r>
        <w:rPr>
          <w:rFonts w:ascii="Times New Roman" w:hAnsi="Times New Roman"/>
          <w:sz w:val="26"/>
          <w:szCs w:val="26"/>
        </w:rPr>
        <w:t>Regulation - West</w:t>
      </w:r>
    </w:p>
    <w:p w:rsidR="003B3495" w:rsidRDefault="003B3495" w:rsidP="003B3495">
      <w:pPr>
        <w:rPr>
          <w:sz w:val="26"/>
          <w:szCs w:val="26"/>
        </w:rPr>
      </w:pPr>
    </w:p>
    <w:p w:rsidR="003B3495" w:rsidRDefault="003B3495" w:rsidP="003B3495">
      <w:pPr>
        <w:rPr>
          <w:rFonts w:ascii="Times New Roman" w:hAnsi="Times New Roman"/>
          <w:sz w:val="26"/>
          <w:szCs w:val="26"/>
        </w:rPr>
      </w:pPr>
      <w:r>
        <w:rPr>
          <w:rFonts w:ascii="Times New Roman" w:hAnsi="Times New Roman"/>
          <w:sz w:val="26"/>
          <w:szCs w:val="26"/>
        </w:rPr>
        <w:t>cc:   All Parties</w:t>
      </w:r>
    </w:p>
    <w:p w:rsidR="005D59B7" w:rsidRDefault="004275FC"/>
    <w:sectPr w:rsidR="005D59B7" w:rsidSect="009A433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5FC" w:rsidRDefault="004275FC" w:rsidP="003B3495">
      <w:r>
        <w:separator/>
      </w:r>
    </w:p>
  </w:endnote>
  <w:endnote w:type="continuationSeparator" w:id="0">
    <w:p w:rsidR="004275FC" w:rsidRDefault="004275FC" w:rsidP="003B34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5FC" w:rsidRDefault="004275FC" w:rsidP="003B3495">
      <w:r>
        <w:separator/>
      </w:r>
    </w:p>
  </w:footnote>
  <w:footnote w:type="continuationSeparator" w:id="0">
    <w:p w:rsidR="004275FC" w:rsidRDefault="004275FC" w:rsidP="003B3495">
      <w:r>
        <w:continuationSeparator/>
      </w:r>
    </w:p>
  </w:footnote>
  <w:footnote w:id="1">
    <w:p w:rsidR="003B3495" w:rsidRDefault="003B3495" w:rsidP="003B3495">
      <w:pPr>
        <w:pStyle w:val="FootnoteText"/>
        <w:spacing w:before="0" w:beforeAutospacing="0" w:after="260" w:afterAutospacing="0"/>
      </w:pPr>
      <w:r>
        <w:rPr>
          <w:rStyle w:val="FootnoteReference"/>
          <w:sz w:val="26"/>
          <w:szCs w:val="26"/>
        </w:rPr>
        <w:t>[1]</w:t>
      </w:r>
      <w:r>
        <w:rPr>
          <w:rStyle w:val="Strong"/>
          <w:sz w:val="26"/>
          <w:szCs w:val="26"/>
        </w:rPr>
        <w:t>[1]</w:t>
      </w:r>
      <w:r>
        <w:rPr>
          <w:sz w:val="26"/>
          <w:szCs w:val="26"/>
        </w:rPr>
        <w:t xml:space="preserve"> Additionally, SDG&amp;E proposes certain other ministerial changes to its WDAT, and certain changes that were previously approved by the Commission but inadvertently omitted from its tariff sheets.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3B3495"/>
    <w:rsid w:val="003B3495"/>
    <w:rsid w:val="004275FC"/>
    <w:rsid w:val="007945A4"/>
    <w:rsid w:val="009A433B"/>
    <w:rsid w:val="00CD2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9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3495"/>
    <w:pPr>
      <w:spacing w:before="100" w:beforeAutospacing="1" w:after="100" w:afterAutospacing="1"/>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3B3495"/>
    <w:rPr>
      <w:rFonts w:ascii="Times New Roman" w:hAnsi="Times New Roman" w:cs="Times New Roman"/>
      <w:sz w:val="24"/>
      <w:szCs w:val="24"/>
    </w:rPr>
  </w:style>
  <w:style w:type="paragraph" w:customStyle="1" w:styleId="fercparanumber">
    <w:name w:val="fercparanumber"/>
    <w:basedOn w:val="Normal"/>
    <w:rsid w:val="003B3495"/>
    <w:pPr>
      <w:spacing w:before="100" w:beforeAutospacing="1" w:after="100" w:afterAutospacing="1"/>
    </w:pPr>
    <w:rPr>
      <w:rFonts w:ascii="Times New Roman" w:hAnsi="Times New Roman"/>
      <w:sz w:val="24"/>
      <w:szCs w:val="24"/>
    </w:rPr>
  </w:style>
  <w:style w:type="character" w:styleId="FootnoteReference">
    <w:name w:val="footnote reference"/>
    <w:basedOn w:val="DefaultParagraphFont"/>
    <w:uiPriority w:val="99"/>
    <w:semiHidden/>
    <w:unhideWhenUsed/>
    <w:rsid w:val="003B3495"/>
  </w:style>
  <w:style w:type="character" w:styleId="Strong">
    <w:name w:val="Strong"/>
    <w:basedOn w:val="DefaultParagraphFont"/>
    <w:uiPriority w:val="22"/>
    <w:qFormat/>
    <w:rsid w:val="003B3495"/>
    <w:rPr>
      <w:b/>
      <w:bCs/>
    </w:rPr>
  </w:style>
</w:styles>
</file>

<file path=word/webSettings.xml><?xml version="1.0" encoding="utf-8"?>
<w:webSettings xmlns:r="http://schemas.openxmlformats.org/officeDocument/2006/relationships" xmlns:w="http://schemas.openxmlformats.org/wordprocessingml/2006/main">
  <w:divs>
    <w:div w:id="3481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543</Words>
  <Characters>3097</Characters>
  <Application>Microsoft Office Word</Application>
  <DocSecurity>0</DocSecurity>
  <Lines>25</Lines>
  <Paragraphs>7</Paragraphs>
  <ScaleCrop>false</ScaleCrop>
  <Company>Sempra Energy</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pmills</dc:creator>
  <cp:keywords/>
  <dc:description/>
  <cp:lastModifiedBy>pmills</cp:lastModifiedBy>
  <cp:revision>1</cp:revision>
  <dcterms:created xsi:type="dcterms:W3CDTF">2011-04-01T21:22:00Z</dcterms:created>
  <dcterms:modified xsi:type="dcterms:W3CDTF">2011-04-01T21:24:00Z</dcterms:modified>
</cp:coreProperties>
</file>