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A13" w:rsidRPr="003D4A13" w:rsidRDefault="003D4A13" w:rsidP="003D4A13">
      <w:pPr>
        <w:spacing w:line="480" w:lineRule="auto"/>
        <w:jc w:val="center"/>
        <w:rPr>
          <w:rFonts w:ascii="Times New Roman" w:hAnsi="Times New Roman" w:cs="Times New Roman"/>
          <w:b/>
          <w:sz w:val="24"/>
          <w:szCs w:val="24"/>
        </w:rPr>
      </w:pPr>
      <w:bookmarkStart w:id="0" w:name="_DV_M218"/>
      <w:bookmarkEnd w:id="0"/>
      <w:r w:rsidRPr="003D4A13">
        <w:rPr>
          <w:rFonts w:ascii="Times New Roman" w:hAnsi="Times New Roman" w:cs="Times New Roman"/>
          <w:b/>
          <w:sz w:val="24"/>
          <w:szCs w:val="24"/>
        </w:rPr>
        <w:t>APPENDIX VIII</w:t>
      </w:r>
    </w:p>
    <w:p w:rsidR="003D4A13" w:rsidRPr="003D4A13" w:rsidRDefault="0052454A" w:rsidP="003D4A1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ATTACHMENT 1</w:t>
      </w:r>
    </w:p>
    <w:p w:rsidR="003D4A13" w:rsidRPr="003D4A13" w:rsidRDefault="003D4A13" w:rsidP="003D4A13">
      <w:pPr>
        <w:spacing w:line="480" w:lineRule="auto"/>
        <w:jc w:val="center"/>
        <w:rPr>
          <w:rFonts w:ascii="Times New Roman" w:hAnsi="Times New Roman" w:cs="Times New Roman"/>
          <w:b/>
          <w:sz w:val="24"/>
          <w:szCs w:val="24"/>
        </w:rPr>
      </w:pPr>
      <w:r w:rsidRPr="003D4A13">
        <w:rPr>
          <w:rFonts w:ascii="Times New Roman" w:hAnsi="Times New Roman" w:cs="Times New Roman"/>
          <w:b/>
          <w:sz w:val="24"/>
          <w:szCs w:val="24"/>
        </w:rPr>
        <w:t>FORMULA RATE PROTOCOLS</w:t>
      </w:r>
    </w:p>
    <w:p w:rsidR="003D4A13" w:rsidRPr="003D4A13" w:rsidRDefault="003D4A13" w:rsidP="003D4A13">
      <w:pPr>
        <w:pStyle w:val="Heading2"/>
        <w:rPr>
          <w:rFonts w:ascii="Times New Roman" w:hAnsi="Times New Roman" w:cs="Times New Roman"/>
          <w:szCs w:val="24"/>
        </w:rPr>
      </w:pPr>
      <w:r w:rsidRPr="003D4A13">
        <w:rPr>
          <w:rFonts w:ascii="Times New Roman" w:hAnsi="Times New Roman" w:cs="Times New Roman"/>
          <w:szCs w:val="24"/>
        </w:rPr>
        <w:t>A.</w:t>
      </w:r>
      <w:r w:rsidRPr="003D4A13">
        <w:rPr>
          <w:rFonts w:ascii="Times New Roman" w:hAnsi="Times New Roman" w:cs="Times New Roman"/>
          <w:szCs w:val="24"/>
        </w:rPr>
        <w:tab/>
        <w:t>INTRODUCTION</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This Attachment sets forth details with respect to the determination each year of San Diego Gas &amp; Electric Company’s (“SDG&amp;E”) Base Transmission Revenue Requirements (“BTRR”) used to derive the charges assessed by SDG&amp;E to its End Use Customers (“BTRR</w:t>
      </w:r>
      <w:r w:rsidRPr="003D4A13">
        <w:rPr>
          <w:rFonts w:ascii="Times New Roman" w:hAnsi="Times New Roman" w:cs="Times New Roman"/>
          <w:sz w:val="24"/>
          <w:szCs w:val="24"/>
          <w:vertAlign w:val="subscript"/>
        </w:rPr>
        <w:t>EU</w:t>
      </w:r>
      <w:r w:rsidRPr="003D4A13">
        <w:rPr>
          <w:rFonts w:ascii="Times New Roman" w:hAnsi="Times New Roman" w:cs="Times New Roman"/>
          <w:sz w:val="24"/>
          <w:szCs w:val="24"/>
        </w:rPr>
        <w:t>”) and SDG&amp;E's BTRR used to derive the transmission charges assessed by SDG&amp;E pursuant to its Transmission Owner (“TO”) Tariff and by the California Independent System Operator Corporation (“CAISO”) pursuant to the CAISO Tariff (“BTRR</w:t>
      </w:r>
      <w:r w:rsidRPr="003D4A13">
        <w:rPr>
          <w:rFonts w:ascii="Times New Roman" w:hAnsi="Times New Roman" w:cs="Times New Roman"/>
          <w:sz w:val="24"/>
          <w:szCs w:val="24"/>
          <w:vertAlign w:val="subscript"/>
        </w:rPr>
        <w:t>CAISO</w:t>
      </w:r>
      <w:r w:rsidRPr="003D4A13">
        <w:rPr>
          <w:rFonts w:ascii="Times New Roman" w:hAnsi="Times New Roman" w:cs="Times New Roman"/>
          <w:sz w:val="24"/>
          <w:szCs w:val="24"/>
        </w:rPr>
        <w:t>”).  SDG&amp;E’s Fourth TO Formula (“TO4 Formula”) rate mechanism consists of Appendix VIII of SDG&amp;E’s TO Tariff and its two attachments:  the Formula Rate Protocols (“Protocols”) (Attachment 1) and the Formula Rate Spreadsheet (Attachment 2).  Capitalized terms shall have the meaning ascribed to them herein or in Appendix VIII of SDG&amp;E’s TO Tariff.</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The BTRR</w:t>
      </w:r>
      <w:r w:rsidRPr="003D4A13">
        <w:rPr>
          <w:rFonts w:ascii="Times New Roman" w:hAnsi="Times New Roman" w:cs="Times New Roman"/>
          <w:sz w:val="24"/>
          <w:szCs w:val="24"/>
          <w:vertAlign w:val="subscript"/>
        </w:rPr>
        <w:t>EU</w:t>
      </w:r>
      <w:r w:rsidRPr="003D4A13">
        <w:rPr>
          <w:rFonts w:ascii="Times New Roman" w:hAnsi="Times New Roman" w:cs="Times New Roman"/>
          <w:sz w:val="24"/>
          <w:szCs w:val="24"/>
        </w:rPr>
        <w:t xml:space="preserve"> and BTRR</w:t>
      </w:r>
      <w:r w:rsidRPr="003D4A13">
        <w:rPr>
          <w:rFonts w:ascii="Times New Roman" w:hAnsi="Times New Roman" w:cs="Times New Roman"/>
          <w:sz w:val="24"/>
          <w:szCs w:val="24"/>
          <w:vertAlign w:val="subscript"/>
        </w:rPr>
        <w:t>CAISO</w:t>
      </w:r>
      <w:r w:rsidRPr="003D4A13">
        <w:rPr>
          <w:rFonts w:ascii="Times New Roman" w:hAnsi="Times New Roman" w:cs="Times New Roman"/>
          <w:sz w:val="24"/>
          <w:szCs w:val="24"/>
        </w:rPr>
        <w:t xml:space="preserve"> for each Rate Effective Period will consist of the following four parts:</w:t>
      </w:r>
    </w:p>
    <w:p w:rsidR="003D4A13" w:rsidRPr="003D4A13" w:rsidRDefault="003D4A13" w:rsidP="003D4A13">
      <w:pPr>
        <w:autoSpaceDE w:val="0"/>
        <w:autoSpaceDN w:val="0"/>
        <w:adjustRightInd w:val="0"/>
        <w:spacing w:line="480" w:lineRule="auto"/>
        <w:ind w:left="1440" w:hanging="720"/>
        <w:rPr>
          <w:rFonts w:ascii="Times New Roman" w:hAnsi="Times New Roman" w:cs="Times New Roman"/>
          <w:sz w:val="24"/>
          <w:szCs w:val="24"/>
        </w:rPr>
      </w:pPr>
      <w:r w:rsidRPr="003D4A13">
        <w:rPr>
          <w:rFonts w:ascii="Times New Roman" w:hAnsi="Times New Roman" w:cs="Times New Roman"/>
          <w:sz w:val="24"/>
          <w:szCs w:val="24"/>
        </w:rPr>
        <w:t>(i)</w:t>
      </w:r>
      <w:r w:rsidRPr="003D4A13">
        <w:rPr>
          <w:rFonts w:ascii="Times New Roman" w:hAnsi="Times New Roman" w:cs="Times New Roman"/>
          <w:sz w:val="24"/>
          <w:szCs w:val="24"/>
        </w:rPr>
        <w:tab/>
      </w:r>
      <w:proofErr w:type="gramStart"/>
      <w:r w:rsidRPr="003D4A13">
        <w:rPr>
          <w:rFonts w:ascii="Times New Roman" w:hAnsi="Times New Roman" w:cs="Times New Roman"/>
          <w:sz w:val="24"/>
          <w:szCs w:val="24"/>
        </w:rPr>
        <w:t>the</w:t>
      </w:r>
      <w:proofErr w:type="gramEnd"/>
      <w:r w:rsidRPr="003D4A13">
        <w:rPr>
          <w:rFonts w:ascii="Times New Roman" w:hAnsi="Times New Roman" w:cs="Times New Roman"/>
          <w:sz w:val="24"/>
          <w:szCs w:val="24"/>
        </w:rPr>
        <w:t xml:space="preserve"> Prior Year Revenue Requirements (“PYRR”);</w:t>
      </w:r>
    </w:p>
    <w:p w:rsidR="003D4A13" w:rsidRPr="003D4A13" w:rsidRDefault="003D4A13" w:rsidP="003D4A13">
      <w:pPr>
        <w:autoSpaceDE w:val="0"/>
        <w:autoSpaceDN w:val="0"/>
        <w:adjustRightInd w:val="0"/>
        <w:spacing w:line="480" w:lineRule="auto"/>
        <w:ind w:left="1440" w:hanging="720"/>
        <w:rPr>
          <w:rFonts w:ascii="Times New Roman" w:hAnsi="Times New Roman" w:cs="Times New Roman"/>
          <w:sz w:val="24"/>
          <w:szCs w:val="24"/>
        </w:rPr>
      </w:pPr>
      <w:r w:rsidRPr="003D4A13">
        <w:rPr>
          <w:rFonts w:ascii="Times New Roman" w:hAnsi="Times New Roman" w:cs="Times New Roman"/>
          <w:sz w:val="24"/>
          <w:szCs w:val="24"/>
        </w:rPr>
        <w:t>(ii)</w:t>
      </w:r>
      <w:r w:rsidRPr="003D4A13">
        <w:rPr>
          <w:rFonts w:ascii="Times New Roman" w:hAnsi="Times New Roman" w:cs="Times New Roman"/>
          <w:sz w:val="24"/>
          <w:szCs w:val="24"/>
        </w:rPr>
        <w:tab/>
      </w:r>
      <w:proofErr w:type="gramStart"/>
      <w:r w:rsidRPr="003D4A13">
        <w:rPr>
          <w:rFonts w:ascii="Times New Roman" w:hAnsi="Times New Roman" w:cs="Times New Roman"/>
          <w:sz w:val="24"/>
          <w:szCs w:val="24"/>
        </w:rPr>
        <w:t>the</w:t>
      </w:r>
      <w:proofErr w:type="gramEnd"/>
      <w:r w:rsidRPr="003D4A13">
        <w:rPr>
          <w:rFonts w:ascii="Times New Roman" w:hAnsi="Times New Roman" w:cs="Times New Roman"/>
          <w:sz w:val="24"/>
          <w:szCs w:val="24"/>
        </w:rPr>
        <w:t xml:space="preserve"> Forecast Period Capital Addition Revenue Requirements (“FC”);</w:t>
      </w:r>
    </w:p>
    <w:p w:rsidR="003D4A13" w:rsidRPr="003D4A13" w:rsidRDefault="003D4A13" w:rsidP="003D4A13">
      <w:pPr>
        <w:autoSpaceDE w:val="0"/>
        <w:autoSpaceDN w:val="0"/>
        <w:adjustRightInd w:val="0"/>
        <w:spacing w:line="480" w:lineRule="auto"/>
        <w:ind w:left="1440" w:hanging="720"/>
        <w:rPr>
          <w:rFonts w:ascii="Times New Roman" w:hAnsi="Times New Roman" w:cs="Times New Roman"/>
          <w:sz w:val="24"/>
          <w:szCs w:val="24"/>
        </w:rPr>
      </w:pPr>
      <w:r w:rsidRPr="003D4A13">
        <w:rPr>
          <w:rFonts w:ascii="Times New Roman" w:hAnsi="Times New Roman" w:cs="Times New Roman"/>
          <w:sz w:val="24"/>
          <w:szCs w:val="24"/>
        </w:rPr>
        <w:t>(iii)</w:t>
      </w:r>
      <w:r w:rsidRPr="003D4A13">
        <w:rPr>
          <w:rFonts w:ascii="Times New Roman" w:hAnsi="Times New Roman" w:cs="Times New Roman"/>
          <w:sz w:val="24"/>
          <w:szCs w:val="24"/>
        </w:rPr>
        <w:tab/>
      </w:r>
      <w:proofErr w:type="gramStart"/>
      <w:r w:rsidRPr="003D4A13">
        <w:rPr>
          <w:rFonts w:ascii="Times New Roman" w:hAnsi="Times New Roman" w:cs="Times New Roman"/>
          <w:sz w:val="24"/>
          <w:szCs w:val="24"/>
        </w:rPr>
        <w:t>a</w:t>
      </w:r>
      <w:proofErr w:type="gramEnd"/>
      <w:r w:rsidRPr="003D4A13">
        <w:rPr>
          <w:rFonts w:ascii="Times New Roman" w:hAnsi="Times New Roman" w:cs="Times New Roman"/>
          <w:sz w:val="24"/>
          <w:szCs w:val="24"/>
        </w:rPr>
        <w:t xml:space="preserve"> True-Up Adjustment; and</w:t>
      </w:r>
    </w:p>
    <w:p w:rsidR="003D4A13" w:rsidRPr="003D4A13" w:rsidRDefault="003D4A13" w:rsidP="003D4A13">
      <w:pPr>
        <w:autoSpaceDE w:val="0"/>
        <w:autoSpaceDN w:val="0"/>
        <w:adjustRightInd w:val="0"/>
        <w:spacing w:line="480" w:lineRule="auto"/>
        <w:ind w:left="1440" w:hanging="720"/>
        <w:rPr>
          <w:rFonts w:ascii="Times New Roman" w:hAnsi="Times New Roman" w:cs="Times New Roman"/>
          <w:sz w:val="24"/>
          <w:szCs w:val="24"/>
        </w:rPr>
      </w:pPr>
      <w:r w:rsidRPr="003D4A13">
        <w:rPr>
          <w:rFonts w:ascii="Times New Roman" w:hAnsi="Times New Roman" w:cs="Times New Roman"/>
          <w:sz w:val="24"/>
          <w:szCs w:val="24"/>
        </w:rPr>
        <w:t>(iv)</w:t>
      </w:r>
      <w:r w:rsidRPr="003D4A13">
        <w:rPr>
          <w:rFonts w:ascii="Times New Roman" w:hAnsi="Times New Roman" w:cs="Times New Roman"/>
          <w:sz w:val="24"/>
          <w:szCs w:val="24"/>
        </w:rPr>
        <w:tab/>
      </w:r>
      <w:proofErr w:type="gramStart"/>
      <w:r w:rsidRPr="003D4A13">
        <w:rPr>
          <w:rFonts w:ascii="Times New Roman" w:hAnsi="Times New Roman" w:cs="Times New Roman"/>
          <w:sz w:val="24"/>
          <w:szCs w:val="24"/>
        </w:rPr>
        <w:t>an</w:t>
      </w:r>
      <w:proofErr w:type="gramEnd"/>
      <w:r w:rsidRPr="003D4A13">
        <w:rPr>
          <w:rFonts w:ascii="Times New Roman" w:hAnsi="Times New Roman" w:cs="Times New Roman"/>
          <w:sz w:val="24"/>
          <w:szCs w:val="24"/>
        </w:rPr>
        <w:t xml:space="preserve"> Interest True-Up Adjustment.</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The PYRR, FC and True-Up Adjustment, including the Interest True-Up Adjustment, shall be designed to quantify SDG&amp;E’s cost to own, operate and maintain its transmission facilities.</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lastRenderedPageBreak/>
        <w:t xml:space="preserve">The PYRR will be an annual calculation based on the previous calendar year’s data as shown in SDG&amp;E’s Federal Energy Regulatory Commission (“FERC” or the “Commission”) Form No. 1: Annual Report of Major Electric Utilities, Licensees, and Others (“Form 1”) for that year and underlying ledger accounts. SDG&amp;E shall make available the data reflected in the underlying ledger accounts used to determine SDG&amp;E's PYRR in the annual Informational Filing described below. Valley Rainbow Project Costs (as defined below) shall be recovered commencing October 1, 2003 through September 2013 in accordance with this Appendix VIII as a component of PYRR.  CPUC </w:t>
      </w:r>
      <w:proofErr w:type="spellStart"/>
      <w:r w:rsidRPr="003D4A13">
        <w:rPr>
          <w:rFonts w:ascii="Times New Roman" w:hAnsi="Times New Roman" w:cs="Times New Roman"/>
          <w:sz w:val="24"/>
          <w:szCs w:val="24"/>
        </w:rPr>
        <w:t>Intervenor</w:t>
      </w:r>
      <w:proofErr w:type="spellEnd"/>
      <w:r w:rsidRPr="003D4A13">
        <w:rPr>
          <w:rFonts w:ascii="Times New Roman" w:hAnsi="Times New Roman" w:cs="Times New Roman"/>
          <w:sz w:val="24"/>
          <w:szCs w:val="24"/>
        </w:rPr>
        <w:t xml:space="preserve"> Funding Expense, South Georgia tax impacts, and </w:t>
      </w:r>
      <w:proofErr w:type="spellStart"/>
      <w:r w:rsidRPr="003D4A13">
        <w:rPr>
          <w:rFonts w:ascii="Times New Roman" w:hAnsi="Times New Roman" w:cs="Times New Roman"/>
          <w:sz w:val="24"/>
          <w:szCs w:val="24"/>
        </w:rPr>
        <w:t>uncollectibles</w:t>
      </w:r>
      <w:proofErr w:type="spellEnd"/>
      <w:r w:rsidRPr="003D4A13">
        <w:rPr>
          <w:rFonts w:ascii="Times New Roman" w:hAnsi="Times New Roman" w:cs="Times New Roman"/>
          <w:sz w:val="24"/>
          <w:szCs w:val="24"/>
        </w:rPr>
        <w:t xml:space="preserve"> will be recovered as a component of PYRR for End Use Customers, but not for CAISO customers. The FC component will be an annual calculation based on an estimate of the revenue requirement associated with the transmission-related plant investments expected to be placed in service during the Forecast Period.</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SDG&amp;E shall calculate its BTRRs</w:t>
      </w:r>
      <w:r w:rsidRPr="003D4A13">
        <w:rPr>
          <w:rStyle w:val="FootnoteReference"/>
          <w:rFonts w:ascii="Times New Roman" w:hAnsi="Times New Roman" w:cs="Times New Roman"/>
          <w:sz w:val="24"/>
          <w:szCs w:val="24"/>
        </w:rPr>
        <w:footnoteReference w:id="1"/>
      </w:r>
      <w:r w:rsidRPr="003D4A13">
        <w:rPr>
          <w:rFonts w:ascii="Times New Roman" w:hAnsi="Times New Roman" w:cs="Times New Roman"/>
          <w:sz w:val="24"/>
          <w:szCs w:val="24"/>
        </w:rPr>
        <w:t xml:space="preserve"> using the formula rate that is presented in the Formula Rate Spreadsheet.</w:t>
      </w:r>
      <w:bookmarkStart w:id="1" w:name="_DV_M7"/>
      <w:bookmarkEnd w:id="1"/>
      <w:r w:rsidRPr="003D4A13">
        <w:rPr>
          <w:rFonts w:ascii="Times New Roman" w:hAnsi="Times New Roman" w:cs="Times New Roman"/>
          <w:sz w:val="24"/>
          <w:szCs w:val="24"/>
        </w:rPr>
        <w:t xml:space="preserve"> The Formula Rate Spreadsheet contains fixed formulae that are described in Appendix VIII.  If there is any conflict between the provisions of Appendix VIII and the Formula Rate Spreadsheet, the Formula Rate Spreadsheet shall control.  The fixed formulae in the Formula Rate Spreadsheet are subject to change only pursuant to Sections 205 and 206 of the Federal Power Act (“FPA”) and, in accordance with Section G.3 and will be populated with data from SDG&amp;E’s annual Form 1 filing or SDG&amp;E’s underlying ledger accounts.  The sources of the data used in the TO4 Formula will be:  (a) identified in the Formula Rate Spreadsheet by fixed references to specific locations in FERC Form 1, or (b) provided by SDG&amp;E in accordance with Section C of these Protocols.</w:t>
      </w:r>
    </w:p>
    <w:p w:rsidR="003D4A13" w:rsidRPr="003D4A13" w:rsidRDefault="003D4A13" w:rsidP="003D4A13">
      <w:pPr>
        <w:pStyle w:val="Heading2"/>
        <w:rPr>
          <w:rFonts w:ascii="Times New Roman" w:hAnsi="Times New Roman" w:cs="Times New Roman"/>
          <w:szCs w:val="24"/>
        </w:rPr>
      </w:pPr>
      <w:r w:rsidRPr="003D4A13">
        <w:rPr>
          <w:rFonts w:ascii="Times New Roman" w:hAnsi="Times New Roman" w:cs="Times New Roman"/>
          <w:szCs w:val="24"/>
        </w:rPr>
        <w:lastRenderedPageBreak/>
        <w:t>B.</w:t>
      </w:r>
      <w:r w:rsidRPr="003D4A13">
        <w:rPr>
          <w:rFonts w:ascii="Times New Roman" w:hAnsi="Times New Roman" w:cs="Times New Roman"/>
          <w:szCs w:val="24"/>
        </w:rPr>
        <w:tab/>
        <w:t>TERM OF SDG&amp;E’S TO4 FORMULA</w:t>
      </w:r>
    </w:p>
    <w:p w:rsidR="003D4A13" w:rsidRPr="003D4A13" w:rsidRDefault="003D4A13" w:rsidP="003D4A13">
      <w:pPr>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Retail and wholesale transmission rates shall become effective on September 1, 2013, and shall be re-determined annually thereafter in accordance with these Protocols and the TO4 Formula.</w:t>
      </w:r>
    </w:p>
    <w:p w:rsidR="003D4A13" w:rsidRPr="003D4A13" w:rsidRDefault="003D4A13" w:rsidP="003D4A13">
      <w:pPr>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 xml:space="preserve">The TO4 Formula shall be in effect through December 31, 2018, subject to the following sentence.  </w:t>
      </w:r>
      <w:proofErr w:type="gramStart"/>
      <w:r w:rsidRPr="003D4A13">
        <w:rPr>
          <w:rFonts w:ascii="Times New Roman" w:hAnsi="Times New Roman" w:cs="Times New Roman"/>
          <w:sz w:val="24"/>
          <w:szCs w:val="24"/>
        </w:rPr>
        <w:t>Each party to Docket No.</w:t>
      </w:r>
      <w:proofErr w:type="gramEnd"/>
      <w:r w:rsidRPr="003D4A13">
        <w:rPr>
          <w:rFonts w:ascii="Times New Roman" w:hAnsi="Times New Roman" w:cs="Times New Roman"/>
          <w:sz w:val="24"/>
          <w:szCs w:val="24"/>
        </w:rPr>
        <w:t xml:space="preserve"> ER13-941 (referred to collectively as “Parties” and individually as a “Party”),</w:t>
      </w:r>
      <w:r w:rsidRPr="003D4A13">
        <w:rPr>
          <w:rStyle w:val="FootnoteReference"/>
          <w:rFonts w:ascii="Times New Roman" w:hAnsi="Times New Roman" w:cs="Times New Roman"/>
          <w:sz w:val="24"/>
          <w:szCs w:val="24"/>
        </w:rPr>
        <w:footnoteReference w:id="2"/>
      </w:r>
      <w:r w:rsidRPr="003D4A13">
        <w:rPr>
          <w:rFonts w:ascii="Times New Roman" w:hAnsi="Times New Roman" w:cs="Times New Roman"/>
          <w:sz w:val="24"/>
          <w:szCs w:val="24"/>
        </w:rPr>
        <w:t xml:space="preserve"> and SDG&amp;E, shall each have a one-time right to terminate the TO4 Formula by providing notice to SDG&amp;E and to each Party no later than June 30, 2016 (“Notice of Termination”).  Following the Notice of Termination, SDG&amp;E shall file a successor rate pursuant to Section 205, which shall include a request for an effective date that is January 1, 2017.  All Parties retain their full rights to oppose the filing.</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After termination of the TO4 Formula, SDG&amp;E shall calculate a Final True-Up Adjustment.  The Final True-Up Adjustment shall cover the period of time ending on the date the TO4 Formula terminated and beginning on the day after the period covered by the most recent Annual True-Up Adjustment that was includ</w:t>
      </w:r>
      <w:bookmarkStart w:id="2" w:name="_GoBack"/>
      <w:bookmarkEnd w:id="2"/>
      <w:r w:rsidRPr="003D4A13">
        <w:rPr>
          <w:rFonts w:ascii="Times New Roman" w:hAnsi="Times New Roman" w:cs="Times New Roman"/>
          <w:sz w:val="24"/>
          <w:szCs w:val="24"/>
        </w:rPr>
        <w:t>ed in the BTRRs.  The Final True-Up Adjustment shall be determined using the same calculation methodology as the Annual True-Up Adjustment and shall be applied to the next successor rate.</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lastRenderedPageBreak/>
        <w:t>Notwithstanding the foregoing, the existing rates in effect at the time the TO4 Formula terminates shall remain in effect until superseded by subsequent Commission-approved rates, consistent with section 2.4(e) of the Commission’s regulations.</w:t>
      </w:r>
      <w:r w:rsidRPr="003D4A13">
        <w:rPr>
          <w:rStyle w:val="FootnoteReference"/>
          <w:rFonts w:ascii="Times New Roman" w:hAnsi="Times New Roman" w:cs="Times New Roman"/>
          <w:sz w:val="24"/>
          <w:szCs w:val="24"/>
        </w:rPr>
        <w:footnoteReference w:id="3"/>
      </w:r>
    </w:p>
    <w:p w:rsidR="003D4A13" w:rsidRPr="003D4A13" w:rsidRDefault="003D4A13" w:rsidP="003D4A13">
      <w:pPr>
        <w:pStyle w:val="Heading2"/>
        <w:rPr>
          <w:rFonts w:ascii="Times New Roman" w:hAnsi="Times New Roman" w:cs="Times New Roman"/>
          <w:szCs w:val="24"/>
        </w:rPr>
      </w:pPr>
      <w:r w:rsidRPr="003D4A13">
        <w:rPr>
          <w:rFonts w:ascii="Times New Roman" w:hAnsi="Times New Roman" w:cs="Times New Roman"/>
          <w:szCs w:val="24"/>
        </w:rPr>
        <w:t>C.</w:t>
      </w:r>
      <w:r w:rsidRPr="003D4A13">
        <w:rPr>
          <w:rFonts w:ascii="Times New Roman" w:hAnsi="Times New Roman" w:cs="Times New Roman"/>
          <w:szCs w:val="24"/>
        </w:rPr>
        <w:tab/>
        <w:t>PROCEDURES FOR UPDATING THE BASE TRR</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SDG&amp;E shall update its BTRRs according to the timelines and procedures described in this Section.  A summary of the procedures for updating the BTRRs in Cycle 1, Cycle 2, and for Cycle 3 and beyond are set forth in the following tables.</w:t>
      </w:r>
    </w:p>
    <w:p w:rsidR="003D4A13" w:rsidRPr="003D4A13" w:rsidRDefault="003D4A13" w:rsidP="003D4A13">
      <w:pPr>
        <w:keepNext/>
        <w:keepLines/>
        <w:rPr>
          <w:rFonts w:ascii="Times New Roman" w:hAnsi="Times New Roman" w:cs="Times New Roman"/>
          <w:b/>
          <w:sz w:val="24"/>
          <w:szCs w:val="24"/>
          <w:u w:val="single"/>
        </w:rPr>
      </w:pPr>
      <w:r w:rsidRPr="003D4A13">
        <w:rPr>
          <w:rFonts w:ascii="Times New Roman" w:hAnsi="Times New Roman" w:cs="Times New Roman"/>
          <w:b/>
          <w:sz w:val="24"/>
          <w:szCs w:val="24"/>
          <w:u w:val="single"/>
        </w:rPr>
        <w:t>TO4 Cycle 1</w:t>
      </w:r>
    </w:p>
    <w:tbl>
      <w:tblPr>
        <w:tblStyle w:val="TableGrid"/>
        <w:tblW w:w="0" w:type="auto"/>
        <w:tblInd w:w="108" w:type="dxa"/>
        <w:tblLook w:val="04A0" w:firstRow="1" w:lastRow="0" w:firstColumn="1" w:lastColumn="0" w:noHBand="0" w:noVBand="1"/>
      </w:tblPr>
      <w:tblGrid>
        <w:gridCol w:w="4230"/>
        <w:gridCol w:w="5238"/>
      </w:tblGrid>
      <w:tr w:rsidR="003D4A13" w:rsidRPr="003D4A13" w:rsidTr="00BC05D9">
        <w:tc>
          <w:tcPr>
            <w:tcW w:w="4230" w:type="dxa"/>
          </w:tcPr>
          <w:p w:rsidR="003D4A13" w:rsidRPr="003D4A13" w:rsidRDefault="003D4A13" w:rsidP="00BC05D9">
            <w:pPr>
              <w:keepNext/>
              <w:keepLines/>
              <w:rPr>
                <w:rFonts w:ascii="Times New Roman" w:hAnsi="Times New Roman" w:cs="Times New Roman"/>
                <w:sz w:val="24"/>
                <w:szCs w:val="24"/>
              </w:rPr>
            </w:pPr>
            <w:r w:rsidRPr="003D4A13">
              <w:rPr>
                <w:rFonts w:ascii="Times New Roman" w:hAnsi="Times New Roman" w:cs="Times New Roman"/>
                <w:sz w:val="24"/>
                <w:szCs w:val="24"/>
              </w:rPr>
              <w:t>Base Period</w:t>
            </w:r>
          </w:p>
        </w:tc>
        <w:tc>
          <w:tcPr>
            <w:tcW w:w="5238" w:type="dxa"/>
          </w:tcPr>
          <w:p w:rsidR="003D4A13" w:rsidRPr="003D4A13" w:rsidRDefault="003D4A13" w:rsidP="00BC05D9">
            <w:pPr>
              <w:keepNext/>
              <w:keepLines/>
              <w:rPr>
                <w:rFonts w:ascii="Times New Roman" w:hAnsi="Times New Roman" w:cs="Times New Roman"/>
                <w:sz w:val="24"/>
                <w:szCs w:val="24"/>
              </w:rPr>
            </w:pPr>
            <w:r w:rsidRPr="003D4A13">
              <w:rPr>
                <w:rFonts w:ascii="Times New Roman" w:hAnsi="Times New Roman" w:cs="Times New Roman"/>
                <w:sz w:val="24"/>
                <w:szCs w:val="24"/>
              </w:rPr>
              <w:t>12 Months ending May 31, 2012</w:t>
            </w:r>
          </w:p>
        </w:tc>
      </w:tr>
      <w:tr w:rsidR="003D4A13" w:rsidRPr="003D4A13" w:rsidTr="00BC05D9">
        <w:trPr>
          <w:trHeight w:val="305"/>
        </w:trPr>
        <w:tc>
          <w:tcPr>
            <w:tcW w:w="4230" w:type="dxa"/>
          </w:tcPr>
          <w:p w:rsidR="003D4A13" w:rsidRPr="003D4A13" w:rsidRDefault="003D4A13" w:rsidP="00BC05D9">
            <w:pPr>
              <w:keepNext/>
              <w:keepLines/>
              <w:rPr>
                <w:rFonts w:ascii="Times New Roman" w:hAnsi="Times New Roman" w:cs="Times New Roman"/>
                <w:sz w:val="24"/>
                <w:szCs w:val="24"/>
              </w:rPr>
            </w:pPr>
            <w:r w:rsidRPr="003D4A13">
              <w:rPr>
                <w:rFonts w:ascii="Times New Roman" w:hAnsi="Times New Roman" w:cs="Times New Roman"/>
                <w:sz w:val="24"/>
                <w:szCs w:val="24"/>
              </w:rPr>
              <w:t>Forecast Period</w:t>
            </w:r>
          </w:p>
        </w:tc>
        <w:tc>
          <w:tcPr>
            <w:tcW w:w="5238" w:type="dxa"/>
          </w:tcPr>
          <w:p w:rsidR="003D4A13" w:rsidRPr="003D4A13" w:rsidRDefault="003D4A13" w:rsidP="00BC05D9">
            <w:pPr>
              <w:keepNext/>
              <w:keepLines/>
              <w:jc w:val="both"/>
              <w:rPr>
                <w:rFonts w:ascii="Times New Roman" w:hAnsi="Times New Roman" w:cs="Times New Roman"/>
                <w:sz w:val="24"/>
                <w:szCs w:val="24"/>
              </w:rPr>
            </w:pPr>
            <w:r w:rsidRPr="003D4A13">
              <w:rPr>
                <w:rFonts w:ascii="Times New Roman" w:hAnsi="Times New Roman" w:cs="Times New Roman"/>
                <w:sz w:val="24"/>
                <w:szCs w:val="24"/>
              </w:rPr>
              <w:t>June 1, 2012 to August 31, 2014 (27 Months)</w:t>
            </w:r>
          </w:p>
        </w:tc>
      </w:tr>
      <w:tr w:rsidR="003D4A13" w:rsidRPr="003D4A13" w:rsidTr="00BC05D9">
        <w:tc>
          <w:tcPr>
            <w:tcW w:w="4230"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Rate Effective Period</w:t>
            </w:r>
          </w:p>
        </w:tc>
        <w:tc>
          <w:tcPr>
            <w:tcW w:w="5238"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September 1, 2013 – December 31, 2014</w:t>
            </w:r>
          </w:p>
        </w:tc>
      </w:tr>
    </w:tbl>
    <w:p w:rsidR="003D4A13" w:rsidRPr="003D4A13" w:rsidRDefault="003D4A13" w:rsidP="003D4A13">
      <w:pPr>
        <w:rPr>
          <w:rFonts w:ascii="Times New Roman" w:hAnsi="Times New Roman" w:cs="Times New Roman"/>
          <w:sz w:val="24"/>
          <w:szCs w:val="24"/>
        </w:rPr>
      </w:pPr>
    </w:p>
    <w:p w:rsidR="003D4A13" w:rsidRPr="003D4A13" w:rsidRDefault="003D4A13" w:rsidP="003D4A13">
      <w:pPr>
        <w:keepNext/>
        <w:rPr>
          <w:rFonts w:ascii="Times New Roman" w:hAnsi="Times New Roman" w:cs="Times New Roman"/>
          <w:b/>
          <w:sz w:val="24"/>
          <w:szCs w:val="24"/>
          <w:u w:val="single"/>
        </w:rPr>
      </w:pPr>
      <w:r w:rsidRPr="003D4A13">
        <w:rPr>
          <w:rFonts w:ascii="Times New Roman" w:hAnsi="Times New Roman" w:cs="Times New Roman"/>
          <w:b/>
          <w:sz w:val="24"/>
          <w:szCs w:val="24"/>
          <w:u w:val="single"/>
        </w:rPr>
        <w:t>TO4 Cycle 2</w:t>
      </w:r>
    </w:p>
    <w:tbl>
      <w:tblPr>
        <w:tblStyle w:val="TableGrid"/>
        <w:tblW w:w="0" w:type="auto"/>
        <w:tblInd w:w="108" w:type="dxa"/>
        <w:tblLook w:val="04A0" w:firstRow="1" w:lastRow="0" w:firstColumn="1" w:lastColumn="0" w:noHBand="0" w:noVBand="1"/>
      </w:tblPr>
      <w:tblGrid>
        <w:gridCol w:w="4230"/>
        <w:gridCol w:w="5238"/>
      </w:tblGrid>
      <w:tr w:rsidR="003D4A13" w:rsidRPr="003D4A13" w:rsidTr="00BC05D9">
        <w:tc>
          <w:tcPr>
            <w:tcW w:w="4230"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Base Period</w:t>
            </w:r>
          </w:p>
        </w:tc>
        <w:tc>
          <w:tcPr>
            <w:tcW w:w="5238"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Calendar year 2013</w:t>
            </w:r>
          </w:p>
        </w:tc>
      </w:tr>
      <w:tr w:rsidR="003D4A13" w:rsidRPr="003D4A13" w:rsidTr="00BC05D9">
        <w:trPr>
          <w:trHeight w:val="305"/>
        </w:trPr>
        <w:tc>
          <w:tcPr>
            <w:tcW w:w="4230"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TO4 Cycle 2 True-Up Period and TO3 Final True-Up</w:t>
            </w:r>
          </w:p>
        </w:tc>
        <w:tc>
          <w:tcPr>
            <w:tcW w:w="5238"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 xml:space="preserve">September 1, 2013 – December 31, 2013 </w:t>
            </w:r>
          </w:p>
        </w:tc>
      </w:tr>
      <w:tr w:rsidR="003D4A13" w:rsidRPr="003D4A13" w:rsidTr="00BC05D9">
        <w:trPr>
          <w:trHeight w:val="305"/>
        </w:trPr>
        <w:tc>
          <w:tcPr>
            <w:tcW w:w="4230"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Forecast Period</w:t>
            </w:r>
          </w:p>
        </w:tc>
        <w:tc>
          <w:tcPr>
            <w:tcW w:w="5238"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January 1, 2014 – December 31, 2015</w:t>
            </w:r>
          </w:p>
        </w:tc>
      </w:tr>
      <w:tr w:rsidR="003D4A13" w:rsidRPr="003D4A13" w:rsidTr="00BC05D9">
        <w:tc>
          <w:tcPr>
            <w:tcW w:w="4230"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 xml:space="preserve">Post Draft Base Period and First True-Up Adjustment </w:t>
            </w:r>
          </w:p>
        </w:tc>
        <w:tc>
          <w:tcPr>
            <w:tcW w:w="5238"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June 15, 2014</w:t>
            </w:r>
          </w:p>
        </w:tc>
      </w:tr>
      <w:tr w:rsidR="003D4A13" w:rsidRPr="003D4A13" w:rsidTr="00BC05D9">
        <w:tc>
          <w:tcPr>
            <w:tcW w:w="4230"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Start of Discovery</w:t>
            </w:r>
          </w:p>
        </w:tc>
        <w:tc>
          <w:tcPr>
            <w:tcW w:w="5238"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June 15, 2014</w:t>
            </w:r>
          </w:p>
        </w:tc>
      </w:tr>
      <w:tr w:rsidR="003D4A13" w:rsidRPr="003D4A13" w:rsidTr="00BC05D9">
        <w:tc>
          <w:tcPr>
            <w:tcW w:w="4230"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Post Forecast Period Plant Additions and BTRRs</w:t>
            </w:r>
          </w:p>
        </w:tc>
        <w:tc>
          <w:tcPr>
            <w:tcW w:w="5238"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September 1, 2014</w:t>
            </w:r>
          </w:p>
        </w:tc>
      </w:tr>
      <w:tr w:rsidR="003D4A13" w:rsidRPr="003D4A13" w:rsidTr="00BC05D9">
        <w:tc>
          <w:tcPr>
            <w:tcW w:w="4230"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End of Discovery</w:t>
            </w:r>
            <w:r w:rsidRPr="003D4A13">
              <w:rPr>
                <w:rStyle w:val="FootnoteReference"/>
                <w:rFonts w:ascii="Times New Roman" w:hAnsi="Times New Roman" w:cs="Times New Roman"/>
                <w:sz w:val="24"/>
                <w:szCs w:val="24"/>
              </w:rPr>
              <w:footnoteReference w:id="4"/>
            </w:r>
          </w:p>
        </w:tc>
        <w:tc>
          <w:tcPr>
            <w:tcW w:w="5238"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October 15, 2014</w:t>
            </w:r>
          </w:p>
        </w:tc>
      </w:tr>
      <w:tr w:rsidR="003D4A13" w:rsidRPr="003D4A13" w:rsidTr="00BC05D9">
        <w:tc>
          <w:tcPr>
            <w:tcW w:w="4230"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Annual Informational Filing</w:t>
            </w:r>
          </w:p>
        </w:tc>
        <w:tc>
          <w:tcPr>
            <w:tcW w:w="5238"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December 1, 2014</w:t>
            </w:r>
          </w:p>
        </w:tc>
      </w:tr>
      <w:tr w:rsidR="003D4A13" w:rsidRPr="003D4A13" w:rsidTr="00BC05D9">
        <w:tc>
          <w:tcPr>
            <w:tcW w:w="4230"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Rate Effective Period</w:t>
            </w:r>
          </w:p>
        </w:tc>
        <w:tc>
          <w:tcPr>
            <w:tcW w:w="5238"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January 1, 2015 – December 31, 2015</w:t>
            </w:r>
          </w:p>
        </w:tc>
      </w:tr>
    </w:tbl>
    <w:p w:rsidR="003D4A13" w:rsidRPr="003D4A13" w:rsidRDefault="003D4A13" w:rsidP="003D4A13">
      <w:pPr>
        <w:rPr>
          <w:rFonts w:ascii="Times New Roman" w:hAnsi="Times New Roman" w:cs="Times New Roman"/>
          <w:sz w:val="24"/>
          <w:szCs w:val="24"/>
        </w:rPr>
      </w:pPr>
    </w:p>
    <w:p w:rsidR="003D4A13" w:rsidRPr="003D4A13" w:rsidRDefault="003D4A13" w:rsidP="003D4A13">
      <w:pPr>
        <w:keepNext/>
        <w:rPr>
          <w:rFonts w:ascii="Times New Roman" w:hAnsi="Times New Roman" w:cs="Times New Roman"/>
          <w:sz w:val="24"/>
          <w:szCs w:val="24"/>
        </w:rPr>
      </w:pPr>
      <w:r w:rsidRPr="003D4A13">
        <w:rPr>
          <w:rFonts w:ascii="Times New Roman" w:hAnsi="Times New Roman" w:cs="Times New Roman"/>
          <w:b/>
          <w:sz w:val="24"/>
          <w:szCs w:val="24"/>
          <w:u w:val="single"/>
        </w:rPr>
        <w:lastRenderedPageBreak/>
        <w:t>TO4 Cycle 3</w:t>
      </w:r>
      <w:r w:rsidRPr="003D4A13">
        <w:rPr>
          <w:rStyle w:val="FootnoteReference"/>
          <w:rFonts w:ascii="Times New Roman" w:hAnsi="Times New Roman" w:cs="Times New Roman"/>
          <w:b/>
          <w:sz w:val="24"/>
          <w:szCs w:val="24"/>
          <w:u w:val="single"/>
        </w:rPr>
        <w:footnoteReference w:id="5"/>
      </w:r>
      <w:r w:rsidRPr="003D4A13">
        <w:rPr>
          <w:rFonts w:ascii="Times New Roman" w:hAnsi="Times New Roman" w:cs="Times New Roman"/>
          <w:b/>
          <w:sz w:val="24"/>
          <w:szCs w:val="24"/>
          <w:u w:val="single"/>
        </w:rPr>
        <w:t xml:space="preserve"> going forward</w:t>
      </w:r>
      <w:r w:rsidRPr="003D4A13">
        <w:rPr>
          <w:rFonts w:ascii="Times New Roman" w:hAnsi="Times New Roman" w:cs="Times New Roman"/>
          <w:sz w:val="24"/>
          <w:szCs w:val="24"/>
        </w:rPr>
        <w:t xml:space="preserve"> </w:t>
      </w:r>
    </w:p>
    <w:tbl>
      <w:tblPr>
        <w:tblStyle w:val="TableGrid"/>
        <w:tblW w:w="0" w:type="auto"/>
        <w:tblInd w:w="108" w:type="dxa"/>
        <w:tblLook w:val="04A0" w:firstRow="1" w:lastRow="0" w:firstColumn="1" w:lastColumn="0" w:noHBand="0" w:noVBand="1"/>
      </w:tblPr>
      <w:tblGrid>
        <w:gridCol w:w="4230"/>
        <w:gridCol w:w="5238"/>
      </w:tblGrid>
      <w:tr w:rsidR="003D4A13" w:rsidRPr="003D4A13" w:rsidTr="00BC05D9">
        <w:tc>
          <w:tcPr>
            <w:tcW w:w="4230"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Base Period</w:t>
            </w:r>
          </w:p>
        </w:tc>
        <w:tc>
          <w:tcPr>
            <w:tcW w:w="5238"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Calendar year 2014</w:t>
            </w:r>
          </w:p>
        </w:tc>
      </w:tr>
      <w:tr w:rsidR="003D4A13" w:rsidRPr="003D4A13" w:rsidTr="00BC05D9">
        <w:trPr>
          <w:trHeight w:val="305"/>
        </w:trPr>
        <w:tc>
          <w:tcPr>
            <w:tcW w:w="4230"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True-Up Period</w:t>
            </w:r>
          </w:p>
        </w:tc>
        <w:tc>
          <w:tcPr>
            <w:tcW w:w="5238"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Calendar year 2014</w:t>
            </w:r>
          </w:p>
        </w:tc>
      </w:tr>
      <w:tr w:rsidR="003D4A13" w:rsidRPr="003D4A13" w:rsidTr="00BC05D9">
        <w:trPr>
          <w:trHeight w:val="305"/>
        </w:trPr>
        <w:tc>
          <w:tcPr>
            <w:tcW w:w="4230"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Forecast Period</w:t>
            </w:r>
          </w:p>
        </w:tc>
        <w:tc>
          <w:tcPr>
            <w:tcW w:w="5238"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January 1, 2015 – December 31, 2016</w:t>
            </w:r>
          </w:p>
          <w:p w:rsidR="003D4A13" w:rsidRPr="003D4A13" w:rsidRDefault="003D4A13" w:rsidP="00BC05D9">
            <w:pPr>
              <w:keepNext/>
              <w:jc w:val="both"/>
              <w:rPr>
                <w:rFonts w:ascii="Times New Roman" w:hAnsi="Times New Roman" w:cs="Times New Roman"/>
                <w:sz w:val="24"/>
                <w:szCs w:val="24"/>
              </w:rPr>
            </w:pPr>
          </w:p>
        </w:tc>
      </w:tr>
      <w:tr w:rsidR="003D4A13" w:rsidRPr="003D4A13" w:rsidTr="00BC05D9">
        <w:tc>
          <w:tcPr>
            <w:tcW w:w="4230"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 xml:space="preserve">Post Draft Base Period and True-Up Adjustment </w:t>
            </w:r>
          </w:p>
        </w:tc>
        <w:tc>
          <w:tcPr>
            <w:tcW w:w="5238"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June 15, 2015</w:t>
            </w:r>
          </w:p>
        </w:tc>
      </w:tr>
      <w:tr w:rsidR="003D4A13" w:rsidRPr="003D4A13" w:rsidTr="00BC05D9">
        <w:tc>
          <w:tcPr>
            <w:tcW w:w="4230"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Start of Discovery</w:t>
            </w:r>
          </w:p>
        </w:tc>
        <w:tc>
          <w:tcPr>
            <w:tcW w:w="5238"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June 15, 2015</w:t>
            </w:r>
          </w:p>
        </w:tc>
      </w:tr>
      <w:tr w:rsidR="003D4A13" w:rsidRPr="003D4A13" w:rsidTr="00BC05D9">
        <w:tc>
          <w:tcPr>
            <w:tcW w:w="4230"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Post Forecast Period Plant Additions and BTRRs</w:t>
            </w:r>
          </w:p>
        </w:tc>
        <w:tc>
          <w:tcPr>
            <w:tcW w:w="5238"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September 1, 2015</w:t>
            </w:r>
          </w:p>
        </w:tc>
      </w:tr>
      <w:tr w:rsidR="003D4A13" w:rsidRPr="003D4A13" w:rsidTr="00BC05D9">
        <w:tc>
          <w:tcPr>
            <w:tcW w:w="4230"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End of Discovery</w:t>
            </w:r>
          </w:p>
        </w:tc>
        <w:tc>
          <w:tcPr>
            <w:tcW w:w="5238"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October 15, 2015</w:t>
            </w:r>
          </w:p>
        </w:tc>
      </w:tr>
      <w:tr w:rsidR="003D4A13" w:rsidRPr="003D4A13" w:rsidTr="00BC05D9">
        <w:tc>
          <w:tcPr>
            <w:tcW w:w="4230"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Annual Informational Filing</w:t>
            </w:r>
          </w:p>
        </w:tc>
        <w:tc>
          <w:tcPr>
            <w:tcW w:w="5238" w:type="dxa"/>
          </w:tcPr>
          <w:p w:rsidR="003D4A13" w:rsidRPr="003D4A13" w:rsidRDefault="003D4A13" w:rsidP="00BC05D9">
            <w:pPr>
              <w:keepNext/>
              <w:rPr>
                <w:rFonts w:ascii="Times New Roman" w:hAnsi="Times New Roman" w:cs="Times New Roman"/>
                <w:sz w:val="24"/>
                <w:szCs w:val="24"/>
              </w:rPr>
            </w:pPr>
            <w:r w:rsidRPr="003D4A13">
              <w:rPr>
                <w:rFonts w:ascii="Times New Roman" w:hAnsi="Times New Roman" w:cs="Times New Roman"/>
                <w:sz w:val="24"/>
                <w:szCs w:val="24"/>
              </w:rPr>
              <w:t>December 1, 2015</w:t>
            </w:r>
          </w:p>
        </w:tc>
      </w:tr>
      <w:tr w:rsidR="003D4A13" w:rsidRPr="003D4A13" w:rsidTr="00BC05D9">
        <w:tc>
          <w:tcPr>
            <w:tcW w:w="4230"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Rate Effective Period</w:t>
            </w:r>
          </w:p>
        </w:tc>
        <w:tc>
          <w:tcPr>
            <w:tcW w:w="5238" w:type="dxa"/>
          </w:tcPr>
          <w:p w:rsidR="003D4A13" w:rsidRPr="003D4A13" w:rsidRDefault="003D4A13" w:rsidP="00BC05D9">
            <w:pPr>
              <w:rPr>
                <w:rFonts w:ascii="Times New Roman" w:hAnsi="Times New Roman" w:cs="Times New Roman"/>
                <w:sz w:val="24"/>
                <w:szCs w:val="24"/>
              </w:rPr>
            </w:pPr>
            <w:r w:rsidRPr="003D4A13">
              <w:rPr>
                <w:rFonts w:ascii="Times New Roman" w:hAnsi="Times New Roman" w:cs="Times New Roman"/>
                <w:sz w:val="24"/>
                <w:szCs w:val="24"/>
              </w:rPr>
              <w:t>January 1, 2016 – December 31, 2016</w:t>
            </w:r>
          </w:p>
        </w:tc>
      </w:tr>
    </w:tbl>
    <w:p w:rsidR="003D4A13" w:rsidRPr="003D4A13" w:rsidRDefault="003D4A13" w:rsidP="003D4A13">
      <w:pPr>
        <w:pStyle w:val="ListParagraph"/>
        <w:spacing w:line="360" w:lineRule="auto"/>
        <w:ind w:left="360"/>
        <w:rPr>
          <w:rFonts w:cs="Times New Roman"/>
          <w:szCs w:val="24"/>
        </w:rPr>
      </w:pPr>
    </w:p>
    <w:p w:rsidR="003D4A13" w:rsidRPr="003D4A13" w:rsidRDefault="003D4A13" w:rsidP="003D4A13">
      <w:pPr>
        <w:pStyle w:val="Heading3"/>
        <w:rPr>
          <w:rFonts w:cs="Times New Roman"/>
          <w:szCs w:val="24"/>
        </w:rPr>
      </w:pPr>
      <w:r w:rsidRPr="003D4A13">
        <w:rPr>
          <w:rFonts w:cs="Times New Roman"/>
          <w:szCs w:val="24"/>
        </w:rPr>
        <w:t>1.</w:t>
      </w:r>
      <w:r w:rsidRPr="003D4A13">
        <w:rPr>
          <w:rFonts w:cs="Times New Roman"/>
          <w:szCs w:val="24"/>
        </w:rPr>
        <w:tab/>
        <w:t>Draft Informational Filing</w:t>
      </w:r>
    </w:p>
    <w:p w:rsidR="003D4A13" w:rsidRPr="003D4A13" w:rsidRDefault="003D4A13" w:rsidP="003D4A13">
      <w:pPr>
        <w:autoSpaceDE w:val="0"/>
        <w:autoSpaceDN w:val="0"/>
        <w:adjustRightInd w:val="0"/>
        <w:spacing w:line="480" w:lineRule="auto"/>
        <w:ind w:firstLine="720"/>
        <w:rPr>
          <w:rFonts w:ascii="Times New Roman" w:hAnsi="Times New Roman" w:cs="Times New Roman"/>
          <w:color w:val="000000"/>
          <w:sz w:val="24"/>
          <w:szCs w:val="24"/>
        </w:rPr>
      </w:pPr>
      <w:r w:rsidRPr="003D4A13">
        <w:rPr>
          <w:rFonts w:ascii="Times New Roman" w:hAnsi="Times New Roman" w:cs="Times New Roman"/>
          <w:sz w:val="24"/>
          <w:szCs w:val="24"/>
        </w:rPr>
        <w:t xml:space="preserve">On or before June 15 of each year, SDG&amp;E shall post on its OASIS at </w:t>
      </w:r>
      <w:hyperlink r:id="rId8" w:history="1">
        <w:r w:rsidRPr="003D4A13">
          <w:rPr>
            <w:rStyle w:val="Hyperlink"/>
            <w:rFonts w:ascii="Times New Roman" w:hAnsi="Times New Roman" w:cs="Times New Roman"/>
            <w:sz w:val="24"/>
            <w:szCs w:val="24"/>
          </w:rPr>
          <w:t>www.sdge.com/rates-regulations/tariff-information/open-access-ferc-tariffs</w:t>
        </w:r>
      </w:hyperlink>
      <w:r w:rsidRPr="003D4A13">
        <w:rPr>
          <w:rFonts w:ascii="Times New Roman" w:hAnsi="Times New Roman" w:cs="Times New Roman"/>
          <w:sz w:val="24"/>
          <w:szCs w:val="24"/>
        </w:rPr>
        <w:t xml:space="preserve">, </w:t>
      </w:r>
      <w:r w:rsidRPr="003D4A13">
        <w:rPr>
          <w:rFonts w:ascii="Times New Roman" w:hAnsi="Times New Roman" w:cs="Times New Roman"/>
          <w:color w:val="000000"/>
          <w:sz w:val="24"/>
          <w:szCs w:val="24"/>
        </w:rPr>
        <w:t>a draft of the Informational Filing (the “Draft Informational Filing”) for review, comment and discussion prior to filing the Informational Filing at FERC on December 1.  SDG&amp;E will provide electronic notice of its posting to the Service List.</w:t>
      </w:r>
      <w:r w:rsidRPr="003D4A13">
        <w:rPr>
          <w:rStyle w:val="FootnoteReference"/>
          <w:rFonts w:ascii="Times New Roman" w:hAnsi="Times New Roman" w:cs="Times New Roman"/>
          <w:color w:val="000000"/>
          <w:sz w:val="24"/>
          <w:szCs w:val="24"/>
        </w:rPr>
        <w:footnoteReference w:id="6"/>
      </w:r>
    </w:p>
    <w:p w:rsidR="003D4A13" w:rsidRPr="003D4A13" w:rsidRDefault="003D4A13" w:rsidP="003D4A13">
      <w:pPr>
        <w:autoSpaceDE w:val="0"/>
        <w:autoSpaceDN w:val="0"/>
        <w:adjustRightInd w:val="0"/>
        <w:spacing w:line="480" w:lineRule="auto"/>
        <w:ind w:firstLine="720"/>
        <w:rPr>
          <w:rFonts w:ascii="Times New Roman" w:hAnsi="Times New Roman" w:cs="Times New Roman"/>
          <w:color w:val="000000"/>
          <w:sz w:val="24"/>
          <w:szCs w:val="24"/>
        </w:rPr>
      </w:pPr>
      <w:r w:rsidRPr="003D4A13">
        <w:rPr>
          <w:rFonts w:ascii="Times New Roman" w:hAnsi="Times New Roman" w:cs="Times New Roman"/>
          <w:color w:val="000000"/>
          <w:sz w:val="24"/>
          <w:szCs w:val="24"/>
        </w:rPr>
        <w:t>The Draft Informational Filing shall include the following:</w:t>
      </w:r>
    </w:p>
    <w:p w:rsidR="003D4A13" w:rsidRPr="003D4A13" w:rsidRDefault="003D4A13" w:rsidP="003D4A13">
      <w:pPr>
        <w:pStyle w:val="ListParagraph"/>
        <w:numPr>
          <w:ilvl w:val="0"/>
          <w:numId w:val="3"/>
        </w:numPr>
        <w:spacing w:line="480" w:lineRule="auto"/>
        <w:ind w:left="2520"/>
        <w:rPr>
          <w:rFonts w:cs="Times New Roman"/>
          <w:color w:val="000000"/>
          <w:szCs w:val="24"/>
        </w:rPr>
      </w:pPr>
      <w:r w:rsidRPr="003D4A13">
        <w:rPr>
          <w:rFonts w:cs="Times New Roman"/>
          <w:color w:val="000000"/>
          <w:szCs w:val="24"/>
        </w:rPr>
        <w:t>The populated version of the Formula Rate Spreadsheet itself and accompanying workpapers in fully functional, native format, with all formulas and links intact.</w:t>
      </w:r>
    </w:p>
    <w:p w:rsidR="003D4A13" w:rsidRPr="003D4A13" w:rsidRDefault="003D4A13" w:rsidP="003D4A13">
      <w:pPr>
        <w:pStyle w:val="ListParagraph"/>
        <w:numPr>
          <w:ilvl w:val="0"/>
          <w:numId w:val="3"/>
        </w:numPr>
        <w:spacing w:line="480" w:lineRule="auto"/>
        <w:ind w:left="2520"/>
        <w:rPr>
          <w:rFonts w:cs="Times New Roman"/>
          <w:color w:val="000000"/>
          <w:szCs w:val="24"/>
        </w:rPr>
      </w:pPr>
      <w:r w:rsidRPr="003D4A13">
        <w:rPr>
          <w:rFonts w:cs="Times New Roman"/>
          <w:color w:val="000000"/>
          <w:szCs w:val="24"/>
        </w:rPr>
        <w:lastRenderedPageBreak/>
        <w:t>Workpapers supporting all inputs that are not taken from the FERC Form 1.</w:t>
      </w:r>
    </w:p>
    <w:p w:rsidR="003D4A13" w:rsidRPr="003D4A13" w:rsidRDefault="003D4A13" w:rsidP="003D4A13">
      <w:pPr>
        <w:pStyle w:val="ListParagraph"/>
        <w:numPr>
          <w:ilvl w:val="0"/>
          <w:numId w:val="3"/>
        </w:numPr>
        <w:spacing w:line="480" w:lineRule="auto"/>
        <w:ind w:left="2520"/>
        <w:rPr>
          <w:rFonts w:cs="Times New Roman"/>
          <w:color w:val="000000"/>
          <w:szCs w:val="24"/>
        </w:rPr>
      </w:pPr>
      <w:r w:rsidRPr="003D4A13">
        <w:rPr>
          <w:rFonts w:cs="Times New Roman"/>
          <w:color w:val="000000"/>
          <w:szCs w:val="24"/>
        </w:rPr>
        <w:t>Data and calculations for items such as ADIT that require adjustments from FERC Form 1 data, Taxes Other Than Income taxes, prepayments that may require plant-related and labor-related sub-amounts, certain A&amp;G items, revenue credits and rate divisors, and thirteen-month balances.</w:t>
      </w:r>
    </w:p>
    <w:p w:rsidR="003D4A13" w:rsidRPr="003D4A13" w:rsidRDefault="003D4A13" w:rsidP="003D4A13">
      <w:pPr>
        <w:pStyle w:val="ListParagraph"/>
        <w:numPr>
          <w:ilvl w:val="0"/>
          <w:numId w:val="3"/>
        </w:numPr>
        <w:spacing w:line="480" w:lineRule="auto"/>
        <w:ind w:left="2520"/>
        <w:rPr>
          <w:rFonts w:cs="Times New Roman"/>
          <w:color w:val="000000"/>
          <w:szCs w:val="24"/>
        </w:rPr>
      </w:pPr>
      <w:r w:rsidRPr="003D4A13">
        <w:rPr>
          <w:rFonts w:cs="Times New Roman"/>
          <w:color w:val="000000"/>
          <w:szCs w:val="24"/>
        </w:rPr>
        <w:t>Identification and explanation of any material changes, such as a description of any Material Accounting Changes.</w:t>
      </w:r>
      <w:r w:rsidRPr="003D4A13">
        <w:rPr>
          <w:rStyle w:val="FootnoteReference"/>
          <w:rFonts w:cs="Times New Roman"/>
          <w:color w:val="000000"/>
          <w:szCs w:val="24"/>
        </w:rPr>
        <w:footnoteReference w:id="7"/>
      </w:r>
    </w:p>
    <w:p w:rsidR="003D4A13" w:rsidRPr="003D4A13" w:rsidRDefault="003D4A13" w:rsidP="003D4A13">
      <w:pPr>
        <w:pStyle w:val="ListParagraph"/>
        <w:numPr>
          <w:ilvl w:val="0"/>
          <w:numId w:val="3"/>
        </w:numPr>
        <w:spacing w:line="480" w:lineRule="auto"/>
        <w:ind w:left="2520"/>
        <w:rPr>
          <w:rFonts w:cs="Times New Roman"/>
          <w:color w:val="000000"/>
          <w:szCs w:val="24"/>
        </w:rPr>
      </w:pPr>
      <w:r w:rsidRPr="003D4A13">
        <w:rPr>
          <w:rFonts w:cs="Times New Roman"/>
          <w:color w:val="000000"/>
          <w:szCs w:val="24"/>
        </w:rPr>
        <w:t>Identification and explanation of any aspects of the TO4 Formula rate or its inputs that are the subject of an ongoing dispute in any FERC proceeding on a prior Informational Filing.</w:t>
      </w:r>
    </w:p>
    <w:p w:rsidR="003D4A13" w:rsidRPr="003D4A13" w:rsidRDefault="003D4A13" w:rsidP="003D4A13">
      <w:pPr>
        <w:pStyle w:val="Heading3"/>
        <w:rPr>
          <w:rFonts w:cs="Times New Roman"/>
          <w:szCs w:val="24"/>
        </w:rPr>
      </w:pPr>
      <w:r w:rsidRPr="003D4A13">
        <w:rPr>
          <w:rFonts w:cs="Times New Roman"/>
          <w:szCs w:val="24"/>
        </w:rPr>
        <w:t>2.</w:t>
      </w:r>
      <w:r w:rsidRPr="003D4A13">
        <w:rPr>
          <w:rFonts w:cs="Times New Roman"/>
          <w:szCs w:val="24"/>
        </w:rPr>
        <w:tab/>
        <w:t>Draft Informational Filing Meeting</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SDG&amp;E will provide notice to Interested Parties of a one-day meeting to take place on or before July 15 of each year to discuss any details or questions regarding SDG&amp;E’s Draft Informational Filing.  By mutual agreement of SDG&amp;E and Interested Parties, such meeting may take place in-person, via telephone, or video-conference.  SDG&amp;E shall make appropriate personnel available for such meeting.  Additional meetings to discuss the Draft Informational Filing shall be scheduled as SDG&amp;E and the Interested Parties may mutually agree.</w:t>
      </w:r>
    </w:p>
    <w:p w:rsidR="003D4A13" w:rsidRPr="003D4A13" w:rsidRDefault="003D4A13" w:rsidP="003D4A13">
      <w:pPr>
        <w:pStyle w:val="Heading3"/>
        <w:rPr>
          <w:rFonts w:cs="Times New Roman"/>
          <w:szCs w:val="24"/>
        </w:rPr>
      </w:pPr>
      <w:r w:rsidRPr="003D4A13">
        <w:rPr>
          <w:rFonts w:cs="Times New Roman"/>
          <w:szCs w:val="24"/>
        </w:rPr>
        <w:lastRenderedPageBreak/>
        <w:t>3.</w:t>
      </w:r>
      <w:r w:rsidRPr="003D4A13">
        <w:rPr>
          <w:rFonts w:cs="Times New Roman"/>
          <w:szCs w:val="24"/>
        </w:rPr>
        <w:tab/>
        <w:t>Information Requests</w:t>
      </w:r>
    </w:p>
    <w:p w:rsidR="003D4A13" w:rsidRPr="003D4A13" w:rsidRDefault="003D4A13" w:rsidP="003D4A13">
      <w:pPr>
        <w:pStyle w:val="ListParagraph"/>
        <w:numPr>
          <w:ilvl w:val="0"/>
          <w:numId w:val="4"/>
        </w:numPr>
        <w:spacing w:line="480" w:lineRule="auto"/>
        <w:ind w:left="2520"/>
        <w:rPr>
          <w:rFonts w:cs="Times New Roman"/>
          <w:color w:val="000000"/>
          <w:szCs w:val="24"/>
        </w:rPr>
      </w:pPr>
      <w:r w:rsidRPr="003D4A13">
        <w:rPr>
          <w:rFonts w:cs="Times New Roman"/>
          <w:color w:val="000000"/>
          <w:szCs w:val="24"/>
        </w:rPr>
        <w:t>Interested Parties may submit reasonable information requests to SDG&amp;E regarding the Draft Informational Filing.</w:t>
      </w:r>
    </w:p>
    <w:p w:rsidR="003D4A13" w:rsidRPr="003D4A13" w:rsidRDefault="003D4A13" w:rsidP="003D4A13">
      <w:pPr>
        <w:pStyle w:val="ListParagraph"/>
        <w:numPr>
          <w:ilvl w:val="0"/>
          <w:numId w:val="4"/>
        </w:numPr>
        <w:spacing w:line="480" w:lineRule="auto"/>
        <w:ind w:left="2520"/>
        <w:rPr>
          <w:rFonts w:cs="Times New Roman"/>
          <w:color w:val="000000"/>
          <w:szCs w:val="24"/>
        </w:rPr>
      </w:pPr>
      <w:r w:rsidRPr="003D4A13">
        <w:rPr>
          <w:rFonts w:cs="Times New Roman"/>
          <w:color w:val="000000"/>
          <w:szCs w:val="24"/>
        </w:rPr>
        <w:t>SDG&amp;E shall make a good faith effort to respond to information requests in writing within 10 business days of receipt, or sooner depending on the timing of the information requests.  SDG&amp;E shall contemporaneously provide copies of all responses to all parties on the Service List that have indicated to SDG&amp;E that they wish to receive such copies.  SDG&amp;E and the Interested Party serving the information request on SDG&amp;E will work cooperatively and in good faith to resolve any questions, objections, or disputes relating to the information requests.</w:t>
      </w:r>
    </w:p>
    <w:p w:rsidR="003D4A13" w:rsidRPr="003D4A13" w:rsidRDefault="003D4A13" w:rsidP="003D4A13">
      <w:pPr>
        <w:pStyle w:val="ListParagraph"/>
        <w:numPr>
          <w:ilvl w:val="0"/>
          <w:numId w:val="4"/>
        </w:numPr>
        <w:spacing w:line="480" w:lineRule="auto"/>
        <w:ind w:left="2520"/>
        <w:rPr>
          <w:rFonts w:cs="Times New Roman"/>
          <w:color w:val="000000"/>
          <w:szCs w:val="24"/>
        </w:rPr>
      </w:pPr>
      <w:r w:rsidRPr="003D4A13">
        <w:rPr>
          <w:rFonts w:cs="Times New Roman"/>
          <w:szCs w:val="24"/>
        </w:rPr>
        <w:t xml:space="preserve">Responses to information requests shall not be designated as settlement communications or produced under the Commission’s rules and regulations governing settlements, unless provided as a privileged settlement communication in a Commission proceeding being conducted under the Commission’s settlement rules.  </w:t>
      </w:r>
      <w:r w:rsidRPr="003D4A13">
        <w:rPr>
          <w:rFonts w:cs="Times New Roman"/>
          <w:color w:val="000000"/>
          <w:szCs w:val="24"/>
        </w:rPr>
        <w:t>SDG&amp;E may mark materials provided in response to an information request as Protected Materials in</w:t>
      </w:r>
      <w:r w:rsidRPr="003D4A13">
        <w:rPr>
          <w:rFonts w:cs="Times New Roman"/>
          <w:b/>
          <w:bCs/>
          <w:szCs w:val="24"/>
        </w:rPr>
        <w:t xml:space="preserve"> </w:t>
      </w:r>
      <w:r w:rsidRPr="003D4A13">
        <w:rPr>
          <w:rFonts w:cs="Times New Roman"/>
          <w:szCs w:val="24"/>
        </w:rPr>
        <w:t>accordance with the Protective Order adopted in Docket No. E13-941 (”Protective Order”).</w:t>
      </w:r>
      <w:r w:rsidRPr="003D4A13">
        <w:rPr>
          <w:rStyle w:val="FootnoteReference"/>
          <w:rFonts w:cs="Times New Roman"/>
          <w:szCs w:val="24"/>
        </w:rPr>
        <w:footnoteReference w:id="8"/>
      </w:r>
      <w:r w:rsidRPr="003D4A13">
        <w:rPr>
          <w:rFonts w:cs="Times New Roman"/>
          <w:szCs w:val="24"/>
        </w:rPr>
        <w:t xml:space="preserve">  </w:t>
      </w:r>
      <w:r w:rsidRPr="003D4A13">
        <w:rPr>
          <w:rFonts w:cs="Times New Roman"/>
          <w:color w:val="000000"/>
          <w:szCs w:val="24"/>
        </w:rPr>
        <w:t xml:space="preserve">Interested Parties will have all rights provided to them under the Protective Order to challenge SDG&amp;E’s classification of any materials as Protected </w:t>
      </w:r>
      <w:r w:rsidRPr="003D4A13">
        <w:rPr>
          <w:rFonts w:cs="Times New Roman"/>
          <w:color w:val="000000"/>
          <w:szCs w:val="24"/>
        </w:rPr>
        <w:lastRenderedPageBreak/>
        <w:t>Materials.  To the extent an information request response calls for the production of Protected Materials, SDG&amp;E will provide such materials only to the parties that have signed non-disclosure certificates agreeing to abide by the terms of</w:t>
      </w:r>
      <w:r w:rsidRPr="003D4A13">
        <w:rPr>
          <w:rFonts w:cs="Times New Roman"/>
          <w:szCs w:val="24"/>
        </w:rPr>
        <w:t xml:space="preserve"> the Protective Order.</w:t>
      </w:r>
      <w:r w:rsidRPr="003D4A13">
        <w:rPr>
          <w:rStyle w:val="FootnoteReference"/>
          <w:rFonts w:cs="Times New Roman"/>
          <w:szCs w:val="24"/>
        </w:rPr>
        <w:footnoteReference w:id="9"/>
      </w:r>
    </w:p>
    <w:p w:rsidR="003D4A13" w:rsidRPr="003D4A13" w:rsidRDefault="003D4A13" w:rsidP="003D4A13">
      <w:pPr>
        <w:pStyle w:val="ListParagraph"/>
        <w:numPr>
          <w:ilvl w:val="0"/>
          <w:numId w:val="4"/>
        </w:numPr>
        <w:spacing w:line="480" w:lineRule="auto"/>
        <w:ind w:left="2520"/>
        <w:rPr>
          <w:rFonts w:cs="Times New Roman"/>
          <w:color w:val="000000"/>
          <w:szCs w:val="24"/>
        </w:rPr>
      </w:pPr>
      <w:r w:rsidRPr="003D4A13">
        <w:rPr>
          <w:rFonts w:cs="Times New Roman"/>
          <w:bCs/>
          <w:szCs w:val="24"/>
        </w:rPr>
        <w:t xml:space="preserve">To the extent SDG&amp;E and any Interested Party are unable to resolve disputes related to information requests submitted in accordance with these protocols, SDG&amp;E or any Interested Party may petition the FERC to appoint an Administrative Law Judge as a discovery master after reasonable attempts to resolve the dispute have been made by SDG&amp;E and any Interested Party.  Neither SDG&amp;E nor any Interested Party shall object to a request for a discovery master.  The discovery master shall have the authority to issue binding orders to resolve discovery disputes and compel the production of discovery, if appropriate, in accordance with the Protocols and consistent with FERC’s discovery rules.  The discovery master’s orders shall be subject to appeal to the Commission and to the courts to the same extent and under the same rules as would be applicable to an Initial Decision issued under Rule 708 of the Commission’s Rules of Practice and Procedure.  In the event the Commission establishes hearing or settlement procedures for an Annual Informational Filing, the discovery master’s responsibility shall be transferred to the Presiding </w:t>
      </w:r>
      <w:r w:rsidRPr="003D4A13">
        <w:rPr>
          <w:rFonts w:cs="Times New Roman"/>
          <w:bCs/>
          <w:szCs w:val="24"/>
        </w:rPr>
        <w:lastRenderedPageBreak/>
        <w:t>Judge for such hearing or settlement procedures, effective upon his or her appointment.</w:t>
      </w:r>
    </w:p>
    <w:p w:rsidR="003D4A13" w:rsidRPr="003D4A13" w:rsidRDefault="003D4A13" w:rsidP="003D4A13">
      <w:pPr>
        <w:pStyle w:val="Heading3"/>
        <w:rPr>
          <w:rFonts w:cs="Times New Roman"/>
          <w:szCs w:val="24"/>
        </w:rPr>
      </w:pPr>
      <w:r w:rsidRPr="003D4A13">
        <w:rPr>
          <w:rFonts w:cs="Times New Roman"/>
          <w:szCs w:val="24"/>
        </w:rPr>
        <w:t>4.</w:t>
      </w:r>
      <w:r w:rsidRPr="003D4A13">
        <w:rPr>
          <w:rFonts w:cs="Times New Roman"/>
          <w:szCs w:val="24"/>
        </w:rPr>
        <w:tab/>
        <w:t>Annual Informational Filing</w:t>
      </w:r>
    </w:p>
    <w:p w:rsidR="003D4A13" w:rsidRPr="003D4A13" w:rsidRDefault="003D4A13" w:rsidP="003D4A13">
      <w:pPr>
        <w:pStyle w:val="ListParagraph"/>
        <w:numPr>
          <w:ilvl w:val="0"/>
          <w:numId w:val="2"/>
        </w:numPr>
        <w:autoSpaceDE w:val="0"/>
        <w:autoSpaceDN w:val="0"/>
        <w:adjustRightInd w:val="0"/>
        <w:spacing w:line="480" w:lineRule="auto"/>
        <w:ind w:left="2520"/>
        <w:rPr>
          <w:rFonts w:cs="Times New Roman"/>
          <w:bCs/>
          <w:szCs w:val="24"/>
        </w:rPr>
      </w:pPr>
      <w:r w:rsidRPr="003D4A13">
        <w:rPr>
          <w:rFonts w:cs="Times New Roman"/>
          <w:bCs/>
          <w:szCs w:val="24"/>
        </w:rPr>
        <w:t xml:space="preserve">SDG&amp;E shall submit to the Commission on or before December 1 of each year, starting in 2014, an Annual Informational Filing (the “Informational Filing”) showing the rates to be in effect for the Rate Effective Period of the succeeding calendar year.  </w:t>
      </w:r>
      <w:r w:rsidRPr="003D4A13">
        <w:rPr>
          <w:rFonts w:cs="Times New Roman"/>
          <w:szCs w:val="24"/>
        </w:rPr>
        <w:t>The information provided in the Draft Informational Filing procedures (C.1.a through e. of these Protocols) shall also be included in the Annual Informational Filing, modified as necessary to reflect any changes resulting from the Draft Informational Filing procedures.</w:t>
      </w:r>
      <w:r w:rsidRPr="003D4A13">
        <w:rPr>
          <w:rFonts w:cs="Times New Roman"/>
          <w:bCs/>
          <w:szCs w:val="24"/>
        </w:rPr>
        <w:t xml:space="preserve">  Further, the Informational Filing shall show:</w:t>
      </w:r>
    </w:p>
    <w:p w:rsidR="003D4A13" w:rsidRPr="003D4A13" w:rsidRDefault="003D4A13" w:rsidP="003D4A13">
      <w:pPr>
        <w:pStyle w:val="ListParagraph"/>
        <w:numPr>
          <w:ilvl w:val="0"/>
          <w:numId w:val="8"/>
        </w:numPr>
        <w:autoSpaceDE w:val="0"/>
        <w:autoSpaceDN w:val="0"/>
        <w:adjustRightInd w:val="0"/>
        <w:spacing w:line="480" w:lineRule="auto"/>
        <w:rPr>
          <w:rFonts w:cs="Times New Roman"/>
          <w:szCs w:val="24"/>
        </w:rPr>
      </w:pPr>
      <w:r w:rsidRPr="003D4A13">
        <w:rPr>
          <w:rFonts w:cs="Times New Roman"/>
          <w:szCs w:val="24"/>
        </w:rPr>
        <w:t>for the PYRR for the Base Period, each of the thirteen monthly balances (and thirteen-month average of those balances) for transmission plant investment and the transmission plant retirements, reclassifications or additions reflected in each monthly balance; and</w:t>
      </w:r>
    </w:p>
    <w:p w:rsidR="003D4A13" w:rsidRPr="003D4A13" w:rsidRDefault="003D4A13" w:rsidP="003D4A13">
      <w:pPr>
        <w:pStyle w:val="ListParagraph"/>
        <w:numPr>
          <w:ilvl w:val="0"/>
          <w:numId w:val="8"/>
        </w:numPr>
        <w:autoSpaceDE w:val="0"/>
        <w:autoSpaceDN w:val="0"/>
        <w:adjustRightInd w:val="0"/>
        <w:spacing w:line="480" w:lineRule="auto"/>
        <w:rPr>
          <w:rFonts w:cs="Times New Roman"/>
          <w:szCs w:val="24"/>
        </w:rPr>
      </w:pPr>
      <w:proofErr w:type="gramStart"/>
      <w:r w:rsidRPr="003D4A13">
        <w:rPr>
          <w:rFonts w:cs="Times New Roman"/>
          <w:szCs w:val="24"/>
        </w:rPr>
        <w:t>for</w:t>
      </w:r>
      <w:proofErr w:type="gramEnd"/>
      <w:r w:rsidRPr="003D4A13">
        <w:rPr>
          <w:rFonts w:cs="Times New Roman"/>
          <w:szCs w:val="24"/>
        </w:rPr>
        <w:t xml:space="preserve"> the Forecast Period, any weighted forecast plant additions to transmission-related plant net of forecast retirements and reclassifications of Transmission Plant anticipated during that Forecast Period.</w:t>
      </w:r>
    </w:p>
    <w:p w:rsidR="003D4A13" w:rsidRPr="003D4A13" w:rsidRDefault="003D4A13" w:rsidP="003D4A13">
      <w:pPr>
        <w:pStyle w:val="ListParagraph"/>
        <w:numPr>
          <w:ilvl w:val="0"/>
          <w:numId w:val="2"/>
        </w:numPr>
        <w:autoSpaceDE w:val="0"/>
        <w:autoSpaceDN w:val="0"/>
        <w:adjustRightInd w:val="0"/>
        <w:spacing w:line="480" w:lineRule="auto"/>
        <w:ind w:left="2520"/>
        <w:rPr>
          <w:rFonts w:cs="Times New Roman"/>
          <w:szCs w:val="24"/>
        </w:rPr>
      </w:pPr>
      <w:r w:rsidRPr="003D4A13">
        <w:rPr>
          <w:rFonts w:cs="Times New Roman"/>
          <w:szCs w:val="24"/>
        </w:rPr>
        <w:t xml:space="preserve">It is expressly intended by these Protocols that the Commission will issue public notice of the Informational Filing inviting public comment, and SDG&amp;E shall request in its Informational Filing that the </w:t>
      </w:r>
      <w:r w:rsidRPr="003D4A13">
        <w:rPr>
          <w:rFonts w:cs="Times New Roman"/>
          <w:szCs w:val="24"/>
        </w:rPr>
        <w:lastRenderedPageBreak/>
        <w:t>Commission issue public notice of the Informational Filing inviting public comment.</w:t>
      </w:r>
    </w:p>
    <w:p w:rsidR="003D4A13" w:rsidRPr="003D4A13" w:rsidRDefault="003D4A13" w:rsidP="003D4A13">
      <w:pPr>
        <w:pStyle w:val="ListParagraph"/>
        <w:numPr>
          <w:ilvl w:val="0"/>
          <w:numId w:val="2"/>
        </w:numPr>
        <w:autoSpaceDE w:val="0"/>
        <w:autoSpaceDN w:val="0"/>
        <w:adjustRightInd w:val="0"/>
        <w:spacing w:line="480" w:lineRule="auto"/>
        <w:ind w:left="2520"/>
        <w:rPr>
          <w:rFonts w:cs="Times New Roman"/>
          <w:szCs w:val="24"/>
        </w:rPr>
      </w:pPr>
      <w:r w:rsidRPr="003D4A13">
        <w:rPr>
          <w:rFonts w:cs="Times New Roman"/>
          <w:szCs w:val="24"/>
        </w:rPr>
        <w:t>The Informational Filing shall not modify the TO4 Formula set forth in Appendix VIII and shall not constitute a rate change under Section 205 of the FPA.  The Informational Filing shall not subject the TO4 Formula to modification.</w:t>
      </w:r>
    </w:p>
    <w:p w:rsidR="003D4A13" w:rsidRPr="003D4A13" w:rsidRDefault="003D4A13" w:rsidP="003D4A13">
      <w:pPr>
        <w:pStyle w:val="ListParagraph"/>
        <w:numPr>
          <w:ilvl w:val="0"/>
          <w:numId w:val="2"/>
        </w:numPr>
        <w:autoSpaceDE w:val="0"/>
        <w:autoSpaceDN w:val="0"/>
        <w:adjustRightInd w:val="0"/>
        <w:spacing w:line="480" w:lineRule="auto"/>
        <w:ind w:left="2520"/>
        <w:rPr>
          <w:rFonts w:cs="Times New Roman"/>
          <w:szCs w:val="24"/>
        </w:rPr>
      </w:pPr>
      <w:r w:rsidRPr="003D4A13">
        <w:rPr>
          <w:rFonts w:cs="Times New Roman"/>
          <w:szCs w:val="24"/>
        </w:rPr>
        <w:t>Any person may comment on or protest the Informational Filing.  Any person may request that FERC establish hearing and/or settlement procedures regarding an Informational Filing, and all Parties to Docket No. ER13-941 reserve their rights to oppose such requests on their merits, but may not object to such requests on the basis that hearing and/or settlement procedures are prohibited by these Protocols or the Offer of Settlement in Docket No. ER13-941.  More particularly, any person may challenge the justness and reasonableness of SDG&amp;E’s implementation of the TO4 Formula with respect to such matters as:</w:t>
      </w:r>
    </w:p>
    <w:p w:rsidR="003D4A13" w:rsidRPr="003D4A13" w:rsidRDefault="003D4A13" w:rsidP="003D4A13">
      <w:pPr>
        <w:pStyle w:val="ListParagraph"/>
        <w:autoSpaceDE w:val="0"/>
        <w:autoSpaceDN w:val="0"/>
        <w:adjustRightInd w:val="0"/>
        <w:spacing w:line="480" w:lineRule="auto"/>
        <w:ind w:left="3240" w:hanging="720"/>
        <w:rPr>
          <w:rFonts w:cs="Times New Roman"/>
          <w:szCs w:val="24"/>
        </w:rPr>
      </w:pPr>
      <w:r w:rsidRPr="003D4A13">
        <w:rPr>
          <w:rFonts w:cs="Times New Roman"/>
          <w:szCs w:val="24"/>
        </w:rPr>
        <w:t>(i)</w:t>
      </w:r>
      <w:r w:rsidRPr="003D4A13">
        <w:rPr>
          <w:rFonts w:cs="Times New Roman"/>
          <w:szCs w:val="24"/>
        </w:rPr>
        <w:tab/>
      </w:r>
      <w:proofErr w:type="gramStart"/>
      <w:r w:rsidRPr="003D4A13">
        <w:rPr>
          <w:rFonts w:cs="Times New Roman"/>
          <w:szCs w:val="24"/>
        </w:rPr>
        <w:t>whether</w:t>
      </w:r>
      <w:proofErr w:type="gramEnd"/>
      <w:r w:rsidRPr="003D4A13">
        <w:rPr>
          <w:rFonts w:cs="Times New Roman"/>
          <w:szCs w:val="24"/>
        </w:rPr>
        <w:t xml:space="preserve"> the costs and expenditures included for recovery have been or will be prudently incurred, consistent with Commission precedent regarding prudence;</w:t>
      </w:r>
    </w:p>
    <w:p w:rsidR="003D4A13" w:rsidRPr="003D4A13" w:rsidRDefault="003D4A13" w:rsidP="003D4A13">
      <w:pPr>
        <w:pStyle w:val="ListParagraph"/>
        <w:autoSpaceDE w:val="0"/>
        <w:autoSpaceDN w:val="0"/>
        <w:adjustRightInd w:val="0"/>
        <w:spacing w:line="480" w:lineRule="auto"/>
        <w:ind w:left="3240" w:hanging="720"/>
        <w:rPr>
          <w:rFonts w:cs="Times New Roman"/>
          <w:szCs w:val="24"/>
        </w:rPr>
      </w:pPr>
      <w:r w:rsidRPr="003D4A13">
        <w:rPr>
          <w:rFonts w:cs="Times New Roman"/>
          <w:szCs w:val="24"/>
        </w:rPr>
        <w:t>(ii)</w:t>
      </w:r>
      <w:r w:rsidRPr="003D4A13">
        <w:rPr>
          <w:rFonts w:cs="Times New Roman"/>
          <w:szCs w:val="24"/>
        </w:rPr>
        <w:tab/>
      </w:r>
      <w:proofErr w:type="gramStart"/>
      <w:r w:rsidRPr="003D4A13">
        <w:rPr>
          <w:rFonts w:cs="Times New Roman"/>
          <w:szCs w:val="24"/>
        </w:rPr>
        <w:t>whether</w:t>
      </w:r>
      <w:proofErr w:type="gramEnd"/>
      <w:r w:rsidRPr="003D4A13">
        <w:rPr>
          <w:rFonts w:cs="Times New Roman"/>
          <w:szCs w:val="24"/>
        </w:rPr>
        <w:t xml:space="preserve"> SDG&amp;E has properly and reasonably applied the TO4 Formula as described in Appendix VIII, the Formula Rate Spreadsheet and these Protocols;</w:t>
      </w:r>
    </w:p>
    <w:p w:rsidR="003D4A13" w:rsidRPr="003D4A13" w:rsidRDefault="003D4A13" w:rsidP="003D4A13">
      <w:pPr>
        <w:pStyle w:val="ListParagraph"/>
        <w:autoSpaceDE w:val="0"/>
        <w:autoSpaceDN w:val="0"/>
        <w:adjustRightInd w:val="0"/>
        <w:spacing w:line="480" w:lineRule="auto"/>
        <w:ind w:left="3240" w:hanging="720"/>
        <w:rPr>
          <w:rFonts w:cs="Times New Roman"/>
          <w:szCs w:val="24"/>
        </w:rPr>
      </w:pPr>
      <w:r w:rsidRPr="003D4A13">
        <w:rPr>
          <w:rFonts w:cs="Times New Roman"/>
          <w:szCs w:val="24"/>
        </w:rPr>
        <w:t>(iii)</w:t>
      </w:r>
      <w:r w:rsidRPr="003D4A13">
        <w:rPr>
          <w:rFonts w:cs="Times New Roman"/>
          <w:szCs w:val="24"/>
        </w:rPr>
        <w:tab/>
        <w:t xml:space="preserve">whether the costs to be recovered through the BTRRs have been accurately stated, properly recorded and accounted for </w:t>
      </w:r>
      <w:r w:rsidRPr="003D4A13">
        <w:rPr>
          <w:rFonts w:cs="Times New Roman"/>
          <w:szCs w:val="24"/>
        </w:rPr>
        <w:lastRenderedPageBreak/>
        <w:t>pursuant to applicable FERC accounting rules, and are consistent with the formula;</w:t>
      </w:r>
    </w:p>
    <w:p w:rsidR="003D4A13" w:rsidRPr="003D4A13" w:rsidRDefault="003D4A13" w:rsidP="003D4A13">
      <w:pPr>
        <w:pStyle w:val="ListParagraph"/>
        <w:autoSpaceDE w:val="0"/>
        <w:autoSpaceDN w:val="0"/>
        <w:adjustRightInd w:val="0"/>
        <w:spacing w:line="480" w:lineRule="auto"/>
        <w:ind w:left="3240" w:hanging="720"/>
        <w:rPr>
          <w:rFonts w:cs="Times New Roman"/>
          <w:szCs w:val="24"/>
        </w:rPr>
      </w:pPr>
      <w:r w:rsidRPr="003D4A13">
        <w:rPr>
          <w:rFonts w:cs="Times New Roman"/>
          <w:szCs w:val="24"/>
        </w:rPr>
        <w:t>(iv)</w:t>
      </w:r>
      <w:r w:rsidRPr="003D4A13">
        <w:rPr>
          <w:rFonts w:cs="Times New Roman"/>
          <w:szCs w:val="24"/>
        </w:rPr>
        <w:tab/>
      </w:r>
      <w:proofErr w:type="gramStart"/>
      <w:r w:rsidRPr="003D4A13">
        <w:rPr>
          <w:rFonts w:cs="Times New Roman"/>
          <w:szCs w:val="24"/>
        </w:rPr>
        <w:t>whether</w:t>
      </w:r>
      <w:proofErr w:type="gramEnd"/>
      <w:r w:rsidRPr="003D4A13">
        <w:rPr>
          <w:rFonts w:cs="Times New Roman"/>
          <w:szCs w:val="24"/>
        </w:rPr>
        <w:t xml:space="preserve"> SDG&amp;E’s calculation methodologies are consistent with the formula;</w:t>
      </w:r>
    </w:p>
    <w:p w:rsidR="003D4A13" w:rsidRPr="003D4A13" w:rsidRDefault="003D4A13" w:rsidP="003D4A13">
      <w:pPr>
        <w:pStyle w:val="ListParagraph"/>
        <w:autoSpaceDE w:val="0"/>
        <w:autoSpaceDN w:val="0"/>
        <w:adjustRightInd w:val="0"/>
        <w:spacing w:line="480" w:lineRule="auto"/>
        <w:ind w:left="3240" w:hanging="720"/>
        <w:rPr>
          <w:rFonts w:cs="Times New Roman"/>
          <w:szCs w:val="24"/>
        </w:rPr>
      </w:pPr>
      <w:r w:rsidRPr="003D4A13">
        <w:rPr>
          <w:rFonts w:cs="Times New Roman"/>
          <w:szCs w:val="24"/>
        </w:rPr>
        <w:t>(v)</w:t>
      </w:r>
      <w:r w:rsidRPr="003D4A13">
        <w:rPr>
          <w:rFonts w:cs="Times New Roman"/>
          <w:szCs w:val="24"/>
        </w:rPr>
        <w:tab/>
      </w:r>
      <w:proofErr w:type="gramStart"/>
      <w:r w:rsidRPr="003D4A13">
        <w:rPr>
          <w:rFonts w:cs="Times New Roman"/>
          <w:szCs w:val="24"/>
        </w:rPr>
        <w:t>whether</w:t>
      </w:r>
      <w:proofErr w:type="gramEnd"/>
      <w:r w:rsidRPr="003D4A13">
        <w:rPr>
          <w:rFonts w:cs="Times New Roman"/>
          <w:szCs w:val="24"/>
        </w:rPr>
        <w:t xml:space="preserve"> any Material Accounting Changes are reasonable and consistent with applicable FERC accounting rules; and</w:t>
      </w:r>
    </w:p>
    <w:p w:rsidR="003D4A13" w:rsidRPr="003D4A13" w:rsidRDefault="003D4A13" w:rsidP="003D4A13">
      <w:pPr>
        <w:pStyle w:val="ListParagraph"/>
        <w:autoSpaceDE w:val="0"/>
        <w:autoSpaceDN w:val="0"/>
        <w:adjustRightInd w:val="0"/>
        <w:spacing w:line="480" w:lineRule="auto"/>
        <w:ind w:left="3240" w:hanging="720"/>
        <w:rPr>
          <w:rFonts w:cs="Times New Roman"/>
          <w:szCs w:val="24"/>
        </w:rPr>
      </w:pPr>
      <w:r w:rsidRPr="003D4A13">
        <w:rPr>
          <w:rFonts w:cs="Times New Roman"/>
          <w:szCs w:val="24"/>
        </w:rPr>
        <w:t>(vi)</w:t>
      </w:r>
      <w:r w:rsidRPr="003D4A13">
        <w:rPr>
          <w:rFonts w:cs="Times New Roman"/>
          <w:szCs w:val="24"/>
        </w:rPr>
        <w:tab/>
      </w:r>
      <w:proofErr w:type="gramStart"/>
      <w:r w:rsidRPr="003D4A13">
        <w:rPr>
          <w:rFonts w:cs="Times New Roman"/>
          <w:szCs w:val="24"/>
        </w:rPr>
        <w:t>whether</w:t>
      </w:r>
      <w:proofErr w:type="gramEnd"/>
      <w:r w:rsidRPr="003D4A13">
        <w:rPr>
          <w:rFonts w:cs="Times New Roman"/>
          <w:szCs w:val="24"/>
        </w:rPr>
        <w:t xml:space="preserve"> forecasts and projections have been reasonably made.</w:t>
      </w:r>
    </w:p>
    <w:p w:rsidR="003D4A13" w:rsidRPr="003D4A13" w:rsidRDefault="003D4A13" w:rsidP="003D4A13">
      <w:pPr>
        <w:pStyle w:val="ListParagraph"/>
        <w:numPr>
          <w:ilvl w:val="0"/>
          <w:numId w:val="2"/>
        </w:numPr>
        <w:autoSpaceDE w:val="0"/>
        <w:autoSpaceDN w:val="0"/>
        <w:adjustRightInd w:val="0"/>
        <w:spacing w:line="480" w:lineRule="auto"/>
        <w:ind w:left="2520"/>
        <w:rPr>
          <w:rFonts w:cs="Times New Roman"/>
          <w:szCs w:val="24"/>
        </w:rPr>
      </w:pPr>
      <w:r w:rsidRPr="003D4A13">
        <w:rPr>
          <w:rFonts w:cs="Times New Roman"/>
          <w:szCs w:val="24"/>
        </w:rPr>
        <w:t>Nothing in these Protocols shall act as a bar to a person raising an issue in comments or in protests to the Informational Filing that it has not raised in a prior Informational Filing proceeding (including pre-filing phases of such proceeding) or with respect to which it has not previously exercised its rights under the FPA.</w:t>
      </w:r>
    </w:p>
    <w:p w:rsidR="003D4A13" w:rsidRPr="003D4A13" w:rsidRDefault="003D4A13" w:rsidP="003D4A13">
      <w:pPr>
        <w:pStyle w:val="ListParagraph"/>
        <w:numPr>
          <w:ilvl w:val="0"/>
          <w:numId w:val="2"/>
        </w:numPr>
        <w:autoSpaceDE w:val="0"/>
        <w:autoSpaceDN w:val="0"/>
        <w:adjustRightInd w:val="0"/>
        <w:spacing w:line="480" w:lineRule="auto"/>
        <w:ind w:left="2520"/>
        <w:rPr>
          <w:rFonts w:cs="Times New Roman"/>
          <w:szCs w:val="24"/>
        </w:rPr>
      </w:pPr>
      <w:r w:rsidRPr="003D4A13">
        <w:rPr>
          <w:rFonts w:cs="Times New Roman"/>
          <w:szCs w:val="24"/>
        </w:rPr>
        <w:t>It is expressly intended by these Protocols that FERC will issue an order taking action, assuming any action is requested, on the Informational Filing if protests</w:t>
      </w:r>
      <w:bookmarkStart w:id="3" w:name="_DV_C12"/>
      <w:r w:rsidRPr="003D4A13">
        <w:rPr>
          <w:rFonts w:cs="Times New Roman"/>
          <w:szCs w:val="24"/>
        </w:rPr>
        <w:t xml:space="preserve"> </w:t>
      </w:r>
      <w:r w:rsidRPr="003D4A13">
        <w:rPr>
          <w:rFonts w:cs="Times New Roman"/>
          <w:bCs/>
          <w:szCs w:val="24"/>
        </w:rPr>
        <w:t>and/or comments</w:t>
      </w:r>
      <w:bookmarkStart w:id="4" w:name="_DV_M54"/>
      <w:bookmarkEnd w:id="3"/>
      <w:bookmarkEnd w:id="4"/>
      <w:r w:rsidRPr="003D4A13">
        <w:rPr>
          <w:rFonts w:cs="Times New Roman"/>
          <w:szCs w:val="24"/>
        </w:rPr>
        <w:t xml:space="preserve"> on the Informational Filing are filed.</w:t>
      </w:r>
    </w:p>
    <w:p w:rsidR="003D4A13" w:rsidRPr="003D4A13" w:rsidRDefault="003D4A13" w:rsidP="003D4A13">
      <w:pPr>
        <w:pStyle w:val="ListParagraph"/>
        <w:numPr>
          <w:ilvl w:val="0"/>
          <w:numId w:val="2"/>
        </w:numPr>
        <w:autoSpaceDE w:val="0"/>
        <w:autoSpaceDN w:val="0"/>
        <w:adjustRightInd w:val="0"/>
        <w:spacing w:line="480" w:lineRule="auto"/>
        <w:ind w:left="2520"/>
        <w:rPr>
          <w:rFonts w:cs="Times New Roman"/>
          <w:szCs w:val="24"/>
        </w:rPr>
      </w:pPr>
      <w:r w:rsidRPr="003D4A13">
        <w:rPr>
          <w:rFonts w:cs="Times New Roman"/>
          <w:szCs w:val="24"/>
        </w:rPr>
        <w:t>In any proceeding on SDG&amp;E’s Informational Filing, SDG&amp;E shall bear the burden of showing the justness and reasonableness of the implementation of its TO4 Formula on matters set forth in subsections d. (i) through (</w:t>
      </w:r>
      <w:proofErr w:type="gramStart"/>
      <w:r w:rsidRPr="003D4A13">
        <w:rPr>
          <w:rFonts w:cs="Times New Roman"/>
          <w:szCs w:val="24"/>
        </w:rPr>
        <w:t>vi</w:t>
      </w:r>
      <w:proofErr w:type="gramEnd"/>
      <w:r w:rsidRPr="003D4A13">
        <w:rPr>
          <w:rFonts w:cs="Times New Roman"/>
          <w:szCs w:val="24"/>
        </w:rPr>
        <w:t xml:space="preserve">) above in accordance with Commission precedent.  </w:t>
      </w:r>
    </w:p>
    <w:p w:rsidR="003D4A13" w:rsidRPr="003D4A13" w:rsidRDefault="003D4A13" w:rsidP="003D4A13">
      <w:pPr>
        <w:pStyle w:val="ListParagraph"/>
        <w:numPr>
          <w:ilvl w:val="0"/>
          <w:numId w:val="2"/>
        </w:numPr>
        <w:autoSpaceDE w:val="0"/>
        <w:autoSpaceDN w:val="0"/>
        <w:adjustRightInd w:val="0"/>
        <w:spacing w:line="480" w:lineRule="auto"/>
        <w:ind w:left="2520"/>
        <w:rPr>
          <w:rFonts w:cs="Times New Roman"/>
          <w:szCs w:val="24"/>
        </w:rPr>
      </w:pPr>
      <w:r w:rsidRPr="003D4A13">
        <w:rPr>
          <w:rFonts w:cs="Times New Roman"/>
          <w:szCs w:val="24"/>
        </w:rPr>
        <w:t>SDG&amp;E will make any revisions to the BTRRs and associated rates that are required by a final</w:t>
      </w:r>
      <w:bookmarkStart w:id="5" w:name="_DV_M62"/>
      <w:bookmarkEnd w:id="5"/>
      <w:r w:rsidRPr="003D4A13">
        <w:rPr>
          <w:rStyle w:val="FootnoteReference"/>
          <w:rFonts w:cs="Times New Roman"/>
          <w:szCs w:val="24"/>
        </w:rPr>
        <w:footnoteReference w:id="10"/>
      </w:r>
      <w:r w:rsidRPr="003D4A13">
        <w:rPr>
          <w:rFonts w:cs="Times New Roman"/>
          <w:szCs w:val="24"/>
        </w:rPr>
        <w:t xml:space="preserve"> Commission order with respect to each </w:t>
      </w:r>
      <w:r w:rsidRPr="003D4A13">
        <w:rPr>
          <w:rFonts w:cs="Times New Roman"/>
          <w:szCs w:val="24"/>
        </w:rPr>
        <w:lastRenderedPageBreak/>
        <w:t xml:space="preserve">Informational Filing.  Unless otherwise ordered by the Commission, such revisions shall be effective as of the first day of the applicable Rate Effective Year and shall be reflected, with interest calculated </w:t>
      </w:r>
      <w:r w:rsidRPr="003D4A13">
        <w:rPr>
          <w:rFonts w:cs="Times New Roman"/>
          <w:color w:val="000000"/>
          <w:szCs w:val="24"/>
        </w:rPr>
        <w:t xml:space="preserve">pursuant to the interest rates in </w:t>
      </w:r>
      <w:r w:rsidRPr="003D4A13">
        <w:rPr>
          <w:rFonts w:cs="Times New Roman"/>
          <w:szCs w:val="24"/>
        </w:rPr>
        <w:t>Section 35.19a of the Commission’s regulations, in the next subsequent Informational Filing as a component of the True-Up Adjustment.  If the term of the TO4 Formula is ending so that there will be no future Informational Filing, SDG&amp;E shall include the TRR difference in the Final True-Up Adjustment.</w:t>
      </w:r>
    </w:p>
    <w:p w:rsidR="003D4A13" w:rsidRPr="003D4A13" w:rsidRDefault="003D4A13" w:rsidP="003D4A13">
      <w:pPr>
        <w:pStyle w:val="Heading3"/>
        <w:rPr>
          <w:rFonts w:cs="Times New Roman"/>
          <w:szCs w:val="24"/>
        </w:rPr>
      </w:pPr>
      <w:r w:rsidRPr="003D4A13">
        <w:rPr>
          <w:rFonts w:cs="Times New Roman"/>
          <w:szCs w:val="24"/>
        </w:rPr>
        <w:t>5.</w:t>
      </w:r>
      <w:r w:rsidRPr="003D4A13">
        <w:rPr>
          <w:rFonts w:cs="Times New Roman"/>
          <w:szCs w:val="24"/>
        </w:rPr>
        <w:tab/>
        <w:t xml:space="preserve">Adjustments to Reflect Correction of Errors </w:t>
      </w:r>
    </w:p>
    <w:p w:rsidR="003D4A13" w:rsidRPr="003D4A13" w:rsidRDefault="003D4A13" w:rsidP="003D4A13">
      <w:pPr>
        <w:pStyle w:val="ListParagraph"/>
        <w:numPr>
          <w:ilvl w:val="3"/>
          <w:numId w:val="5"/>
        </w:numPr>
        <w:spacing w:line="480" w:lineRule="auto"/>
        <w:ind w:left="2520"/>
        <w:rPr>
          <w:rFonts w:cs="Times New Roman"/>
          <w:szCs w:val="24"/>
        </w:rPr>
      </w:pPr>
      <w:r w:rsidRPr="003D4A13">
        <w:rPr>
          <w:rFonts w:cs="Times New Roman"/>
          <w:szCs w:val="24"/>
        </w:rPr>
        <w:t>In the event SDG&amp;E or any Interested Party identifies an error in the TO4 Formula or the FERC Form 1 data or data based on SDG&amp;E’s books and records that is used as an input to the formula, or SDG&amp;E is required by applicable law, a court, or regulatory body to correct an error, and such error affects the True-Up TRR calculated in an Informational Filing, SDG&amp;E shall include in its next subsequent Informational Filing a brief description of the errors included in its prior Informational Filing that must be corrected.  SDG&amp;E’s subsequent Informational Filing shall:</w:t>
      </w:r>
    </w:p>
    <w:p w:rsidR="003D4A13" w:rsidRPr="003D4A13" w:rsidRDefault="003D4A13" w:rsidP="003D4A13">
      <w:pPr>
        <w:pStyle w:val="ListParagraph"/>
        <w:autoSpaceDE w:val="0"/>
        <w:autoSpaceDN w:val="0"/>
        <w:adjustRightInd w:val="0"/>
        <w:spacing w:line="480" w:lineRule="auto"/>
        <w:ind w:left="2880" w:hanging="360"/>
        <w:rPr>
          <w:rFonts w:cs="Times New Roman"/>
          <w:szCs w:val="24"/>
        </w:rPr>
      </w:pPr>
      <w:r w:rsidRPr="003D4A13">
        <w:rPr>
          <w:rFonts w:cs="Times New Roman"/>
          <w:szCs w:val="24"/>
        </w:rPr>
        <w:t>(i)</w:t>
      </w:r>
      <w:r w:rsidRPr="003D4A13">
        <w:rPr>
          <w:rFonts w:cs="Times New Roman"/>
          <w:szCs w:val="24"/>
        </w:rPr>
        <w:tab/>
        <w:t>Recalculate the True-Up TRR for all affected Prior Years;</w:t>
      </w:r>
    </w:p>
    <w:p w:rsidR="003D4A13" w:rsidRPr="003D4A13" w:rsidRDefault="003D4A13" w:rsidP="003D4A13">
      <w:pPr>
        <w:pStyle w:val="ListParagraph"/>
        <w:autoSpaceDE w:val="0"/>
        <w:autoSpaceDN w:val="0"/>
        <w:adjustRightInd w:val="0"/>
        <w:spacing w:line="480" w:lineRule="auto"/>
        <w:ind w:left="2880" w:hanging="360"/>
        <w:rPr>
          <w:rFonts w:cs="Times New Roman"/>
          <w:szCs w:val="24"/>
        </w:rPr>
      </w:pPr>
      <w:r w:rsidRPr="003D4A13">
        <w:rPr>
          <w:rFonts w:cs="Times New Roman"/>
          <w:szCs w:val="24"/>
        </w:rPr>
        <w:t>(ii)</w:t>
      </w:r>
      <w:r w:rsidRPr="003D4A13">
        <w:rPr>
          <w:rFonts w:cs="Times New Roman"/>
          <w:szCs w:val="24"/>
        </w:rPr>
        <w:tab/>
        <w:t>Compare, on  a monthly basis, the difference between the initial incorrect True-Up TRR and the revised correct True Up; and</w:t>
      </w:r>
    </w:p>
    <w:p w:rsidR="003D4A13" w:rsidRPr="003D4A13" w:rsidRDefault="003D4A13" w:rsidP="003D4A13">
      <w:pPr>
        <w:pStyle w:val="ListParagraph"/>
        <w:autoSpaceDE w:val="0"/>
        <w:autoSpaceDN w:val="0"/>
        <w:adjustRightInd w:val="0"/>
        <w:spacing w:line="480" w:lineRule="auto"/>
        <w:ind w:left="2880" w:hanging="360"/>
        <w:rPr>
          <w:rFonts w:cs="Times New Roman"/>
          <w:szCs w:val="24"/>
        </w:rPr>
      </w:pPr>
      <w:r w:rsidRPr="003D4A13">
        <w:rPr>
          <w:rFonts w:cs="Times New Roman"/>
          <w:szCs w:val="24"/>
        </w:rPr>
        <w:lastRenderedPageBreak/>
        <w:t>(iii)</w:t>
      </w:r>
      <w:r w:rsidRPr="003D4A13">
        <w:rPr>
          <w:rFonts w:cs="Times New Roman"/>
          <w:szCs w:val="24"/>
        </w:rPr>
        <w:tab/>
        <w:t>Determine the cumulative amount of the difference in Section C.5.a.ii, including interest calculated pursuant to the interest rate in 18 C.F.R. § 35.19a, through the date of implementation of the correction.</w:t>
      </w:r>
    </w:p>
    <w:p w:rsidR="003D4A13" w:rsidRPr="003D4A13" w:rsidRDefault="003D4A13" w:rsidP="003D4A13">
      <w:pPr>
        <w:pStyle w:val="ListParagraph"/>
        <w:numPr>
          <w:ilvl w:val="3"/>
          <w:numId w:val="5"/>
        </w:numPr>
        <w:spacing w:line="480" w:lineRule="auto"/>
        <w:ind w:left="2520"/>
        <w:rPr>
          <w:rFonts w:cs="Times New Roman"/>
          <w:szCs w:val="24"/>
        </w:rPr>
      </w:pPr>
      <w:r w:rsidRPr="003D4A13">
        <w:rPr>
          <w:rFonts w:cs="Times New Roman"/>
          <w:szCs w:val="24"/>
        </w:rPr>
        <w:t>Absent an order requiring refunds outside of the True-Up process, the difference in Section C.5.a.(iii) shall be included as an additional component to SDG&amp;E’s True-Up Adjustment in its next Informational Filing or Final True-Up Adjustment, as applicable, as a one-time True-Up Adjustment in accordance with the TO4 Formula.</w:t>
      </w:r>
    </w:p>
    <w:p w:rsidR="003D4A13" w:rsidRPr="003D4A13" w:rsidRDefault="003D4A13" w:rsidP="003D4A13">
      <w:pPr>
        <w:pStyle w:val="Heading2"/>
        <w:rPr>
          <w:rFonts w:ascii="Times New Roman" w:hAnsi="Times New Roman" w:cs="Times New Roman"/>
          <w:szCs w:val="24"/>
        </w:rPr>
      </w:pPr>
      <w:r w:rsidRPr="003D4A13">
        <w:rPr>
          <w:rFonts w:ascii="Times New Roman" w:hAnsi="Times New Roman" w:cs="Times New Roman"/>
          <w:szCs w:val="24"/>
        </w:rPr>
        <w:t>D.</w:t>
      </w:r>
      <w:r w:rsidRPr="003D4A13">
        <w:rPr>
          <w:rFonts w:ascii="Times New Roman" w:hAnsi="Times New Roman" w:cs="Times New Roman"/>
          <w:szCs w:val="24"/>
        </w:rPr>
        <w:tab/>
        <w:t>SINGLE-ISSUE FILINGS</w:t>
      </w:r>
    </w:p>
    <w:p w:rsidR="003D4A13" w:rsidRPr="003D4A13" w:rsidRDefault="003D4A13" w:rsidP="003D4A13">
      <w:pPr>
        <w:pStyle w:val="Heading3"/>
        <w:rPr>
          <w:rFonts w:cs="Times New Roman"/>
          <w:szCs w:val="24"/>
        </w:rPr>
      </w:pPr>
      <w:r w:rsidRPr="003D4A13">
        <w:rPr>
          <w:rFonts w:cs="Times New Roman"/>
          <w:szCs w:val="24"/>
        </w:rPr>
        <w:t>1.</w:t>
      </w:r>
      <w:r w:rsidRPr="003D4A13">
        <w:rPr>
          <w:rFonts w:cs="Times New Roman"/>
          <w:szCs w:val="24"/>
        </w:rPr>
        <w:tab/>
        <w:t>Post-Employment Benefits Other Than Pensions</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If the expense levels for SDG&amp;E’s Post-Employment Benefits Other than Pensions (“PBOP”), as recorded in FERC Account No. 926, Employee Pensions and Benefits, change from those expense levels contained in SDG&amp;E’s TO4 Filing submitted in Docket No. ER13-941, then:</w:t>
      </w:r>
    </w:p>
    <w:p w:rsidR="003D4A13" w:rsidRPr="003D4A13" w:rsidRDefault="003D4A13" w:rsidP="003D4A13">
      <w:pPr>
        <w:pStyle w:val="ListParagraph"/>
        <w:numPr>
          <w:ilvl w:val="1"/>
          <w:numId w:val="2"/>
        </w:numPr>
        <w:autoSpaceDE w:val="0"/>
        <w:autoSpaceDN w:val="0"/>
        <w:adjustRightInd w:val="0"/>
        <w:spacing w:line="480" w:lineRule="auto"/>
        <w:ind w:left="2520"/>
        <w:rPr>
          <w:rFonts w:cs="Times New Roman"/>
          <w:szCs w:val="24"/>
        </w:rPr>
      </w:pPr>
      <w:r w:rsidRPr="003D4A13">
        <w:rPr>
          <w:rFonts w:cs="Times New Roman"/>
          <w:szCs w:val="24"/>
        </w:rPr>
        <w:t>SDG&amp;E may make a single-issue filing under Section 205 of the FPA, to recover such changed PBOP expense pursuant to the TO4 Formula; or</w:t>
      </w:r>
    </w:p>
    <w:p w:rsidR="003D4A13" w:rsidRPr="003D4A13" w:rsidRDefault="003D4A13" w:rsidP="003D4A13">
      <w:pPr>
        <w:pStyle w:val="ListParagraph"/>
        <w:numPr>
          <w:ilvl w:val="1"/>
          <w:numId w:val="2"/>
        </w:numPr>
        <w:autoSpaceDE w:val="0"/>
        <w:autoSpaceDN w:val="0"/>
        <w:adjustRightInd w:val="0"/>
        <w:spacing w:line="480" w:lineRule="auto"/>
        <w:ind w:left="2520"/>
        <w:rPr>
          <w:rFonts w:cs="Times New Roman"/>
          <w:szCs w:val="24"/>
        </w:rPr>
      </w:pPr>
      <w:r w:rsidRPr="003D4A13">
        <w:rPr>
          <w:rFonts w:cs="Times New Roman"/>
          <w:szCs w:val="24"/>
        </w:rPr>
        <w:t>Any person may exercise its rights under Section 206 of the FPA to request that the Commission direct SDG&amp;E to reflect any changed PBOP expense pursuant to the TO4 Formula.</w:t>
      </w:r>
    </w:p>
    <w:p w:rsidR="003D4A13" w:rsidRPr="003D4A13" w:rsidRDefault="003D4A13" w:rsidP="003D4A13">
      <w:pPr>
        <w:pStyle w:val="ListParagraph"/>
        <w:numPr>
          <w:ilvl w:val="1"/>
          <w:numId w:val="2"/>
        </w:numPr>
        <w:autoSpaceDE w:val="0"/>
        <w:autoSpaceDN w:val="0"/>
        <w:adjustRightInd w:val="0"/>
        <w:spacing w:line="480" w:lineRule="auto"/>
        <w:ind w:left="2520"/>
        <w:rPr>
          <w:rFonts w:cs="Times New Roman"/>
          <w:szCs w:val="24"/>
        </w:rPr>
      </w:pPr>
      <w:r w:rsidRPr="003D4A13">
        <w:rPr>
          <w:rFonts w:cs="Times New Roman"/>
          <w:szCs w:val="24"/>
        </w:rPr>
        <w:t>SDG&amp;E and/or any other person shall retain full rights to oppose such filings under the FPA and in accordance with the Commission’s Rules of Practice and Procedure.</w:t>
      </w:r>
    </w:p>
    <w:p w:rsidR="003D4A13" w:rsidRPr="003D4A13" w:rsidRDefault="003D4A13" w:rsidP="003D4A13">
      <w:pPr>
        <w:pStyle w:val="ListParagraph"/>
        <w:numPr>
          <w:ilvl w:val="1"/>
          <w:numId w:val="2"/>
        </w:numPr>
        <w:autoSpaceDE w:val="0"/>
        <w:autoSpaceDN w:val="0"/>
        <w:adjustRightInd w:val="0"/>
        <w:spacing w:line="480" w:lineRule="auto"/>
        <w:ind w:left="2520"/>
        <w:rPr>
          <w:rFonts w:cs="Times New Roman"/>
          <w:szCs w:val="24"/>
        </w:rPr>
      </w:pPr>
      <w:r w:rsidRPr="003D4A13">
        <w:rPr>
          <w:rFonts w:cs="Times New Roman"/>
          <w:szCs w:val="24"/>
        </w:rPr>
        <w:lastRenderedPageBreak/>
        <w:t>If there is a change from the PBOP expense levels contained in SDG&amp;E’s TO4 Filing and SDG&amp;E elects not to make a filing, SDG&amp;E will provide notice of the change to the Service List as part of its Draft Informational Filing.</w:t>
      </w:r>
    </w:p>
    <w:p w:rsidR="003D4A13" w:rsidRPr="003D4A13" w:rsidRDefault="003D4A13" w:rsidP="003D4A13">
      <w:pPr>
        <w:pStyle w:val="Heading3"/>
        <w:rPr>
          <w:rFonts w:cs="Times New Roman"/>
          <w:szCs w:val="24"/>
        </w:rPr>
      </w:pPr>
      <w:r w:rsidRPr="003D4A13">
        <w:rPr>
          <w:rFonts w:cs="Times New Roman"/>
          <w:szCs w:val="24"/>
        </w:rPr>
        <w:t>2.</w:t>
      </w:r>
      <w:r w:rsidRPr="003D4A13">
        <w:rPr>
          <w:rFonts w:cs="Times New Roman"/>
          <w:szCs w:val="24"/>
        </w:rPr>
        <w:tab/>
        <w:t>Project-Specific Incentives</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If SDG&amp;E requests and is authorized by the Commission to recover project-specific incentives, SDG&amp;E will incorporate the values associated with the approved incentives as a line item in the placeholders set forth in Appendix VIII.  Such placeholders will not change absent approval of a separate Section 205 filing seeking such a change.</w:t>
      </w:r>
    </w:p>
    <w:p w:rsidR="003D4A13" w:rsidRPr="003D4A13" w:rsidRDefault="003D4A13" w:rsidP="003D4A13">
      <w:pPr>
        <w:pStyle w:val="ListParagraph"/>
        <w:autoSpaceDE w:val="0"/>
        <w:autoSpaceDN w:val="0"/>
        <w:adjustRightInd w:val="0"/>
        <w:spacing w:line="480" w:lineRule="auto"/>
        <w:ind w:left="2520" w:hanging="360"/>
        <w:contextualSpacing w:val="0"/>
        <w:rPr>
          <w:rFonts w:cs="Times New Roman"/>
          <w:color w:val="000000" w:themeColor="text1"/>
          <w:szCs w:val="24"/>
        </w:rPr>
      </w:pPr>
      <w:r w:rsidRPr="003D4A13">
        <w:rPr>
          <w:rFonts w:cs="Times New Roman"/>
          <w:szCs w:val="24"/>
        </w:rPr>
        <w:t>a.</w:t>
      </w:r>
      <w:r w:rsidRPr="003D4A13">
        <w:rPr>
          <w:rFonts w:cs="Times New Roman"/>
          <w:szCs w:val="24"/>
        </w:rPr>
        <w:tab/>
        <w:t>During the term of the TO4 Formula, SDG&amp;E shall have the right to seek transmission project-specific incentives, and all persons shall retain their rights to oppose the requested incentives.  The following conditions on SDG&amp;E’s right to seek incentives shall apply:</w:t>
      </w:r>
    </w:p>
    <w:p w:rsidR="003D4A13" w:rsidRPr="003D4A13" w:rsidRDefault="003D4A13" w:rsidP="003D4A13">
      <w:pPr>
        <w:pStyle w:val="ListParagraph"/>
        <w:autoSpaceDE w:val="0"/>
        <w:autoSpaceDN w:val="0"/>
        <w:adjustRightInd w:val="0"/>
        <w:spacing w:line="480" w:lineRule="auto"/>
        <w:ind w:left="2520" w:hanging="360"/>
        <w:contextualSpacing w:val="0"/>
        <w:rPr>
          <w:rFonts w:cs="Times New Roman"/>
          <w:szCs w:val="24"/>
        </w:rPr>
      </w:pPr>
      <w:r w:rsidRPr="003D4A13">
        <w:rPr>
          <w:rFonts w:cs="Times New Roman"/>
          <w:szCs w:val="24"/>
        </w:rPr>
        <w:t>b.</w:t>
      </w:r>
      <w:r w:rsidRPr="003D4A13">
        <w:rPr>
          <w:rFonts w:cs="Times New Roman"/>
          <w:szCs w:val="24"/>
        </w:rPr>
        <w:tab/>
        <w:t>SDG&amp;E may not seek to include construction work in progress (“CWIP”) in rate base except for any transmission project for which construction commenced in good faith during the term of the TO4 Formula.  For any project for which the Commission grants SDG&amp;E a CWIP incentive, SDG&amp;E will reflect an Allowance for Funds Used During Construction (“AFUDC”), rather than 100% of CWIP, on project costs incurred prior to the date SDG&amp;E obtains:  (i) any required licensing approval from the CPUC for the project; and (ii) CAISO approval for the project through the applicable CAISO planning or interconnection process.</w:t>
      </w:r>
    </w:p>
    <w:p w:rsidR="003D4A13" w:rsidRPr="003D4A13" w:rsidRDefault="003D4A13" w:rsidP="003D4A13">
      <w:pPr>
        <w:pStyle w:val="ListParagraph"/>
        <w:autoSpaceDE w:val="0"/>
        <w:autoSpaceDN w:val="0"/>
        <w:adjustRightInd w:val="0"/>
        <w:spacing w:line="480" w:lineRule="auto"/>
        <w:ind w:left="2520" w:hanging="360"/>
        <w:contextualSpacing w:val="0"/>
        <w:rPr>
          <w:rFonts w:cs="Times New Roman"/>
          <w:szCs w:val="24"/>
        </w:rPr>
      </w:pPr>
      <w:r w:rsidRPr="003D4A13">
        <w:rPr>
          <w:rFonts w:cs="Times New Roman"/>
          <w:szCs w:val="24"/>
        </w:rPr>
        <w:lastRenderedPageBreak/>
        <w:t>c.</w:t>
      </w:r>
      <w:r w:rsidRPr="003D4A13">
        <w:rPr>
          <w:rFonts w:cs="Times New Roman"/>
          <w:szCs w:val="24"/>
        </w:rPr>
        <w:tab/>
        <w:t>SDG&amp;E may not seek to recover 100% of prudently-incurred abandoned plant costs except for any transmission project for which construction commenced in good faith during the term of the TO4 Formula.  Further, for any transmission project that requires CAISO approval, SDG&amp;E may not seek to recover 100% of prudently-incurred abandoned plant costs unless the project is included in the CAISO transmission plan.</w:t>
      </w:r>
    </w:p>
    <w:p w:rsidR="003D4A13" w:rsidRPr="003D4A13" w:rsidRDefault="003D4A13" w:rsidP="003D4A13">
      <w:pPr>
        <w:pStyle w:val="ListParagraph"/>
        <w:autoSpaceDE w:val="0"/>
        <w:autoSpaceDN w:val="0"/>
        <w:adjustRightInd w:val="0"/>
        <w:spacing w:line="480" w:lineRule="auto"/>
        <w:ind w:left="2520" w:hanging="360"/>
        <w:contextualSpacing w:val="0"/>
        <w:rPr>
          <w:rFonts w:cs="Times New Roman"/>
          <w:szCs w:val="24"/>
        </w:rPr>
      </w:pPr>
      <w:r w:rsidRPr="003D4A13">
        <w:rPr>
          <w:rFonts w:cs="Times New Roman"/>
          <w:szCs w:val="24"/>
        </w:rPr>
        <w:t>d.</w:t>
      </w:r>
      <w:r w:rsidRPr="003D4A13">
        <w:rPr>
          <w:rFonts w:cs="Times New Roman"/>
          <w:szCs w:val="24"/>
        </w:rPr>
        <w:tab/>
        <w:t>SDG&amp;E will not seek a rate of return on equity incentive for any transmission project for which construction commenced in good faith prior to September 1, 2013 or for which all necessary permits, including environmental permits, were granted prior to September 1, 2013.</w:t>
      </w:r>
    </w:p>
    <w:p w:rsidR="003D4A13" w:rsidRPr="003D4A13" w:rsidRDefault="003D4A13" w:rsidP="003D4A13">
      <w:pPr>
        <w:pStyle w:val="Heading3"/>
        <w:rPr>
          <w:rFonts w:cs="Times New Roman"/>
          <w:szCs w:val="24"/>
        </w:rPr>
      </w:pPr>
      <w:r w:rsidRPr="003D4A13">
        <w:rPr>
          <w:rFonts w:cs="Times New Roman"/>
          <w:szCs w:val="24"/>
        </w:rPr>
        <w:t>3.</w:t>
      </w:r>
      <w:r w:rsidRPr="003D4A13">
        <w:rPr>
          <w:rFonts w:cs="Times New Roman"/>
          <w:szCs w:val="24"/>
        </w:rPr>
        <w:tab/>
        <w:t>FERC Form 1</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 xml:space="preserve">SDG&amp;E may make a single-issue Section 205 filing to update the references in the TO4 Formula to reflect any changes to the format and/or content of the FERC Form 1 or the Uniform System of Accounts that affect the calculations set forth in the TO4 Formula in the event that a Commission order revises the format and/or content of the FERC Form 1 or the Uniform System of Accounts.  This filing shall be submitted within thirty days of any FERC decision to revise the FERC Form 1 or the Uniform System of Accounts, and shall be effective on the same date as the revisions to the FERC Form 1 or Uniform System of Accounts, as applicable, become effective.  All persons retain full rights to oppose such filing under the FPA and in accordance with the Commission’s Rules of Practice and Procedure.  If there is a change to the format and/or content of the FERC Form 1 or the Uniform System of Accounts that affects the calculations set forth in </w:t>
      </w:r>
      <w:r w:rsidRPr="003D4A13">
        <w:rPr>
          <w:rFonts w:ascii="Times New Roman" w:hAnsi="Times New Roman" w:cs="Times New Roman"/>
          <w:sz w:val="24"/>
          <w:szCs w:val="24"/>
        </w:rPr>
        <w:lastRenderedPageBreak/>
        <w:t>the TO4 Formula, and SDG&amp;E elects not to make a filing, SDG&amp;E will provide notice of the change to the Service List as part of its Draft Informational Filing.</w:t>
      </w:r>
    </w:p>
    <w:p w:rsidR="003D4A13" w:rsidRPr="003D4A13" w:rsidRDefault="003D4A13" w:rsidP="003D4A13">
      <w:pPr>
        <w:pStyle w:val="Heading3"/>
        <w:rPr>
          <w:rFonts w:cs="Times New Roman"/>
          <w:szCs w:val="24"/>
        </w:rPr>
      </w:pPr>
      <w:r w:rsidRPr="003D4A13">
        <w:rPr>
          <w:rFonts w:cs="Times New Roman"/>
          <w:szCs w:val="24"/>
        </w:rPr>
        <w:t>4.</w:t>
      </w:r>
      <w:r w:rsidRPr="003D4A13">
        <w:rPr>
          <w:rFonts w:cs="Times New Roman"/>
          <w:szCs w:val="24"/>
        </w:rPr>
        <w:tab/>
        <w:t>Abandoned Plant for Non-Incentive Projects</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SDG&amp;E reserves the right to make a single-issue Section 205 filing to seek abandoned project costs for non-incentive projects.  All persons retain full rights to oppose such filing under the FPA and in accordance with the Commission’s Rules of Practice and Procedure.</w:t>
      </w:r>
    </w:p>
    <w:p w:rsidR="003D4A13" w:rsidRPr="003D4A13" w:rsidRDefault="003D4A13" w:rsidP="003D4A13">
      <w:pPr>
        <w:pStyle w:val="Heading3"/>
        <w:rPr>
          <w:rFonts w:cs="Times New Roman"/>
          <w:szCs w:val="24"/>
        </w:rPr>
      </w:pPr>
      <w:r w:rsidRPr="003D4A13">
        <w:rPr>
          <w:rFonts w:cs="Times New Roman"/>
          <w:szCs w:val="24"/>
        </w:rPr>
        <w:t>5.</w:t>
      </w:r>
      <w:r w:rsidRPr="003D4A13">
        <w:rPr>
          <w:rFonts w:cs="Times New Roman"/>
          <w:szCs w:val="24"/>
        </w:rPr>
        <w:tab/>
        <w:t>Depreciation Rates and/or Amortization Periods for General Plant, Common Plant and/or Intangible Plant</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 xml:space="preserve">SDG&amp;E reserves the right to make a single-issue Section 205 filing to change the depreciation rates for General Plant and Common Plant and the amortization periods for Intangible Plant upon approval by the CPUC of revised depreciation rates and/or amortization periods for these plant categories.  SDG&amp;E shall make a filing at the Commission, as set forth in this section, by the later of either the filing date for the next Informational </w:t>
      </w:r>
      <w:proofErr w:type="gramStart"/>
      <w:r w:rsidRPr="003D4A13">
        <w:rPr>
          <w:rFonts w:ascii="Times New Roman" w:hAnsi="Times New Roman" w:cs="Times New Roman"/>
          <w:sz w:val="24"/>
          <w:szCs w:val="24"/>
        </w:rPr>
        <w:t>Filing following</w:t>
      </w:r>
      <w:proofErr w:type="gramEnd"/>
      <w:r w:rsidRPr="003D4A13">
        <w:rPr>
          <w:rFonts w:ascii="Times New Roman" w:hAnsi="Times New Roman" w:cs="Times New Roman"/>
          <w:sz w:val="24"/>
          <w:szCs w:val="24"/>
        </w:rPr>
        <w:t xml:space="preserve"> issuance of the CPUC ruling or sixty days after issuance of the CPUC ruling.  All persons retain full rights to oppose such filing under the FPA and in accordance with the Commission’s Rules of Practice and Procedure.  If there is a change in the depreciation rates for General Plant and Common Plant and/or in the amortization periods for Intangible Plant, and SDG&amp;E elects not to make a filing, SDG&amp;E will provide notice of the change to the Service List as part of its Draft Informational Filing.  However, SDG&amp;E will not then be able to incorporate the CPUC-approved change in its TO4 Formula.</w:t>
      </w:r>
    </w:p>
    <w:p w:rsidR="003D4A13" w:rsidRPr="003D4A13" w:rsidRDefault="003D4A13" w:rsidP="003D4A13">
      <w:pPr>
        <w:pStyle w:val="Heading3"/>
        <w:rPr>
          <w:rFonts w:cs="Times New Roman"/>
          <w:szCs w:val="24"/>
        </w:rPr>
      </w:pPr>
      <w:r w:rsidRPr="003D4A13">
        <w:rPr>
          <w:rFonts w:cs="Times New Roman"/>
          <w:szCs w:val="24"/>
        </w:rPr>
        <w:t>6.</w:t>
      </w:r>
      <w:r w:rsidRPr="003D4A13">
        <w:rPr>
          <w:rFonts w:cs="Times New Roman"/>
          <w:szCs w:val="24"/>
        </w:rPr>
        <w:tab/>
        <w:t>Restriction on other Single-Issue Filings</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Unless otherwise provided for in this Section D., SDG&amp;E may not make single-issue filings during the term of the TO4 Formula.</w:t>
      </w:r>
    </w:p>
    <w:p w:rsidR="003D4A13" w:rsidRPr="003D4A13" w:rsidRDefault="003D4A13" w:rsidP="003D4A13">
      <w:pPr>
        <w:pStyle w:val="Heading2"/>
        <w:rPr>
          <w:rFonts w:ascii="Times New Roman" w:hAnsi="Times New Roman" w:cs="Times New Roman"/>
          <w:szCs w:val="24"/>
        </w:rPr>
      </w:pPr>
      <w:r w:rsidRPr="003D4A13">
        <w:rPr>
          <w:rFonts w:ascii="Times New Roman" w:hAnsi="Times New Roman" w:cs="Times New Roman"/>
          <w:szCs w:val="24"/>
        </w:rPr>
        <w:lastRenderedPageBreak/>
        <w:t>E.</w:t>
      </w:r>
      <w:r w:rsidRPr="003D4A13">
        <w:rPr>
          <w:rFonts w:ascii="Times New Roman" w:hAnsi="Times New Roman" w:cs="Times New Roman"/>
          <w:szCs w:val="24"/>
        </w:rPr>
        <w:tab/>
        <w:t>TRUE-UP ADJUSTMENT</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The True-Up Adjustment for each True-Up Period will be a reconciliation of the difference between:</w:t>
      </w:r>
    </w:p>
    <w:p w:rsidR="003D4A13" w:rsidRPr="003D4A13" w:rsidRDefault="003D4A13" w:rsidP="003D4A13">
      <w:pPr>
        <w:pStyle w:val="ListParagraph"/>
        <w:numPr>
          <w:ilvl w:val="0"/>
          <w:numId w:val="6"/>
        </w:numPr>
        <w:autoSpaceDE w:val="0"/>
        <w:autoSpaceDN w:val="0"/>
        <w:adjustRightInd w:val="0"/>
        <w:spacing w:line="480" w:lineRule="auto"/>
        <w:ind w:hanging="810"/>
        <w:rPr>
          <w:rFonts w:cs="Times New Roman"/>
          <w:szCs w:val="24"/>
        </w:rPr>
      </w:pPr>
      <w:r w:rsidRPr="003D4A13">
        <w:rPr>
          <w:rFonts w:cs="Times New Roman"/>
          <w:szCs w:val="24"/>
        </w:rPr>
        <w:t>SDG&amp;E’s actual cost of providing transmission service during the applicable True-Up Period as determined by application of the PYRR component of the TO4 Formula; and</w:t>
      </w:r>
    </w:p>
    <w:p w:rsidR="003D4A13" w:rsidRPr="003D4A13" w:rsidRDefault="003D4A13" w:rsidP="003D4A13">
      <w:pPr>
        <w:pStyle w:val="ListParagraph"/>
        <w:numPr>
          <w:ilvl w:val="0"/>
          <w:numId w:val="6"/>
        </w:numPr>
        <w:autoSpaceDE w:val="0"/>
        <w:autoSpaceDN w:val="0"/>
        <w:adjustRightInd w:val="0"/>
        <w:spacing w:line="480" w:lineRule="auto"/>
        <w:ind w:hanging="810"/>
        <w:rPr>
          <w:rFonts w:cs="Times New Roman"/>
          <w:szCs w:val="24"/>
        </w:rPr>
      </w:pPr>
      <w:r w:rsidRPr="003D4A13">
        <w:rPr>
          <w:rFonts w:cs="Times New Roman"/>
          <w:szCs w:val="24"/>
        </w:rPr>
        <w:t>Actual revenues billed by SDG&amp;E and paid by transmission customers for transmission service during the True-Up Period.</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The True-Up Adjustment shall be calculated in accordance with the Formula Rate Spreadsheet.</w:t>
      </w:r>
      <w:r w:rsidRPr="003D4A13">
        <w:rPr>
          <w:rStyle w:val="FootnoteReference"/>
          <w:rFonts w:ascii="Times New Roman" w:hAnsi="Times New Roman" w:cs="Times New Roman"/>
          <w:sz w:val="24"/>
          <w:szCs w:val="24"/>
        </w:rPr>
        <w:footnoteReference w:id="11"/>
      </w:r>
    </w:p>
    <w:p w:rsidR="003D4A13" w:rsidRPr="003D4A13" w:rsidRDefault="003D4A13" w:rsidP="003D4A13">
      <w:pPr>
        <w:pStyle w:val="Heading2"/>
        <w:rPr>
          <w:rFonts w:ascii="Times New Roman" w:hAnsi="Times New Roman" w:cs="Times New Roman"/>
          <w:szCs w:val="24"/>
        </w:rPr>
      </w:pPr>
      <w:r w:rsidRPr="003D4A13">
        <w:rPr>
          <w:rFonts w:ascii="Times New Roman" w:hAnsi="Times New Roman" w:cs="Times New Roman"/>
          <w:szCs w:val="24"/>
        </w:rPr>
        <w:t>F.</w:t>
      </w:r>
      <w:r w:rsidRPr="003D4A13">
        <w:rPr>
          <w:rFonts w:ascii="Times New Roman" w:hAnsi="Times New Roman" w:cs="Times New Roman"/>
          <w:szCs w:val="24"/>
        </w:rPr>
        <w:tab/>
        <w:t>USE OF INFORMATION</w:t>
      </w:r>
    </w:p>
    <w:p w:rsidR="003D4A13" w:rsidRPr="003D4A13" w:rsidRDefault="003D4A13" w:rsidP="003D4A13">
      <w:pPr>
        <w:autoSpaceDE w:val="0"/>
        <w:autoSpaceDN w:val="0"/>
        <w:adjustRightInd w:val="0"/>
        <w:spacing w:line="480" w:lineRule="auto"/>
        <w:ind w:firstLine="720"/>
        <w:rPr>
          <w:rFonts w:ascii="Times New Roman" w:hAnsi="Times New Roman" w:cs="Times New Roman"/>
          <w:sz w:val="24"/>
          <w:szCs w:val="24"/>
        </w:rPr>
      </w:pPr>
      <w:r w:rsidRPr="003D4A13">
        <w:rPr>
          <w:rFonts w:ascii="Times New Roman" w:hAnsi="Times New Roman" w:cs="Times New Roman"/>
          <w:sz w:val="24"/>
          <w:szCs w:val="24"/>
        </w:rPr>
        <w:t>Information produced pursuant to these Protocols may be used in any administrative or judicial proceeding; provided, however, that to the extent that any information provided pursuant to these Protocols has been designated and provided as Protected Materials, the use of such information shall be governed by the Protective Order.  This section shall not apply to any information provided in the course of Commission-established settlement proceedings pursuant to the Commission’s rules and regulations governing settlement.</w:t>
      </w:r>
    </w:p>
    <w:p w:rsidR="003D4A13" w:rsidRPr="003D4A13" w:rsidRDefault="003D4A13" w:rsidP="003D4A13">
      <w:pPr>
        <w:pStyle w:val="Heading2"/>
        <w:rPr>
          <w:rFonts w:ascii="Times New Roman" w:hAnsi="Times New Roman" w:cs="Times New Roman"/>
          <w:szCs w:val="24"/>
        </w:rPr>
      </w:pPr>
      <w:r w:rsidRPr="003D4A13">
        <w:rPr>
          <w:rFonts w:ascii="Times New Roman" w:hAnsi="Times New Roman" w:cs="Times New Roman"/>
          <w:szCs w:val="24"/>
        </w:rPr>
        <w:t>G.</w:t>
      </w:r>
      <w:r w:rsidRPr="003D4A13">
        <w:rPr>
          <w:rFonts w:ascii="Times New Roman" w:hAnsi="Times New Roman" w:cs="Times New Roman"/>
          <w:szCs w:val="24"/>
        </w:rPr>
        <w:tab/>
        <w:t>Reservation of Rights</w:t>
      </w:r>
      <w:bookmarkStart w:id="6" w:name="_DV_M212"/>
      <w:bookmarkStart w:id="7" w:name="_DV_M213"/>
      <w:bookmarkEnd w:id="6"/>
      <w:bookmarkEnd w:id="7"/>
      <w:r w:rsidRPr="003D4A13">
        <w:rPr>
          <w:rFonts w:ascii="Times New Roman" w:hAnsi="Times New Roman" w:cs="Times New Roman"/>
          <w:szCs w:val="24"/>
        </w:rPr>
        <w:t xml:space="preserve"> AND STANDARD OF REVIEW</w:t>
      </w:r>
    </w:p>
    <w:p w:rsidR="003D4A13" w:rsidRPr="003D4A13" w:rsidRDefault="003D4A13" w:rsidP="003D4A13">
      <w:pPr>
        <w:pStyle w:val="ListParagraph"/>
        <w:numPr>
          <w:ilvl w:val="0"/>
          <w:numId w:val="7"/>
        </w:numPr>
        <w:autoSpaceDE w:val="0"/>
        <w:autoSpaceDN w:val="0"/>
        <w:adjustRightInd w:val="0"/>
        <w:spacing w:line="480" w:lineRule="auto"/>
        <w:ind w:left="2160" w:hanging="720"/>
        <w:rPr>
          <w:rFonts w:cs="Times New Roman"/>
          <w:szCs w:val="24"/>
        </w:rPr>
      </w:pPr>
      <w:r w:rsidRPr="003D4A13">
        <w:rPr>
          <w:rFonts w:cs="Times New Roman"/>
          <w:szCs w:val="24"/>
        </w:rPr>
        <w:t xml:space="preserve">Nothing in these Protocols shall limit or shall be deemed to limit in any way the right of any Interested Party to file a request for relief under any </w:t>
      </w:r>
      <w:r w:rsidRPr="003D4A13">
        <w:rPr>
          <w:rFonts w:cs="Times New Roman"/>
          <w:szCs w:val="24"/>
        </w:rPr>
        <w:lastRenderedPageBreak/>
        <w:t>applicable provision of the FPA and/or the Commission’s regulations or to participate in Informational Filing proceedings.</w:t>
      </w:r>
      <w:bookmarkStart w:id="8" w:name="_DV_M214"/>
      <w:bookmarkStart w:id="9" w:name="_DV_M215"/>
      <w:bookmarkEnd w:id="8"/>
      <w:bookmarkEnd w:id="9"/>
    </w:p>
    <w:p w:rsidR="003D4A13" w:rsidRPr="003D4A13" w:rsidRDefault="003D4A13" w:rsidP="003D4A13">
      <w:pPr>
        <w:pStyle w:val="ListParagraph"/>
        <w:numPr>
          <w:ilvl w:val="0"/>
          <w:numId w:val="7"/>
        </w:numPr>
        <w:spacing w:line="480" w:lineRule="auto"/>
        <w:ind w:left="2160" w:hanging="720"/>
        <w:rPr>
          <w:rFonts w:cs="Times New Roman"/>
          <w:szCs w:val="24"/>
        </w:rPr>
      </w:pPr>
      <w:r w:rsidRPr="003D4A13">
        <w:rPr>
          <w:rFonts w:cs="Times New Roman"/>
          <w:szCs w:val="24"/>
        </w:rPr>
        <w:t>Except as set forth in Sections B and D above and subject to Section G.3 below, nothing in these Protocols shall be deemed to limit in any way SDG&amp;E’s right to file unilaterally, pursuant to Section 205 of the FPA and the regulations thereunder, to seek to change or cancel the TO4 Formula, or to submit any other request for relief under any applicable provision of the FPA and/or the Commission’s regulations</w:t>
      </w:r>
      <w:bookmarkStart w:id="10" w:name="_DV_M216"/>
      <w:bookmarkStart w:id="11" w:name="_DV_C48"/>
      <w:bookmarkEnd w:id="10"/>
      <w:r w:rsidRPr="003D4A13">
        <w:rPr>
          <w:rFonts w:cs="Times New Roman"/>
          <w:szCs w:val="24"/>
        </w:rPr>
        <w:t>.</w:t>
      </w:r>
    </w:p>
    <w:bookmarkEnd w:id="11"/>
    <w:p w:rsidR="003D4A13" w:rsidRPr="003D4A13" w:rsidRDefault="003D4A13" w:rsidP="003D4A13">
      <w:pPr>
        <w:pStyle w:val="ListParagraph"/>
        <w:numPr>
          <w:ilvl w:val="0"/>
          <w:numId w:val="7"/>
        </w:numPr>
        <w:spacing w:line="480" w:lineRule="auto"/>
        <w:ind w:left="2160" w:hanging="720"/>
        <w:rPr>
          <w:rFonts w:cs="Times New Roman"/>
          <w:szCs w:val="24"/>
        </w:rPr>
      </w:pPr>
      <w:r w:rsidRPr="003D4A13">
        <w:rPr>
          <w:rFonts w:cs="Times New Roman"/>
          <w:szCs w:val="24"/>
        </w:rPr>
        <w:t xml:space="preserve">Except for the one-time right to terminate the TO4 Formula pursuant to Section B above and the single-issue filings permitted in accordance with Section D above, the standard of review for SDG&amp;E and any Party to Docket No. ER13-941 unilaterally filing to change the TO4 Formula under FPA Sections 205 or 206 shall be the “public interest” standard of review set forth in </w:t>
      </w:r>
      <w:r w:rsidRPr="003D4A13">
        <w:rPr>
          <w:rFonts w:cs="Times New Roman"/>
          <w:i/>
          <w:szCs w:val="24"/>
        </w:rPr>
        <w:t>United Gas Pipe Line Co. v. Mobile Gas Service Corp.</w:t>
      </w:r>
      <w:r w:rsidRPr="003D4A13">
        <w:rPr>
          <w:rFonts w:cs="Times New Roman"/>
          <w:szCs w:val="24"/>
        </w:rPr>
        <w:t>, 350 U.S. 332 (1956);</w:t>
      </w:r>
      <w:r w:rsidRPr="003D4A13">
        <w:rPr>
          <w:rFonts w:cs="Times New Roman"/>
          <w:i/>
          <w:szCs w:val="24"/>
        </w:rPr>
        <w:t xml:space="preserve"> Fed. Power </w:t>
      </w:r>
      <w:proofErr w:type="spellStart"/>
      <w:r w:rsidRPr="003D4A13">
        <w:rPr>
          <w:rFonts w:cs="Times New Roman"/>
          <w:i/>
          <w:szCs w:val="24"/>
        </w:rPr>
        <w:t>Comm’n</w:t>
      </w:r>
      <w:proofErr w:type="spellEnd"/>
      <w:r w:rsidRPr="003D4A13">
        <w:rPr>
          <w:rFonts w:cs="Times New Roman"/>
          <w:i/>
          <w:szCs w:val="24"/>
        </w:rPr>
        <w:t xml:space="preserve"> v. Sierra Pacific Power Co.</w:t>
      </w:r>
      <w:r w:rsidRPr="003D4A13">
        <w:rPr>
          <w:rFonts w:cs="Times New Roman"/>
          <w:szCs w:val="24"/>
        </w:rPr>
        <w:t xml:space="preserve">, </w:t>
      </w:r>
      <w:proofErr w:type="gramStart"/>
      <w:r w:rsidRPr="003D4A13">
        <w:rPr>
          <w:rFonts w:cs="Times New Roman"/>
          <w:szCs w:val="24"/>
        </w:rPr>
        <w:t>350 U.S.348 (1956)</w:t>
      </w:r>
      <w:proofErr w:type="gramEnd"/>
      <w:r w:rsidRPr="003D4A13">
        <w:rPr>
          <w:rFonts w:cs="Times New Roman"/>
          <w:szCs w:val="24"/>
        </w:rPr>
        <w:t xml:space="preserve">; </w:t>
      </w:r>
      <w:r w:rsidRPr="003D4A13">
        <w:rPr>
          <w:rFonts w:cs="Times New Roman"/>
          <w:i/>
          <w:szCs w:val="24"/>
        </w:rPr>
        <w:t>Morgan Stanley Capital Group, Inc. v. Pub. Util. Dist. No. 1 of Snohomish County</w:t>
      </w:r>
      <w:r w:rsidRPr="003D4A13">
        <w:rPr>
          <w:rFonts w:cs="Times New Roman"/>
          <w:szCs w:val="24"/>
        </w:rPr>
        <w:t xml:space="preserve">, 554 U.S. 527 (2008); and </w:t>
      </w:r>
      <w:r w:rsidRPr="003D4A13">
        <w:rPr>
          <w:rFonts w:cs="Times New Roman"/>
          <w:i/>
          <w:szCs w:val="24"/>
        </w:rPr>
        <w:t xml:space="preserve">NRG Power Mktg., LLC v. Maine Pub. Utilities </w:t>
      </w:r>
      <w:proofErr w:type="spellStart"/>
      <w:r w:rsidRPr="003D4A13">
        <w:rPr>
          <w:rFonts w:cs="Times New Roman"/>
          <w:i/>
          <w:szCs w:val="24"/>
        </w:rPr>
        <w:t>Comm’n</w:t>
      </w:r>
      <w:proofErr w:type="spellEnd"/>
      <w:r w:rsidRPr="003D4A13">
        <w:rPr>
          <w:rFonts w:cs="Times New Roman"/>
          <w:szCs w:val="24"/>
        </w:rPr>
        <w:t xml:space="preserve">, 558 U.S. 165 (2010).  The “public interest” standard of review shall not apply to future changes adopted by the Commission acting </w:t>
      </w:r>
      <w:proofErr w:type="spellStart"/>
      <w:r w:rsidRPr="003D4A13">
        <w:rPr>
          <w:rFonts w:cs="Times New Roman"/>
          <w:i/>
          <w:szCs w:val="24"/>
        </w:rPr>
        <w:t>sua</w:t>
      </w:r>
      <w:proofErr w:type="spellEnd"/>
      <w:r w:rsidRPr="003D4A13">
        <w:rPr>
          <w:rFonts w:cs="Times New Roman"/>
          <w:i/>
          <w:szCs w:val="24"/>
        </w:rPr>
        <w:t xml:space="preserve"> </w:t>
      </w:r>
      <w:proofErr w:type="spellStart"/>
      <w:r w:rsidRPr="003D4A13">
        <w:rPr>
          <w:rFonts w:cs="Times New Roman"/>
          <w:i/>
          <w:szCs w:val="24"/>
        </w:rPr>
        <w:t>sponte</w:t>
      </w:r>
      <w:proofErr w:type="spellEnd"/>
      <w:r w:rsidRPr="003D4A13">
        <w:rPr>
          <w:rFonts w:cs="Times New Roman"/>
          <w:szCs w:val="24"/>
        </w:rPr>
        <w:t xml:space="preserve"> or at the request of an entity that was not a Party to this proceeding, as </w:t>
      </w:r>
      <w:r>
        <w:rPr>
          <w:rFonts w:cs="Times New Roman"/>
          <w:szCs w:val="24"/>
        </w:rPr>
        <w:t>identified in footnote 2 herein</w:t>
      </w:r>
    </w:p>
    <w:sectPr w:rsidR="003D4A13" w:rsidRPr="003D4A13" w:rsidSect="00EB175C">
      <w:footerReference w:type="default" r:id="rId9"/>
      <w:footerReference w:type="first" r:id="rId10"/>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79D" w:rsidRDefault="001D479D" w:rsidP="001D479D">
      <w:r>
        <w:separator/>
      </w:r>
    </w:p>
  </w:endnote>
  <w:endnote w:type="continuationSeparator" w:id="0">
    <w:p w:rsidR="001D479D" w:rsidRDefault="001D479D" w:rsidP="001D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5C" w:rsidRDefault="00000005" w:rsidP="008536A8">
    <w:pPr>
      <w:pStyle w:val="Footer"/>
      <w:jc w:val="center"/>
    </w:pPr>
    <w:r>
      <w:fldChar w:fldCharType="begin"/>
    </w:r>
    <w:r>
      <w:instrText xml:space="preserve"> PAGE   \* MERGEFORMAT </w:instrText>
    </w:r>
    <w:r>
      <w:fldChar w:fldCharType="separate"/>
    </w:r>
    <w:r w:rsidR="005228B9">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303" w:rsidRPr="001119CD" w:rsidRDefault="00000005">
    <w:pPr>
      <w:pStyle w:val="Footer"/>
      <w:rPr>
        <w:sz w:val="16"/>
        <w:szCs w:val="16"/>
      </w:rPr>
    </w:pPr>
    <w:r>
      <w:rPr>
        <w:sz w:val="16"/>
        <w:szCs w:val="16"/>
      </w:rPr>
      <w:t>#284</w:t>
    </w:r>
    <w:r w:rsidR="008D28FB">
      <w:rPr>
        <w:sz w:val="16"/>
        <w:szCs w:val="16"/>
      </w:rPr>
      <w:t>857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79D" w:rsidRDefault="001D479D" w:rsidP="001D479D">
      <w:r>
        <w:separator/>
      </w:r>
    </w:p>
  </w:footnote>
  <w:footnote w:type="continuationSeparator" w:id="0">
    <w:p w:rsidR="001D479D" w:rsidRDefault="001D479D" w:rsidP="001D479D">
      <w:r>
        <w:continuationSeparator/>
      </w:r>
    </w:p>
  </w:footnote>
  <w:footnote w:id="1">
    <w:p w:rsidR="003D4A13" w:rsidRPr="008536A8" w:rsidRDefault="003D4A13" w:rsidP="003D4A13">
      <w:pPr>
        <w:pStyle w:val="FootnoteText"/>
        <w:spacing w:after="120"/>
        <w:ind w:left="216" w:hanging="216"/>
        <w:jc w:val="center"/>
        <w:rPr>
          <w:rFonts w:cs="Times New Roman"/>
          <w:sz w:val="22"/>
          <w:szCs w:val="22"/>
        </w:rPr>
      </w:pPr>
      <w:r w:rsidRPr="008536A8">
        <w:rPr>
          <w:rStyle w:val="FootnoteReference"/>
          <w:rFonts w:cs="Times New Roman"/>
          <w:sz w:val="22"/>
          <w:szCs w:val="22"/>
        </w:rPr>
        <w:footnoteRef/>
      </w:r>
      <w:r w:rsidRPr="008536A8">
        <w:rPr>
          <w:rFonts w:cs="Times New Roman"/>
          <w:sz w:val="22"/>
          <w:szCs w:val="22"/>
        </w:rPr>
        <w:tab/>
        <w:t>The term “BTRRs” includes the BTRR</w:t>
      </w:r>
      <w:r w:rsidRPr="008536A8">
        <w:rPr>
          <w:rFonts w:cs="Times New Roman"/>
          <w:sz w:val="22"/>
          <w:szCs w:val="22"/>
          <w:vertAlign w:val="subscript"/>
        </w:rPr>
        <w:t>EU</w:t>
      </w:r>
      <w:r w:rsidRPr="008536A8">
        <w:rPr>
          <w:rFonts w:cs="Times New Roman"/>
          <w:sz w:val="22"/>
          <w:szCs w:val="22"/>
        </w:rPr>
        <w:t xml:space="preserve"> and the BTRR</w:t>
      </w:r>
      <w:r w:rsidRPr="008536A8">
        <w:rPr>
          <w:rFonts w:cs="Times New Roman"/>
          <w:sz w:val="22"/>
          <w:szCs w:val="22"/>
          <w:vertAlign w:val="subscript"/>
        </w:rPr>
        <w:t>CAISO</w:t>
      </w:r>
      <w:r w:rsidRPr="008536A8">
        <w:rPr>
          <w:rFonts w:cs="Times New Roman"/>
          <w:sz w:val="22"/>
          <w:szCs w:val="22"/>
        </w:rPr>
        <w:t xml:space="preserve"> </w:t>
      </w:r>
      <w:r>
        <w:rPr>
          <w:rFonts w:cs="Times New Roman"/>
          <w:sz w:val="22"/>
          <w:szCs w:val="22"/>
        </w:rPr>
        <w:t xml:space="preserve">that are </w:t>
      </w:r>
      <w:r w:rsidRPr="008536A8">
        <w:rPr>
          <w:rFonts w:cs="Times New Roman"/>
          <w:sz w:val="22"/>
          <w:szCs w:val="22"/>
        </w:rPr>
        <w:t>calculated in each annual update.</w:t>
      </w:r>
    </w:p>
  </w:footnote>
  <w:footnote w:id="2">
    <w:p w:rsidR="003D4A13" w:rsidRPr="00E50152" w:rsidRDefault="003D4A13" w:rsidP="003D4A13">
      <w:pPr>
        <w:pStyle w:val="FootnoteText"/>
        <w:spacing w:after="120"/>
        <w:ind w:left="216" w:hanging="216"/>
        <w:rPr>
          <w:rFonts w:cs="Times New Roman"/>
          <w:sz w:val="22"/>
          <w:szCs w:val="22"/>
        </w:rPr>
      </w:pPr>
      <w:r w:rsidRPr="00E50152">
        <w:rPr>
          <w:rStyle w:val="FootnoteReference"/>
          <w:rFonts w:cs="Times New Roman"/>
          <w:sz w:val="22"/>
          <w:szCs w:val="22"/>
        </w:rPr>
        <w:footnoteRef/>
      </w:r>
      <w:r w:rsidRPr="008536A8">
        <w:rPr>
          <w:rFonts w:cs="Times New Roman"/>
          <w:sz w:val="22"/>
          <w:szCs w:val="22"/>
        </w:rPr>
        <w:tab/>
      </w:r>
      <w:proofErr w:type="gramStart"/>
      <w:r w:rsidRPr="00E50152">
        <w:rPr>
          <w:rFonts w:cs="Times New Roman"/>
          <w:sz w:val="22"/>
          <w:szCs w:val="22"/>
        </w:rPr>
        <w:t>Part</w:t>
      </w:r>
      <w:r>
        <w:rPr>
          <w:rFonts w:cs="Times New Roman"/>
          <w:sz w:val="22"/>
          <w:szCs w:val="22"/>
        </w:rPr>
        <w:t>ies</w:t>
      </w:r>
      <w:r w:rsidRPr="00E50152">
        <w:rPr>
          <w:rFonts w:cs="Times New Roman"/>
          <w:sz w:val="22"/>
          <w:szCs w:val="22"/>
        </w:rPr>
        <w:t xml:space="preserve"> </w:t>
      </w:r>
      <w:r>
        <w:rPr>
          <w:rFonts w:cs="Times New Roman"/>
          <w:sz w:val="22"/>
          <w:szCs w:val="22"/>
        </w:rPr>
        <w:t>to Docket No.</w:t>
      </w:r>
      <w:proofErr w:type="gramEnd"/>
      <w:r>
        <w:rPr>
          <w:rFonts w:cs="Times New Roman"/>
          <w:sz w:val="22"/>
          <w:szCs w:val="22"/>
        </w:rPr>
        <w:t xml:space="preserve"> ER13-941 are</w:t>
      </w:r>
      <w:r w:rsidRPr="008536A8">
        <w:rPr>
          <w:rFonts w:cs="Times New Roman"/>
          <w:sz w:val="22"/>
          <w:szCs w:val="22"/>
        </w:rPr>
        <w:t xml:space="preserve">: the California Public Utilities Commission, the Cities of Anaheim, Azusa, Banning, Colton, Pasadena, and Riverside, California; the M-S-R Public Power Agency; the City of Santa Clara, California and the City of Redding, California; the Modesto Irrigation District; the Transmission Agency of Northern California; the Northern California Power Agency; and the California Department of Water Resources State Water Project, Pacific Gas and Electric Company, Southern California Edison Company, Trans Bay Cable LLC, State Water Contractors and Sacramento Municipal Utility District. </w:t>
      </w:r>
    </w:p>
  </w:footnote>
  <w:footnote w:id="3">
    <w:p w:rsidR="003D4A13" w:rsidRDefault="003D4A13" w:rsidP="003D4A13">
      <w:pPr>
        <w:pStyle w:val="FootnoteText"/>
        <w:spacing w:after="120"/>
        <w:ind w:left="216" w:hanging="216"/>
      </w:pPr>
      <w:r>
        <w:rPr>
          <w:rStyle w:val="FootnoteReference"/>
        </w:rPr>
        <w:footnoteRef/>
      </w:r>
      <w:r>
        <w:tab/>
      </w:r>
      <w:proofErr w:type="gramStart"/>
      <w:r>
        <w:rPr>
          <w:rFonts w:cs="Times New Roman"/>
          <w:szCs w:val="24"/>
        </w:rPr>
        <w:t>18 C.F.R. §2.4(e) (2013).</w:t>
      </w:r>
      <w:proofErr w:type="gramEnd"/>
    </w:p>
  </w:footnote>
  <w:footnote w:id="4">
    <w:p w:rsidR="003D4A13" w:rsidRPr="008536A8" w:rsidRDefault="003D4A13" w:rsidP="003D4A13">
      <w:pPr>
        <w:pStyle w:val="FootnoteText"/>
        <w:spacing w:after="120"/>
        <w:ind w:left="216" w:hanging="216"/>
        <w:rPr>
          <w:rFonts w:cs="Times New Roman"/>
          <w:sz w:val="22"/>
          <w:szCs w:val="22"/>
        </w:rPr>
      </w:pPr>
      <w:r w:rsidRPr="008536A8">
        <w:rPr>
          <w:rStyle w:val="FootnoteReference"/>
          <w:rFonts w:cs="Times New Roman"/>
          <w:sz w:val="22"/>
          <w:szCs w:val="22"/>
        </w:rPr>
        <w:footnoteRef/>
      </w:r>
      <w:r w:rsidRPr="008536A8">
        <w:rPr>
          <w:rFonts w:cs="Times New Roman"/>
          <w:sz w:val="22"/>
          <w:szCs w:val="22"/>
        </w:rPr>
        <w:tab/>
        <w:t xml:space="preserve">Discovery requests may be sent through October 15, and SDG&amp;E will </w:t>
      </w:r>
      <w:r>
        <w:rPr>
          <w:rFonts w:cs="Times New Roman"/>
          <w:sz w:val="22"/>
          <w:szCs w:val="22"/>
        </w:rPr>
        <w:t xml:space="preserve">use best efforts to respond in 10 </w:t>
      </w:r>
      <w:r w:rsidRPr="008536A8">
        <w:rPr>
          <w:rFonts w:cs="Times New Roman"/>
          <w:sz w:val="22"/>
          <w:szCs w:val="22"/>
        </w:rPr>
        <w:t xml:space="preserve">business days.  </w:t>
      </w:r>
    </w:p>
  </w:footnote>
  <w:footnote w:id="5">
    <w:p w:rsidR="003D4A13" w:rsidRPr="008536A8" w:rsidRDefault="003D4A13" w:rsidP="003D4A13">
      <w:pPr>
        <w:pStyle w:val="FootnoteText"/>
        <w:spacing w:after="120"/>
        <w:ind w:left="216" w:hanging="216"/>
        <w:rPr>
          <w:rFonts w:cs="Times New Roman"/>
          <w:sz w:val="22"/>
          <w:szCs w:val="22"/>
        </w:rPr>
      </w:pPr>
      <w:r w:rsidRPr="008536A8">
        <w:rPr>
          <w:rStyle w:val="FootnoteReference"/>
          <w:rFonts w:cs="Times New Roman"/>
          <w:sz w:val="22"/>
          <w:szCs w:val="22"/>
        </w:rPr>
        <w:footnoteRef/>
      </w:r>
      <w:r w:rsidRPr="008536A8">
        <w:rPr>
          <w:rFonts w:cs="Times New Roman"/>
          <w:sz w:val="22"/>
          <w:szCs w:val="22"/>
        </w:rPr>
        <w:tab/>
        <w:t xml:space="preserve">The dates indicated above apply only to SDG&amp;E’s TO4 Cycle 3 filing; going forward future filings </w:t>
      </w:r>
      <w:r>
        <w:rPr>
          <w:rFonts w:cs="Times New Roman"/>
          <w:sz w:val="22"/>
          <w:szCs w:val="22"/>
        </w:rPr>
        <w:t>dates shall change accordingly.</w:t>
      </w:r>
    </w:p>
  </w:footnote>
  <w:footnote w:id="6">
    <w:p w:rsidR="003D4A13" w:rsidRPr="008536A8" w:rsidRDefault="003D4A13" w:rsidP="003D4A13">
      <w:pPr>
        <w:pStyle w:val="FootnoteText"/>
        <w:spacing w:after="120"/>
        <w:ind w:left="216" w:hanging="216"/>
        <w:rPr>
          <w:rFonts w:cs="Times New Roman"/>
          <w:sz w:val="22"/>
          <w:szCs w:val="22"/>
        </w:rPr>
      </w:pPr>
      <w:r w:rsidRPr="008536A8">
        <w:rPr>
          <w:rStyle w:val="FootnoteReference"/>
          <w:rFonts w:cs="Times New Roman"/>
          <w:sz w:val="22"/>
          <w:szCs w:val="22"/>
        </w:rPr>
        <w:footnoteRef/>
      </w:r>
      <w:r w:rsidRPr="008536A8">
        <w:rPr>
          <w:rFonts w:cs="Times New Roman"/>
          <w:sz w:val="22"/>
          <w:szCs w:val="22"/>
        </w:rPr>
        <w:tab/>
        <w:t xml:space="preserve">The “Service List” includes: (1) any state regulatory agency with jurisdiction over SDG&amp;E’s rates, charges or services; (2) any consumer advocacy agencies and attorneys general in a state with a regulatory agency that has jurisdiction over SDG&amp;E’s rates; (3) any person or entity admitted as a party to FERC Docket No. ER13-941; and (4) any person or entity admitted as a party in any Annual Informational Filing proceeding filed by SDG&amp;E in accordance with these Protocols.  For purposes of communications with parties on the Service List, SDG&amp;E will include the individuals on the service list in Docket No. ER13-941 and parties that are admitted in future FERC proceedings involving SDG&amp;E’s Annual Informational Filings.  Any references to </w:t>
      </w:r>
      <w:r>
        <w:rPr>
          <w:rFonts w:cs="Times New Roman"/>
          <w:sz w:val="22"/>
          <w:szCs w:val="22"/>
        </w:rPr>
        <w:t xml:space="preserve">an “Interested Party” </w:t>
      </w:r>
      <w:r w:rsidRPr="008536A8">
        <w:rPr>
          <w:rFonts w:cs="Times New Roman"/>
          <w:sz w:val="22"/>
          <w:szCs w:val="22"/>
        </w:rPr>
        <w:t xml:space="preserve">in these Protocols shall </w:t>
      </w:r>
      <w:r>
        <w:rPr>
          <w:rFonts w:cs="Times New Roman"/>
          <w:sz w:val="22"/>
          <w:szCs w:val="22"/>
        </w:rPr>
        <w:t>include the Service List or any customer of SDG&amp;E</w:t>
      </w:r>
      <w:r w:rsidRPr="008536A8">
        <w:rPr>
          <w:rFonts w:cs="Times New Roman"/>
          <w:sz w:val="22"/>
          <w:szCs w:val="22"/>
        </w:rPr>
        <w:t>.</w:t>
      </w:r>
    </w:p>
  </w:footnote>
  <w:footnote w:id="7">
    <w:p w:rsidR="003D4A13" w:rsidRPr="008536A8" w:rsidRDefault="003D4A13" w:rsidP="003D4A13">
      <w:pPr>
        <w:pStyle w:val="FootnoteText"/>
        <w:spacing w:after="120"/>
        <w:ind w:left="216" w:hanging="216"/>
        <w:rPr>
          <w:rFonts w:cs="Times New Roman"/>
          <w:sz w:val="22"/>
          <w:szCs w:val="22"/>
        </w:rPr>
      </w:pPr>
      <w:r w:rsidRPr="008536A8">
        <w:rPr>
          <w:rStyle w:val="FootnoteReference"/>
          <w:rFonts w:cs="Times New Roman"/>
          <w:sz w:val="22"/>
          <w:szCs w:val="22"/>
        </w:rPr>
        <w:footnoteRef/>
      </w:r>
      <w:r w:rsidRPr="008536A8">
        <w:rPr>
          <w:rFonts w:cs="Times New Roman"/>
          <w:sz w:val="22"/>
          <w:szCs w:val="22"/>
        </w:rPr>
        <w:tab/>
        <w:t xml:space="preserve">“Material Accounting Changes” shall mean any change in SDG&amp;E’s (i) accounting policies and practices from those in effect for the Rate Effective Year upon which the immediately preceding Annual Informational Filing was based, </w:t>
      </w:r>
      <w:r>
        <w:rPr>
          <w:rFonts w:cs="Times New Roman"/>
          <w:sz w:val="22"/>
          <w:szCs w:val="22"/>
        </w:rPr>
        <w:t>including changes in estimation methods or policies and/</w:t>
      </w:r>
      <w:r w:rsidRPr="008536A8">
        <w:rPr>
          <w:rFonts w:cs="Times New Roman"/>
          <w:sz w:val="22"/>
          <w:szCs w:val="22"/>
        </w:rPr>
        <w:t xml:space="preserve">or </w:t>
      </w:r>
      <w:r>
        <w:rPr>
          <w:rFonts w:cs="Times New Roman"/>
          <w:sz w:val="22"/>
          <w:szCs w:val="22"/>
        </w:rPr>
        <w:t xml:space="preserve">adoption of any new accounting standard or policy; </w:t>
      </w:r>
      <w:r w:rsidRPr="008536A8">
        <w:rPr>
          <w:rFonts w:cs="Times New Roman"/>
          <w:sz w:val="22"/>
          <w:szCs w:val="22"/>
        </w:rPr>
        <w:t>(ii) internal corporate cost allocation policies or practices from those policies and/or practices in effect for the Rate Effective Year upon which the immediately preceding Informational Filing was based</w:t>
      </w:r>
      <w:r>
        <w:rPr>
          <w:rFonts w:cs="Times New Roman"/>
          <w:sz w:val="22"/>
          <w:szCs w:val="22"/>
        </w:rPr>
        <w:t>; or (iii) changes to income tax elections</w:t>
      </w:r>
      <w:r w:rsidRPr="008536A8">
        <w:rPr>
          <w:rFonts w:cs="Times New Roman"/>
          <w:sz w:val="22"/>
          <w:szCs w:val="22"/>
        </w:rPr>
        <w:t>.</w:t>
      </w:r>
    </w:p>
  </w:footnote>
  <w:footnote w:id="8">
    <w:p w:rsidR="003D4A13" w:rsidRPr="00400A94" w:rsidRDefault="003D4A13" w:rsidP="003D4A13">
      <w:pPr>
        <w:pStyle w:val="FootnoteText"/>
        <w:spacing w:after="120"/>
        <w:ind w:left="216" w:hanging="216"/>
        <w:rPr>
          <w:rFonts w:cs="Times New Roman"/>
          <w:sz w:val="22"/>
          <w:szCs w:val="22"/>
        </w:rPr>
      </w:pPr>
      <w:r w:rsidRPr="00BC11C1">
        <w:rPr>
          <w:rStyle w:val="FootnoteReference"/>
          <w:rFonts w:cs="Times New Roman"/>
          <w:sz w:val="22"/>
          <w:szCs w:val="22"/>
        </w:rPr>
        <w:footnoteRef/>
      </w:r>
      <w:r>
        <w:rPr>
          <w:rFonts w:cs="Times New Roman"/>
          <w:sz w:val="22"/>
          <w:szCs w:val="22"/>
        </w:rPr>
        <w:tab/>
      </w:r>
      <w:proofErr w:type="gramStart"/>
      <w:r w:rsidRPr="00BC11C1">
        <w:rPr>
          <w:rFonts w:cs="Times New Roman"/>
          <w:i/>
          <w:sz w:val="22"/>
          <w:szCs w:val="22"/>
        </w:rPr>
        <w:t>San Diego Gas &amp; Electric Company</w:t>
      </w:r>
      <w:r w:rsidRPr="00BC11C1">
        <w:rPr>
          <w:rFonts w:cs="Times New Roman"/>
          <w:sz w:val="22"/>
          <w:szCs w:val="22"/>
        </w:rPr>
        <w:t>, 144 FERC ¶ 63,005 (2013).</w:t>
      </w:r>
      <w:proofErr w:type="gramEnd"/>
    </w:p>
  </w:footnote>
  <w:footnote w:id="9">
    <w:p w:rsidR="003D4A13" w:rsidRPr="008536A8" w:rsidRDefault="003D4A13" w:rsidP="003D4A13">
      <w:pPr>
        <w:pStyle w:val="FootnoteText"/>
        <w:spacing w:after="120"/>
        <w:ind w:left="216" w:hanging="216"/>
        <w:rPr>
          <w:rFonts w:cs="Times New Roman"/>
          <w:sz w:val="22"/>
          <w:szCs w:val="22"/>
        </w:rPr>
      </w:pPr>
      <w:r w:rsidRPr="008536A8">
        <w:rPr>
          <w:rStyle w:val="FootnoteReference"/>
          <w:rFonts w:cs="Times New Roman"/>
          <w:sz w:val="22"/>
          <w:szCs w:val="22"/>
        </w:rPr>
        <w:footnoteRef/>
      </w:r>
      <w:r w:rsidRPr="008536A8">
        <w:rPr>
          <w:rFonts w:cs="Times New Roman"/>
          <w:sz w:val="22"/>
          <w:szCs w:val="22"/>
        </w:rPr>
        <w:tab/>
        <w:t>Nothing in these Protocols limits the CPUC’s statutory or Constitutional authority to seek information from SDG&amp;E.</w:t>
      </w:r>
    </w:p>
  </w:footnote>
  <w:footnote w:id="10">
    <w:p w:rsidR="003D4A13" w:rsidRDefault="003D4A13" w:rsidP="003D4A13">
      <w:pPr>
        <w:pStyle w:val="FootnoteText"/>
        <w:spacing w:after="120"/>
        <w:ind w:left="216" w:hanging="216"/>
      </w:pPr>
      <w:r>
        <w:rPr>
          <w:rStyle w:val="FootnoteReference"/>
        </w:rPr>
        <w:footnoteRef/>
      </w:r>
      <w:r>
        <w:tab/>
      </w:r>
      <w:r w:rsidRPr="008536A8">
        <w:rPr>
          <w:rFonts w:cs="Times New Roman"/>
          <w:sz w:val="22"/>
          <w:szCs w:val="22"/>
        </w:rPr>
        <w:t>All references in these Protocols to Commission orders or actions refer to the final form of such orders or actions (in accordance with the FPA and applicable Commission regulations, including without limitation Commission regulations with respect to a stay of a Commission order upon rehearing and/or an appeal), including as they may be modified as a result of a request for rehearing or Court appeal.</w:t>
      </w:r>
    </w:p>
  </w:footnote>
  <w:footnote w:id="11">
    <w:p w:rsidR="003D4A13" w:rsidRDefault="003D4A13" w:rsidP="003D4A13">
      <w:pPr>
        <w:pStyle w:val="FootnoteText"/>
        <w:keepLines/>
        <w:spacing w:after="120"/>
        <w:ind w:left="216" w:hanging="216"/>
      </w:pPr>
      <w:r>
        <w:rPr>
          <w:rStyle w:val="FootnoteReference"/>
        </w:rPr>
        <w:footnoteRef/>
      </w:r>
      <w:r>
        <w:tab/>
      </w:r>
      <w:r w:rsidRPr="00A7696B">
        <w:rPr>
          <w:sz w:val="22"/>
          <w:szCs w:val="22"/>
        </w:rPr>
        <w:t>The End Use Customer and CAISO wholesale T</w:t>
      </w:r>
      <w:r>
        <w:rPr>
          <w:sz w:val="22"/>
          <w:szCs w:val="22"/>
        </w:rPr>
        <w:t xml:space="preserve">rue-Up </w:t>
      </w:r>
      <w:r w:rsidRPr="00A7696B">
        <w:rPr>
          <w:sz w:val="22"/>
          <w:szCs w:val="22"/>
        </w:rPr>
        <w:t>cost of ser</w:t>
      </w:r>
      <w:r>
        <w:rPr>
          <w:sz w:val="22"/>
          <w:szCs w:val="22"/>
        </w:rPr>
        <w:t>v</w:t>
      </w:r>
      <w:r w:rsidRPr="00A7696B">
        <w:rPr>
          <w:sz w:val="22"/>
          <w:szCs w:val="22"/>
        </w:rPr>
        <w:t>i</w:t>
      </w:r>
      <w:r>
        <w:rPr>
          <w:sz w:val="22"/>
          <w:szCs w:val="22"/>
        </w:rPr>
        <w:t>c</w:t>
      </w:r>
      <w:r w:rsidRPr="00A7696B">
        <w:rPr>
          <w:sz w:val="22"/>
          <w:szCs w:val="22"/>
        </w:rPr>
        <w:t xml:space="preserve">e will be derived pursuant to Attachment 1. </w:t>
      </w:r>
      <w:r>
        <w:rPr>
          <w:sz w:val="22"/>
          <w:szCs w:val="22"/>
        </w:rPr>
        <w:t xml:space="preserve"> </w:t>
      </w:r>
      <w:r w:rsidRPr="00A7696B">
        <w:rPr>
          <w:sz w:val="22"/>
          <w:szCs w:val="22"/>
        </w:rPr>
        <w:t>The End Use Customer recorded revenues used to derive the End Use Customer T</w:t>
      </w:r>
      <w:r>
        <w:rPr>
          <w:sz w:val="22"/>
          <w:szCs w:val="22"/>
        </w:rPr>
        <w:t xml:space="preserve">rue-Up </w:t>
      </w:r>
      <w:r w:rsidRPr="00A7696B">
        <w:rPr>
          <w:sz w:val="22"/>
          <w:szCs w:val="22"/>
        </w:rPr>
        <w:t xml:space="preserve">Adjustment will come from the books of </w:t>
      </w:r>
      <w:r>
        <w:rPr>
          <w:sz w:val="22"/>
          <w:szCs w:val="22"/>
        </w:rPr>
        <w:t>SDG&amp;E</w:t>
      </w:r>
      <w:r w:rsidRPr="00A7696B">
        <w:rPr>
          <w:sz w:val="22"/>
          <w:szCs w:val="22"/>
        </w:rPr>
        <w:t>. The CAISO revenues used to derive the CAISO wholesale T</w:t>
      </w:r>
      <w:r>
        <w:rPr>
          <w:sz w:val="22"/>
          <w:szCs w:val="22"/>
        </w:rPr>
        <w:t>rue-Up A</w:t>
      </w:r>
      <w:r w:rsidRPr="00A7696B">
        <w:rPr>
          <w:sz w:val="22"/>
          <w:szCs w:val="22"/>
        </w:rPr>
        <w:t>djustment will be reflected in Attachment 1. The latter revenues will be derived and filed annually as work</w:t>
      </w:r>
      <w:r>
        <w:rPr>
          <w:sz w:val="22"/>
          <w:szCs w:val="22"/>
        </w:rPr>
        <w:t xml:space="preserve"> </w:t>
      </w:r>
      <w:r w:rsidRPr="00A7696B">
        <w:rPr>
          <w:sz w:val="22"/>
          <w:szCs w:val="22"/>
        </w:rPr>
        <w:t xml:space="preserve">papers that support the data </w:t>
      </w:r>
      <w:r>
        <w:rPr>
          <w:sz w:val="22"/>
          <w:szCs w:val="22"/>
        </w:rPr>
        <w:t xml:space="preserve">in </w:t>
      </w:r>
      <w:r w:rsidRPr="00A7696B">
        <w:rPr>
          <w:sz w:val="22"/>
          <w:szCs w:val="22"/>
        </w:rPr>
        <w:t xml:space="preserve">Attachment 1 </w:t>
      </w:r>
      <w:r>
        <w:rPr>
          <w:sz w:val="22"/>
          <w:szCs w:val="22"/>
        </w:rPr>
        <w:t xml:space="preserve">and will be part of each annual </w:t>
      </w:r>
      <w:r w:rsidRPr="00A7696B">
        <w:rPr>
          <w:sz w:val="22"/>
          <w:szCs w:val="22"/>
        </w:rPr>
        <w:t xml:space="preserve">Informational </w:t>
      </w:r>
      <w:r>
        <w:rPr>
          <w:sz w:val="22"/>
          <w:szCs w:val="22"/>
        </w:rPr>
        <w:t>F</w:t>
      </w:r>
      <w:r w:rsidRPr="00A7696B">
        <w:rPr>
          <w:sz w:val="22"/>
          <w:szCs w:val="22"/>
        </w:rPr>
        <w:t>iling.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4548"/>
    <w:multiLevelType w:val="hybridMultilevel"/>
    <w:tmpl w:val="2EC6B3CA"/>
    <w:lvl w:ilvl="0" w:tplc="0409000F">
      <w:start w:val="1"/>
      <w:numFmt w:val="decimal"/>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
    <w:nsid w:val="17583B90"/>
    <w:multiLevelType w:val="hybridMultilevel"/>
    <w:tmpl w:val="621099B4"/>
    <w:lvl w:ilvl="0" w:tplc="04090019">
      <w:start w:val="1"/>
      <w:numFmt w:val="lowerLetter"/>
      <w:lvlText w:val="%1."/>
      <w:lvlJc w:val="left"/>
      <w:pPr>
        <w:ind w:left="2160" w:hanging="360"/>
      </w:pPr>
    </w:lvl>
    <w:lvl w:ilvl="1" w:tplc="89E46C16">
      <w:start w:val="1"/>
      <w:numFmt w:val="upperLetter"/>
      <w:lvlText w:val="%2."/>
      <w:lvlJc w:val="left"/>
      <w:pPr>
        <w:ind w:left="2880" w:hanging="360"/>
      </w:pPr>
      <w:rPr>
        <w:rFonts w:ascii="Arial" w:hAnsi="Arial" w:cs="Arial" w:hint="default"/>
        <w:b/>
      </w:rPr>
    </w:lvl>
    <w:lvl w:ilvl="2" w:tplc="0409000F">
      <w:start w:val="1"/>
      <w:numFmt w:val="decimal"/>
      <w:lvlText w:val="%3."/>
      <w:lvlJc w:val="left"/>
      <w:pPr>
        <w:ind w:left="3600" w:hanging="180"/>
      </w:pPr>
    </w:lvl>
    <w:lvl w:ilvl="3" w:tplc="04090019">
      <w:start w:val="1"/>
      <w:numFmt w:val="lowerLetter"/>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12C25B1"/>
    <w:multiLevelType w:val="hybridMultilevel"/>
    <w:tmpl w:val="471C7D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D4D21D8"/>
    <w:multiLevelType w:val="hybridMultilevel"/>
    <w:tmpl w:val="DF9E3396"/>
    <w:lvl w:ilvl="0" w:tplc="0409000F">
      <w:start w:val="1"/>
      <w:numFmt w:val="decimal"/>
      <w:lvlText w:val="%1."/>
      <w:lvlJc w:val="lef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5E897F3A"/>
    <w:multiLevelType w:val="hybridMultilevel"/>
    <w:tmpl w:val="471C7D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4F604F1"/>
    <w:multiLevelType w:val="hybridMultilevel"/>
    <w:tmpl w:val="7D9ADE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624359A"/>
    <w:multiLevelType w:val="hybridMultilevel"/>
    <w:tmpl w:val="8A8E0D5A"/>
    <w:lvl w:ilvl="0" w:tplc="0366B684">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6ABC0405"/>
    <w:multiLevelType w:val="hybridMultilevel"/>
    <w:tmpl w:val="2800F354"/>
    <w:lvl w:ilvl="0" w:tplc="627805D8">
      <w:start w:val="1"/>
      <w:numFmt w:val="decimal"/>
      <w:lvlText w:val="%1."/>
      <w:lvlJc w:val="left"/>
      <w:pPr>
        <w:ind w:left="3780" w:hanging="360"/>
      </w:pPr>
      <w:rPr>
        <w:rFonts w:ascii="Times New Roman" w:eastAsiaTheme="minorHAnsi" w:hAnsi="Times New Roman" w:cs="Times New Roman"/>
      </w:r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79D"/>
    <w:rsid w:val="00000005"/>
    <w:rsid w:val="001036F9"/>
    <w:rsid w:val="001D479D"/>
    <w:rsid w:val="003D4A13"/>
    <w:rsid w:val="00405579"/>
    <w:rsid w:val="005228B9"/>
    <w:rsid w:val="0052454A"/>
    <w:rsid w:val="008D28FB"/>
    <w:rsid w:val="00996DC9"/>
    <w:rsid w:val="00BB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79D"/>
    <w:pPr>
      <w:spacing w:after="0" w:line="240" w:lineRule="auto"/>
    </w:pPr>
  </w:style>
  <w:style w:type="paragraph" w:styleId="Heading2">
    <w:name w:val="heading 2"/>
    <w:basedOn w:val="Normal"/>
    <w:next w:val="Normal"/>
    <w:link w:val="Heading2Char"/>
    <w:uiPriority w:val="9"/>
    <w:unhideWhenUsed/>
    <w:qFormat/>
    <w:rsid w:val="001D479D"/>
    <w:pPr>
      <w:keepNext/>
      <w:keepLines/>
      <w:spacing w:after="240"/>
      <w:ind w:left="1440" w:hanging="720"/>
      <w:outlineLvl w:val="1"/>
    </w:pPr>
    <w:rPr>
      <w:rFonts w:ascii="Times New Roman Bold" w:eastAsiaTheme="majorEastAsia" w:hAnsi="Times New Roman Bold" w:cstheme="majorBidi"/>
      <w:b/>
      <w:bCs/>
      <w:caps/>
      <w:sz w:val="24"/>
      <w:szCs w:val="26"/>
    </w:rPr>
  </w:style>
  <w:style w:type="paragraph" w:styleId="Heading3">
    <w:name w:val="heading 3"/>
    <w:basedOn w:val="Normal"/>
    <w:next w:val="Normal"/>
    <w:link w:val="Heading3Char"/>
    <w:uiPriority w:val="9"/>
    <w:unhideWhenUsed/>
    <w:qFormat/>
    <w:rsid w:val="001D479D"/>
    <w:pPr>
      <w:keepNext/>
      <w:keepLines/>
      <w:spacing w:after="240"/>
      <w:ind w:left="2160" w:hanging="72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79D"/>
    <w:rPr>
      <w:rFonts w:ascii="Times New Roman Bold" w:eastAsiaTheme="majorEastAsia" w:hAnsi="Times New Roman Bold" w:cstheme="majorBidi"/>
      <w:b/>
      <w:bCs/>
      <w:caps/>
      <w:sz w:val="24"/>
      <w:szCs w:val="26"/>
    </w:rPr>
  </w:style>
  <w:style w:type="character" w:customStyle="1" w:styleId="Heading3Char">
    <w:name w:val="Heading 3 Char"/>
    <w:basedOn w:val="DefaultParagraphFont"/>
    <w:link w:val="Heading3"/>
    <w:uiPriority w:val="9"/>
    <w:rsid w:val="001D479D"/>
    <w:rPr>
      <w:rFonts w:ascii="Times New Roman" w:eastAsiaTheme="majorEastAsia" w:hAnsi="Times New Roman" w:cstheme="majorBidi"/>
      <w:b/>
      <w:bCs/>
      <w:sz w:val="24"/>
    </w:rPr>
  </w:style>
  <w:style w:type="paragraph" w:styleId="Header">
    <w:name w:val="header"/>
    <w:basedOn w:val="Normal"/>
    <w:link w:val="HeaderChar"/>
    <w:uiPriority w:val="99"/>
    <w:unhideWhenUsed/>
    <w:rsid w:val="001D479D"/>
    <w:pPr>
      <w:tabs>
        <w:tab w:val="center" w:pos="4680"/>
        <w:tab w:val="right" w:pos="9360"/>
      </w:tabs>
    </w:pPr>
    <w:rPr>
      <w:rFonts w:ascii="Times New Roman" w:hAnsi="Times New Roman"/>
      <w:sz w:val="24"/>
    </w:rPr>
  </w:style>
  <w:style w:type="character" w:customStyle="1" w:styleId="HeaderChar">
    <w:name w:val="Header Char"/>
    <w:basedOn w:val="DefaultParagraphFont"/>
    <w:link w:val="Header"/>
    <w:uiPriority w:val="99"/>
    <w:rsid w:val="001D479D"/>
    <w:rPr>
      <w:rFonts w:ascii="Times New Roman" w:hAnsi="Times New Roman"/>
      <w:sz w:val="24"/>
    </w:rPr>
  </w:style>
  <w:style w:type="paragraph" w:styleId="Footer">
    <w:name w:val="footer"/>
    <w:basedOn w:val="Normal"/>
    <w:link w:val="FooterChar"/>
    <w:uiPriority w:val="99"/>
    <w:unhideWhenUsed/>
    <w:rsid w:val="001D479D"/>
    <w:pPr>
      <w:tabs>
        <w:tab w:val="center" w:pos="4680"/>
        <w:tab w:val="right" w:pos="9360"/>
      </w:tabs>
    </w:pPr>
    <w:rPr>
      <w:rFonts w:ascii="Times New Roman" w:hAnsi="Times New Roman"/>
      <w:sz w:val="24"/>
    </w:rPr>
  </w:style>
  <w:style w:type="character" w:customStyle="1" w:styleId="FooterChar">
    <w:name w:val="Footer Char"/>
    <w:basedOn w:val="DefaultParagraphFont"/>
    <w:link w:val="Footer"/>
    <w:uiPriority w:val="99"/>
    <w:rsid w:val="001D479D"/>
    <w:rPr>
      <w:rFonts w:ascii="Times New Roman" w:hAnsi="Times New Roman"/>
      <w:sz w:val="24"/>
    </w:rPr>
  </w:style>
  <w:style w:type="paragraph" w:styleId="FootnoteText">
    <w:name w:val="footnote text"/>
    <w:aliases w:val="Car,Footnote Text Char1 Char,Footnote Text Char Char Char,Footnote Text Char1,Footnote Text Char Char1,fn,Footnote Text Char Char,Footnote Text r, Char,ft Char,Footnote Text Char2 Char,Footnote Text Char1 Char Char Char,ft,f"/>
    <w:basedOn w:val="Normal"/>
    <w:link w:val="FootnoteTextChar"/>
    <w:unhideWhenUsed/>
    <w:rsid w:val="001D479D"/>
    <w:pPr>
      <w:spacing w:after="260"/>
    </w:pPr>
    <w:rPr>
      <w:rFonts w:ascii="Times New Roman" w:hAnsi="Times New Roman"/>
      <w:sz w:val="20"/>
      <w:szCs w:val="20"/>
    </w:rPr>
  </w:style>
  <w:style w:type="character" w:customStyle="1" w:styleId="FootnoteTextChar">
    <w:name w:val="Footnote Text Char"/>
    <w:aliases w:val="Car Char,Footnote Text Char1 Char Char,Footnote Text Char Char Char Char,Footnote Text Char1 Char1,Footnote Text Char Char1 Char,fn Char,Footnote Text Char Char Char1,Footnote Text r Char, Char Char,ft Char Char,ft Char1,f Char"/>
    <w:basedOn w:val="DefaultParagraphFont"/>
    <w:link w:val="FootnoteText"/>
    <w:rsid w:val="001D479D"/>
    <w:rPr>
      <w:rFonts w:ascii="Times New Roman" w:hAnsi="Times New Roman"/>
      <w:sz w:val="20"/>
      <w:szCs w:val="20"/>
    </w:rPr>
  </w:style>
  <w:style w:type="character" w:styleId="FootnoteReference">
    <w:name w:val="footnote reference"/>
    <w:aliases w:val="fr,Style 3,o1,o2,o3,o4,o5,o6,o11,o21,o7,o,Style 17,Style 13,Style 12,Style 15,Style 9,fr1,fr2,fr3,Style 18,(NECG) Footnote Reference,Style 20,Style 7,Style 8,Style 19"/>
    <w:basedOn w:val="DefaultParagraphFont"/>
    <w:unhideWhenUsed/>
    <w:rsid w:val="001D479D"/>
    <w:rPr>
      <w:vertAlign w:val="superscript"/>
    </w:rPr>
  </w:style>
  <w:style w:type="table" w:styleId="TableGrid">
    <w:name w:val="Table Grid"/>
    <w:basedOn w:val="TableNormal"/>
    <w:uiPriority w:val="59"/>
    <w:rsid w:val="001D4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479D"/>
    <w:pPr>
      <w:ind w:left="720"/>
      <w:contextualSpacing/>
    </w:pPr>
    <w:rPr>
      <w:rFonts w:ascii="Times New Roman" w:hAnsi="Times New Roman"/>
      <w:sz w:val="24"/>
    </w:rPr>
  </w:style>
  <w:style w:type="character" w:styleId="Hyperlink">
    <w:name w:val="Hyperlink"/>
    <w:basedOn w:val="DefaultParagraphFont"/>
    <w:uiPriority w:val="99"/>
    <w:unhideWhenUsed/>
    <w:rsid w:val="001D479D"/>
    <w:rPr>
      <w:color w:val="0000FF" w:themeColor="hyperlink"/>
      <w:u w:val="single"/>
    </w:rPr>
  </w:style>
  <w:style w:type="paragraph" w:customStyle="1" w:styleId="CaseStyle">
    <w:name w:val="Case Style"/>
    <w:basedOn w:val="Normal"/>
    <w:rsid w:val="001D479D"/>
    <w:pPr>
      <w:widowControl w:val="0"/>
      <w:overflowPunct w:val="0"/>
      <w:adjustRightInd w:val="0"/>
    </w:pPr>
    <w:rPr>
      <w:rFonts w:ascii="Times New Roman Bold" w:eastAsia="Times New Roman" w:hAnsi="Times New Roman Bold" w:cs="Times New Roman Bold"/>
      <w:b/>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79D"/>
    <w:pPr>
      <w:spacing w:after="0" w:line="240" w:lineRule="auto"/>
    </w:pPr>
  </w:style>
  <w:style w:type="paragraph" w:styleId="Heading2">
    <w:name w:val="heading 2"/>
    <w:basedOn w:val="Normal"/>
    <w:next w:val="Normal"/>
    <w:link w:val="Heading2Char"/>
    <w:uiPriority w:val="9"/>
    <w:unhideWhenUsed/>
    <w:qFormat/>
    <w:rsid w:val="001D479D"/>
    <w:pPr>
      <w:keepNext/>
      <w:keepLines/>
      <w:spacing w:after="240"/>
      <w:ind w:left="1440" w:hanging="720"/>
      <w:outlineLvl w:val="1"/>
    </w:pPr>
    <w:rPr>
      <w:rFonts w:ascii="Times New Roman Bold" w:eastAsiaTheme="majorEastAsia" w:hAnsi="Times New Roman Bold" w:cstheme="majorBidi"/>
      <w:b/>
      <w:bCs/>
      <w:caps/>
      <w:sz w:val="24"/>
      <w:szCs w:val="26"/>
    </w:rPr>
  </w:style>
  <w:style w:type="paragraph" w:styleId="Heading3">
    <w:name w:val="heading 3"/>
    <w:basedOn w:val="Normal"/>
    <w:next w:val="Normal"/>
    <w:link w:val="Heading3Char"/>
    <w:uiPriority w:val="9"/>
    <w:unhideWhenUsed/>
    <w:qFormat/>
    <w:rsid w:val="001D479D"/>
    <w:pPr>
      <w:keepNext/>
      <w:keepLines/>
      <w:spacing w:after="240"/>
      <w:ind w:left="2160" w:hanging="72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79D"/>
    <w:rPr>
      <w:rFonts w:ascii="Times New Roman Bold" w:eastAsiaTheme="majorEastAsia" w:hAnsi="Times New Roman Bold" w:cstheme="majorBidi"/>
      <w:b/>
      <w:bCs/>
      <w:caps/>
      <w:sz w:val="24"/>
      <w:szCs w:val="26"/>
    </w:rPr>
  </w:style>
  <w:style w:type="character" w:customStyle="1" w:styleId="Heading3Char">
    <w:name w:val="Heading 3 Char"/>
    <w:basedOn w:val="DefaultParagraphFont"/>
    <w:link w:val="Heading3"/>
    <w:uiPriority w:val="9"/>
    <w:rsid w:val="001D479D"/>
    <w:rPr>
      <w:rFonts w:ascii="Times New Roman" w:eastAsiaTheme="majorEastAsia" w:hAnsi="Times New Roman" w:cstheme="majorBidi"/>
      <w:b/>
      <w:bCs/>
      <w:sz w:val="24"/>
    </w:rPr>
  </w:style>
  <w:style w:type="paragraph" w:styleId="Header">
    <w:name w:val="header"/>
    <w:basedOn w:val="Normal"/>
    <w:link w:val="HeaderChar"/>
    <w:uiPriority w:val="99"/>
    <w:unhideWhenUsed/>
    <w:rsid w:val="001D479D"/>
    <w:pPr>
      <w:tabs>
        <w:tab w:val="center" w:pos="4680"/>
        <w:tab w:val="right" w:pos="9360"/>
      </w:tabs>
    </w:pPr>
    <w:rPr>
      <w:rFonts w:ascii="Times New Roman" w:hAnsi="Times New Roman"/>
      <w:sz w:val="24"/>
    </w:rPr>
  </w:style>
  <w:style w:type="character" w:customStyle="1" w:styleId="HeaderChar">
    <w:name w:val="Header Char"/>
    <w:basedOn w:val="DefaultParagraphFont"/>
    <w:link w:val="Header"/>
    <w:uiPriority w:val="99"/>
    <w:rsid w:val="001D479D"/>
    <w:rPr>
      <w:rFonts w:ascii="Times New Roman" w:hAnsi="Times New Roman"/>
      <w:sz w:val="24"/>
    </w:rPr>
  </w:style>
  <w:style w:type="paragraph" w:styleId="Footer">
    <w:name w:val="footer"/>
    <w:basedOn w:val="Normal"/>
    <w:link w:val="FooterChar"/>
    <w:uiPriority w:val="99"/>
    <w:unhideWhenUsed/>
    <w:rsid w:val="001D479D"/>
    <w:pPr>
      <w:tabs>
        <w:tab w:val="center" w:pos="4680"/>
        <w:tab w:val="right" w:pos="9360"/>
      </w:tabs>
    </w:pPr>
    <w:rPr>
      <w:rFonts w:ascii="Times New Roman" w:hAnsi="Times New Roman"/>
      <w:sz w:val="24"/>
    </w:rPr>
  </w:style>
  <w:style w:type="character" w:customStyle="1" w:styleId="FooterChar">
    <w:name w:val="Footer Char"/>
    <w:basedOn w:val="DefaultParagraphFont"/>
    <w:link w:val="Footer"/>
    <w:uiPriority w:val="99"/>
    <w:rsid w:val="001D479D"/>
    <w:rPr>
      <w:rFonts w:ascii="Times New Roman" w:hAnsi="Times New Roman"/>
      <w:sz w:val="24"/>
    </w:rPr>
  </w:style>
  <w:style w:type="paragraph" w:styleId="FootnoteText">
    <w:name w:val="footnote text"/>
    <w:aliases w:val="Car,Footnote Text Char1 Char,Footnote Text Char Char Char,Footnote Text Char1,Footnote Text Char Char1,fn,Footnote Text Char Char,Footnote Text r, Char,ft Char,Footnote Text Char2 Char,Footnote Text Char1 Char Char Char,ft,f"/>
    <w:basedOn w:val="Normal"/>
    <w:link w:val="FootnoteTextChar"/>
    <w:unhideWhenUsed/>
    <w:rsid w:val="001D479D"/>
    <w:pPr>
      <w:spacing w:after="260"/>
    </w:pPr>
    <w:rPr>
      <w:rFonts w:ascii="Times New Roman" w:hAnsi="Times New Roman"/>
      <w:sz w:val="20"/>
      <w:szCs w:val="20"/>
    </w:rPr>
  </w:style>
  <w:style w:type="character" w:customStyle="1" w:styleId="FootnoteTextChar">
    <w:name w:val="Footnote Text Char"/>
    <w:aliases w:val="Car Char,Footnote Text Char1 Char Char,Footnote Text Char Char Char Char,Footnote Text Char1 Char1,Footnote Text Char Char1 Char,fn Char,Footnote Text Char Char Char1,Footnote Text r Char, Char Char,ft Char Char,ft Char1,f Char"/>
    <w:basedOn w:val="DefaultParagraphFont"/>
    <w:link w:val="FootnoteText"/>
    <w:rsid w:val="001D479D"/>
    <w:rPr>
      <w:rFonts w:ascii="Times New Roman" w:hAnsi="Times New Roman"/>
      <w:sz w:val="20"/>
      <w:szCs w:val="20"/>
    </w:rPr>
  </w:style>
  <w:style w:type="character" w:styleId="FootnoteReference">
    <w:name w:val="footnote reference"/>
    <w:aliases w:val="fr,Style 3,o1,o2,o3,o4,o5,o6,o11,o21,o7,o,Style 17,Style 13,Style 12,Style 15,Style 9,fr1,fr2,fr3,Style 18,(NECG) Footnote Reference,Style 20,Style 7,Style 8,Style 19"/>
    <w:basedOn w:val="DefaultParagraphFont"/>
    <w:unhideWhenUsed/>
    <w:rsid w:val="001D479D"/>
    <w:rPr>
      <w:vertAlign w:val="superscript"/>
    </w:rPr>
  </w:style>
  <w:style w:type="table" w:styleId="TableGrid">
    <w:name w:val="Table Grid"/>
    <w:basedOn w:val="TableNormal"/>
    <w:uiPriority w:val="59"/>
    <w:rsid w:val="001D4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479D"/>
    <w:pPr>
      <w:ind w:left="720"/>
      <w:contextualSpacing/>
    </w:pPr>
    <w:rPr>
      <w:rFonts w:ascii="Times New Roman" w:hAnsi="Times New Roman"/>
      <w:sz w:val="24"/>
    </w:rPr>
  </w:style>
  <w:style w:type="character" w:styleId="Hyperlink">
    <w:name w:val="Hyperlink"/>
    <w:basedOn w:val="DefaultParagraphFont"/>
    <w:uiPriority w:val="99"/>
    <w:unhideWhenUsed/>
    <w:rsid w:val="001D479D"/>
    <w:rPr>
      <w:color w:val="0000FF" w:themeColor="hyperlink"/>
      <w:u w:val="single"/>
    </w:rPr>
  </w:style>
  <w:style w:type="paragraph" w:customStyle="1" w:styleId="CaseStyle">
    <w:name w:val="Case Style"/>
    <w:basedOn w:val="Normal"/>
    <w:rsid w:val="001D479D"/>
    <w:pPr>
      <w:widowControl w:val="0"/>
      <w:overflowPunct w:val="0"/>
      <w:adjustRightInd w:val="0"/>
    </w:pPr>
    <w:rPr>
      <w:rFonts w:ascii="Times New Roman Bold" w:eastAsia="Times New Roman" w:hAnsi="Times New Roman Bold" w:cs="Times New Roman Bold"/>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97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ge.com/rates-regulations/tariff-information/open-access-ferc-tariff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3772</Words>
  <Characters>21505</Characters>
  <Application>Microsoft Office Word</Application>
  <DocSecurity>0</DocSecurity>
  <Lines>179</Lines>
  <Paragraphs>50</Paragraphs>
  <ScaleCrop>false</ScaleCrop>
  <Company>Sempra Energy</Company>
  <LinksUpToDate>false</LinksUpToDate>
  <CharactersWithSpaces>25227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gbaker</dc:creator>
  <cp:keywords/>
  <dc:description/>
  <cp:lastModifiedBy>jdellosa</cp:lastModifiedBy>
  <cp:revision>8</cp:revision>
  <cp:lastPrinted>2014-01-26T18:27:00Z</cp:lastPrinted>
  <dcterms:created xsi:type="dcterms:W3CDTF">2014-01-26T18:20:00Z</dcterms:created>
  <dcterms:modified xsi:type="dcterms:W3CDTF">2014-01-31T20:24:00Z</dcterms:modified>
</cp:coreProperties>
</file>