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ED4" w:rsidRDefault="00FE5ED4"/>
    <w:p w:rsidR="00FE5ED4" w:rsidRDefault="00FE5ED4"/>
    <w:p w:rsidR="00FE5ED4" w:rsidRDefault="00FE5ED4"/>
    <w:p w:rsidR="00FE5ED4" w:rsidRDefault="00FE5ED4"/>
    <w:p w:rsidR="00FE5ED4" w:rsidRDefault="00A73155">
      <w:r>
        <w:rPr>
          <w:noProof/>
        </w:rPr>
        <w:pict>
          <v:shapetype id="_x0000_t202" coordsize="21600,21600" o:spt="202" path="m,l,21600r21600,l21600,xe">
            <v:stroke joinstyle="miter"/>
            <v:path gradientshapeok="t" o:connecttype="rect"/>
          </v:shapetype>
          <v:shape id="Text Box 15" o:spid="_x0000_s1026" type="#_x0000_t202" style="position:absolute;margin-left:131.3pt;margin-top:17.9pt;width:316.65pt;height:10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asuAIAALw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" filled="f" stroked="f">
            <v:textbox>
              <w:txbxContent>
                <w:p w:rsidR="005F105B" w:rsidRPr="008C3CFB" w:rsidRDefault="005F105B" w:rsidP="00FE5ED4">
                  <w:pPr>
                    <w:pStyle w:val="TitleProposal"/>
                  </w:pPr>
                  <w:r w:rsidRPr="00EB2BD2">
                    <w:rPr>
                      <w:rFonts w:ascii="TitilliumText22L Rg" w:hAnsi="TitilliumText22L Rg"/>
                      <w:color w:val="auto"/>
                    </w:rPr>
                    <w:t xml:space="preserve">2011 </w:t>
                  </w:r>
                  <w:r>
                    <w:rPr>
                      <w:rFonts w:ascii="TitilliumText22L Rg" w:hAnsi="TitilliumText22L Rg"/>
                      <w:color w:val="auto"/>
                    </w:rPr>
                    <w:t xml:space="preserve">California Statewide Non-residential Critical Peak Pricing Evaluation </w:t>
                  </w:r>
                </w:p>
              </w:txbxContent>
            </v:textbox>
          </v:shape>
        </w:pict>
      </w:r>
      <w:r w:rsidR="00FE5ED4" w:rsidRPr="00FE5ED4">
        <w:rPr>
          <w:noProof/>
        </w:rPr>
        <w:drawing>
          <wp:anchor distT="0" distB="0" distL="114300" distR="114300" simplePos="0" relativeHeight="251689984" behindDoc="1" locked="0" layoutInCell="1" allowOverlap="1">
            <wp:simplePos x="0" y="0"/>
            <wp:positionH relativeFrom="column">
              <wp:posOffset>-583037</wp:posOffset>
            </wp:positionH>
            <wp:positionV relativeFrom="paragraph">
              <wp:posOffset>201724</wp:posOffset>
            </wp:positionV>
            <wp:extent cx="1769843" cy="5537916"/>
            <wp:effectExtent l="19050" t="0" r="1807" b="0"/>
            <wp:wrapNone/>
            <wp:docPr id="16" name="Picture 8" descr="C:\Users\mrohde\AppData\Local\Temp\SNAGHTML967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ohde\AppData\Local\Temp\SNAGHTML967438.PNG"/>
                    <pic:cNvPicPr>
                      <a:picLocks noChangeAspect="1" noChangeArrowheads="1"/>
                    </pic:cNvPicPr>
                  </pic:nvPicPr>
                  <pic:blipFill>
                    <a:blip r:embed="rId8" cstate="print"/>
                    <a:srcRect/>
                    <a:stretch>
                      <a:fillRect/>
                    </a:stretch>
                  </pic:blipFill>
                  <pic:spPr bwMode="auto">
                    <a:xfrm>
                      <a:off x="0" y="0"/>
                      <a:ext cx="1769843" cy="5537916"/>
                    </a:xfrm>
                    <a:prstGeom prst="rect">
                      <a:avLst/>
                    </a:prstGeom>
                    <a:noFill/>
                    <a:ln w="9525">
                      <a:noFill/>
                      <a:miter lim="800000"/>
                      <a:headEnd/>
                      <a:tailEnd/>
                    </a:ln>
                  </pic:spPr>
                </pic:pic>
              </a:graphicData>
            </a:graphic>
          </wp:anchor>
        </w:drawing>
      </w:r>
    </w:p>
    <w:p w:rsidR="00FE5ED4" w:rsidRDefault="00FE5ED4"/>
    <w:p w:rsidR="00FE5ED4" w:rsidRDefault="00FE5ED4"/>
    <w:p w:rsidR="00FE5ED4" w:rsidRDefault="00FE5ED4"/>
    <w:p w:rsidR="00FE5ED4" w:rsidRDefault="00A73155">
      <w:r>
        <w:rPr>
          <w:noProof/>
        </w:rPr>
        <w:pict>
          <v:shape id="Text Box 17" o:spid="_x0000_s1027" type="#_x0000_t202" style="position:absolute;margin-left:131.3pt;margin-top:11.85pt;width:316.65pt;height:3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1q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" filled="f" stroked="f">
            <v:textbox>
              <w:txbxContent>
                <w:p w:rsidR="005F105B" w:rsidRPr="00AD248C" w:rsidRDefault="005F105B" w:rsidP="00FE5ED4">
                  <w:pPr>
                    <w:pStyle w:val="TitleProposal"/>
                    <w:rPr>
                      <w:rFonts w:ascii="TitilliumText22L Rg" w:hAnsi="TitilliumText22L Rg"/>
                      <w:b w:val="0"/>
                      <w:color w:val="auto"/>
                      <w:sz w:val="24"/>
                      <w:szCs w:val="24"/>
                    </w:rPr>
                  </w:pPr>
                  <w:r>
                    <w:rPr>
                      <w:rFonts w:ascii="TitilliumText22L Rg" w:hAnsi="TitilliumText22L Rg"/>
                      <w:b w:val="0"/>
                      <w:color w:val="auto"/>
                      <w:sz w:val="24"/>
                      <w:szCs w:val="24"/>
                    </w:rPr>
                    <w:t>June 1</w:t>
                  </w:r>
                  <w:r w:rsidRPr="00AD248C">
                    <w:rPr>
                      <w:rFonts w:ascii="TitilliumText22L Rg" w:hAnsi="TitilliumText22L Rg"/>
                      <w:b w:val="0"/>
                      <w:color w:val="auto"/>
                      <w:sz w:val="24"/>
                      <w:szCs w:val="24"/>
                    </w:rPr>
                    <w:t>, 2012</w:t>
                  </w:r>
                </w:p>
              </w:txbxContent>
            </v:textbox>
          </v:shape>
        </w:pict>
      </w:r>
    </w:p>
    <w:p w:rsidR="00FE5ED4" w:rsidRDefault="00FE5ED4"/>
    <w:p w:rsidR="00FE5ED4" w:rsidRDefault="00A73155">
      <w:r>
        <w:rPr>
          <w:noProof/>
        </w:rPr>
        <w:pict>
          <v:shape id="Text Box 16" o:spid="_x0000_s1028" type="#_x0000_t202" style="position:absolute;margin-left:130pt;margin-top:8.4pt;width:216.75pt;height:10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yaug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" filled="f" stroked="f">
            <v:textbox>
              <w:txbxContent>
                <w:p w:rsidR="005F105B" w:rsidRPr="00AD248C" w:rsidRDefault="005F105B" w:rsidP="00FE5ED4">
                  <w:pPr>
                    <w:pStyle w:val="PreparedFor"/>
                    <w:spacing w:before="0" w:after="0"/>
                    <w:jc w:val="left"/>
                    <w:rPr>
                      <w:rFonts w:ascii="TitilliumText22L Rg" w:hAnsi="TitilliumText22L Rg"/>
                      <w:sz w:val="24"/>
                      <w:szCs w:val="24"/>
                    </w:rPr>
                  </w:pPr>
                  <w:r w:rsidRPr="00AD248C">
                    <w:rPr>
                      <w:rFonts w:ascii="TitilliumText22L Rg" w:hAnsi="TitilliumText22L Rg"/>
                      <w:sz w:val="24"/>
                      <w:szCs w:val="24"/>
                    </w:rPr>
                    <w:t>Prepared for:</w:t>
                  </w:r>
                </w:p>
                <w:p w:rsidR="005F105B" w:rsidRDefault="005F105B" w:rsidP="00BE3FBA">
                  <w:pPr>
                    <w:pStyle w:val="PreparedForCompany"/>
                    <w:jc w:val="left"/>
                    <w:rPr>
                      <w:rFonts w:ascii="TitilliumText22L Rg" w:hAnsi="TitilliumText22L Rg"/>
                      <w:sz w:val="24"/>
                    </w:rPr>
                  </w:pPr>
                  <w:r>
                    <w:rPr>
                      <w:rFonts w:ascii="TitilliumText22L Rg" w:hAnsi="TitilliumText22L Rg"/>
                      <w:sz w:val="24"/>
                    </w:rPr>
                    <w:t>Pacific Gas and Electric (PG&amp;E)</w:t>
                  </w:r>
                </w:p>
                <w:p w:rsidR="005F105B" w:rsidRDefault="005F105B" w:rsidP="00BE3FBA">
                  <w:pPr>
                    <w:pStyle w:val="PreparedForCompany"/>
                    <w:jc w:val="left"/>
                    <w:rPr>
                      <w:rFonts w:ascii="TitilliumText22L Rg" w:hAnsi="TitilliumText22L Rg"/>
                      <w:sz w:val="24"/>
                    </w:rPr>
                  </w:pPr>
                  <w:r>
                    <w:rPr>
                      <w:rFonts w:ascii="TitilliumText22L Rg" w:hAnsi="TitilliumText22L Rg"/>
                      <w:sz w:val="24"/>
                    </w:rPr>
                    <w:t>Southern California Edison (SCE)</w:t>
                  </w:r>
                </w:p>
                <w:p w:rsidR="005F105B" w:rsidRDefault="005F105B" w:rsidP="00BE3FBA">
                  <w:pPr>
                    <w:pStyle w:val="PreparedForCompany"/>
                    <w:jc w:val="left"/>
                    <w:rPr>
                      <w:rFonts w:ascii="TitilliumText22L Rg" w:hAnsi="TitilliumText22L Rg"/>
                      <w:sz w:val="24"/>
                    </w:rPr>
                  </w:pPr>
                  <w:r>
                    <w:rPr>
                      <w:rFonts w:ascii="TitilliumText22L Rg" w:hAnsi="TitilliumText22L Rg"/>
                      <w:sz w:val="24"/>
                    </w:rPr>
                    <w:t>San Diego Gas and Electric (SDG&amp;E)</w:t>
                  </w:r>
                </w:p>
                <w:p w:rsidR="005F105B" w:rsidRPr="00AD248C" w:rsidRDefault="005F105B" w:rsidP="00FE5ED4">
                  <w:pPr>
                    <w:pStyle w:val="PreparedForCompany"/>
                    <w:jc w:val="left"/>
                    <w:rPr>
                      <w:rFonts w:ascii="TitilliumText22L Rg" w:hAnsi="TitilliumText22L Rg"/>
                      <w:sz w:val="24"/>
                    </w:rPr>
                  </w:pPr>
                </w:p>
                <w:p w:rsidR="005F105B" w:rsidRPr="000B2255" w:rsidRDefault="005F105B" w:rsidP="00FE5ED4">
                  <w:pPr>
                    <w:pStyle w:val="PreparedForCompany"/>
                    <w:jc w:val="left"/>
                    <w:rPr>
                      <w:rFonts w:ascii="TitilliumText22L Rg" w:hAnsi="TitilliumText22L Rg"/>
                      <w:sz w:val="28"/>
                      <w:szCs w:val="28"/>
                    </w:rPr>
                  </w:pPr>
                </w:p>
                <w:p w:rsidR="005F105B" w:rsidRPr="000B2255" w:rsidRDefault="005F105B" w:rsidP="00FE5ED4">
                  <w:pPr>
                    <w:pStyle w:val="PreparedForCompany"/>
                    <w:jc w:val="left"/>
                    <w:rPr>
                      <w:rFonts w:ascii="TitilliumText22L Rg" w:hAnsi="TitilliumText22L Rg"/>
                      <w:sz w:val="28"/>
                      <w:szCs w:val="28"/>
                    </w:rPr>
                  </w:pPr>
                </w:p>
              </w:txbxContent>
            </v:textbox>
          </v:shape>
        </w:pict>
      </w:r>
    </w:p>
    <w:p w:rsidR="00FE5ED4" w:rsidRDefault="00FE5ED4"/>
    <w:p w:rsidR="00FE5ED4" w:rsidRDefault="00FE5ED4"/>
    <w:p w:rsidR="00FE5ED4" w:rsidRDefault="00FE5ED4"/>
    <w:p w:rsidR="00FE5ED4" w:rsidRDefault="00A73155">
      <w:r>
        <w:rPr>
          <w:noProof/>
        </w:rPr>
        <w:pict>
          <v:shape id="Text Box 18" o:spid="_x0000_s1029" type="#_x0000_t202" style="position:absolute;margin-left:130pt;margin-top:19.15pt;width:163.3pt;height:8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Zvu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" filled="f" stroked="f">
            <v:textbox>
              <w:txbxContent>
                <w:p w:rsidR="005F105B" w:rsidRPr="00AD248C" w:rsidRDefault="005F105B" w:rsidP="00FE5ED4">
                  <w:pPr>
                    <w:pStyle w:val="PreparedForCompany"/>
                    <w:jc w:val="left"/>
                    <w:rPr>
                      <w:rFonts w:ascii="TitilliumText22L Rg" w:hAnsi="TitilliumText22L Rg"/>
                      <w:i/>
                      <w:sz w:val="24"/>
                    </w:rPr>
                  </w:pPr>
                  <w:r w:rsidRPr="00AD248C">
                    <w:rPr>
                      <w:rFonts w:ascii="TitilliumText22L Rg" w:hAnsi="TitilliumText22L Rg"/>
                      <w:i/>
                      <w:sz w:val="24"/>
                    </w:rPr>
                    <w:t>Prepared by:</w:t>
                  </w:r>
                </w:p>
                <w:p w:rsidR="005F105B" w:rsidRDefault="005F105B" w:rsidP="00FE5ED4">
                  <w:pPr>
                    <w:pStyle w:val="PreparedForCompany"/>
                    <w:jc w:val="left"/>
                    <w:rPr>
                      <w:rFonts w:ascii="TitilliumText22L Rg" w:hAnsi="TitilliumText22L Rg"/>
                      <w:sz w:val="24"/>
                    </w:rPr>
                  </w:pPr>
                  <w:r>
                    <w:rPr>
                      <w:rFonts w:ascii="TitilliumText22L Rg" w:hAnsi="TitilliumText22L Rg"/>
                      <w:sz w:val="24"/>
                    </w:rPr>
                    <w:t>Stephen S. George, Ph.D.</w:t>
                  </w:r>
                </w:p>
                <w:p w:rsidR="005F105B" w:rsidRDefault="005F105B" w:rsidP="00FE5ED4">
                  <w:pPr>
                    <w:pStyle w:val="PreparedForCompany"/>
                    <w:jc w:val="left"/>
                    <w:rPr>
                      <w:rFonts w:ascii="TitilliumText22L Rg" w:hAnsi="TitilliumText22L Rg"/>
                      <w:sz w:val="24"/>
                    </w:rPr>
                  </w:pPr>
                  <w:r>
                    <w:rPr>
                      <w:rFonts w:ascii="TitilliumText22L Rg" w:hAnsi="TitilliumText22L Rg"/>
                      <w:sz w:val="24"/>
                    </w:rPr>
                    <w:t>Josh Bode, M.P.P.</w:t>
                  </w:r>
                </w:p>
                <w:p w:rsidR="005F105B" w:rsidRDefault="005F105B" w:rsidP="00FE5ED4">
                  <w:pPr>
                    <w:pStyle w:val="PreparedForCompany"/>
                    <w:jc w:val="left"/>
                    <w:rPr>
                      <w:rFonts w:ascii="TitilliumText22L Rg" w:hAnsi="TitilliumText22L Rg"/>
                      <w:sz w:val="24"/>
                    </w:rPr>
                  </w:pPr>
                  <w:r>
                    <w:rPr>
                      <w:rFonts w:ascii="TitilliumText22L Rg" w:hAnsi="TitilliumText22L Rg"/>
                      <w:sz w:val="24"/>
                    </w:rPr>
                    <w:t>Sam Holmberg</w:t>
                  </w:r>
                </w:p>
                <w:p w:rsidR="005F105B" w:rsidRPr="00AD248C" w:rsidRDefault="005F105B" w:rsidP="00FE5ED4">
                  <w:pPr>
                    <w:pStyle w:val="PreparedForCompany"/>
                    <w:jc w:val="left"/>
                    <w:rPr>
                      <w:rFonts w:ascii="TitilliumText22L Rg" w:hAnsi="TitilliumText22L Rg"/>
                      <w:sz w:val="24"/>
                    </w:rPr>
                  </w:pPr>
                  <w:r w:rsidRPr="00AD248C">
                    <w:rPr>
                      <w:rFonts w:ascii="TitilliumText22L Rg" w:hAnsi="TitilliumText22L Rg"/>
                      <w:sz w:val="24"/>
                    </w:rPr>
                    <w:t>Freeman, Sullivan &amp; Co.</w:t>
                  </w:r>
                </w:p>
                <w:p w:rsidR="005F105B" w:rsidRPr="000B2255" w:rsidRDefault="005F105B" w:rsidP="00FE5ED4">
                  <w:pPr>
                    <w:pStyle w:val="PreparedForCompany"/>
                    <w:jc w:val="left"/>
                    <w:rPr>
                      <w:rFonts w:ascii="TitilliumText22L Rg" w:hAnsi="TitilliumText22L Rg"/>
                      <w:sz w:val="28"/>
                      <w:szCs w:val="28"/>
                    </w:rPr>
                  </w:pPr>
                </w:p>
              </w:txbxContent>
            </v:textbox>
          </v:shape>
        </w:pict>
      </w:r>
    </w:p>
    <w:p w:rsidR="00FE5ED4" w:rsidRDefault="00FE5ED4"/>
    <w:p w:rsidR="00FE5ED4" w:rsidRDefault="00FE5ED4"/>
    <w:p w:rsidR="00FE5ED4" w:rsidRDefault="00FE5ED4"/>
    <w:p w:rsidR="00FE5ED4" w:rsidRDefault="00FE5ED4"/>
    <w:p w:rsidR="00FE5ED4" w:rsidRDefault="00A73155">
      <w:r>
        <w:rPr>
          <w:noProof/>
        </w:rPr>
        <w:pict>
          <v:shape id="Text Box 19" o:spid="_x0000_s1030" type="#_x0000_t202" style="position:absolute;margin-left:129.95pt;margin-top:6.15pt;width:191.15pt;height:8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JW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" filled="f" stroked="f">
            <v:textbox>
              <w:txbxContent>
                <w:p w:rsidR="005F105B" w:rsidRPr="00A01BC6" w:rsidRDefault="005F105B" w:rsidP="00FE5ED4">
                  <w:pPr>
                    <w:pStyle w:val="TitleAddress"/>
                    <w:tabs>
                      <w:tab w:val="clear" w:pos="3960"/>
                    </w:tabs>
                    <w:rPr>
                      <w:rFonts w:ascii="TitilliumText22L Rg" w:hAnsi="TitilliumText22L Rg"/>
                      <w:b w:val="0"/>
                      <w:color w:val="auto"/>
                      <w:sz w:val="24"/>
                      <w:szCs w:val="24"/>
                    </w:rPr>
                  </w:pPr>
                  <w:r w:rsidRPr="00A01BC6">
                    <w:rPr>
                      <w:rFonts w:ascii="TitilliumText22L Rg" w:hAnsi="TitilliumText22L Rg"/>
                      <w:b w:val="0"/>
                      <w:color w:val="auto"/>
                      <w:sz w:val="24"/>
                      <w:szCs w:val="24"/>
                    </w:rPr>
                    <w:t>Freeman, Sullivan &amp; Co</w:t>
                  </w:r>
                  <w:proofErr w:type="gramStart"/>
                  <w:r w:rsidRPr="00A01BC6">
                    <w:rPr>
                      <w:rFonts w:ascii="TitilliumText22L Rg" w:hAnsi="TitilliumText22L Rg"/>
                      <w:b w:val="0"/>
                      <w:color w:val="auto"/>
                      <w:sz w:val="24"/>
                      <w:szCs w:val="24"/>
                    </w:rPr>
                    <w:t>.</w:t>
                  </w:r>
                  <w:proofErr w:type="gramEnd"/>
                  <w:r w:rsidRPr="00A01BC6">
                    <w:rPr>
                      <w:rFonts w:ascii="TitilliumText22L Rg" w:hAnsi="TitilliumText22L Rg"/>
                      <w:b w:val="0"/>
                      <w:color w:val="auto"/>
                      <w:sz w:val="24"/>
                      <w:szCs w:val="24"/>
                    </w:rPr>
                    <w:br/>
                    <w:t>101 Montgomery St., 15th Floor</w:t>
                  </w:r>
                  <w:r w:rsidRPr="00A01BC6">
                    <w:rPr>
                      <w:rFonts w:ascii="TitilliumText22L Rg" w:hAnsi="TitilliumText22L Rg"/>
                      <w:b w:val="0"/>
                      <w:color w:val="auto"/>
                      <w:sz w:val="24"/>
                      <w:szCs w:val="24"/>
                    </w:rPr>
                    <w:br/>
                    <w:t>San Francisco, CA  94104</w:t>
                  </w:r>
                  <w:r w:rsidRPr="00A01BC6">
                    <w:rPr>
                      <w:rFonts w:ascii="TitilliumText22L Rg" w:hAnsi="TitilliumText22L Rg"/>
                      <w:b w:val="0"/>
                      <w:color w:val="auto"/>
                      <w:sz w:val="24"/>
                      <w:szCs w:val="24"/>
                    </w:rPr>
                    <w:br/>
                    <w:t>fscgroup.com</w:t>
                  </w:r>
                </w:p>
                <w:p w:rsidR="005F105B" w:rsidRPr="000D67D1" w:rsidRDefault="005F105B" w:rsidP="00FE5ED4">
                  <w:pPr>
                    <w:pStyle w:val="TitleAddress"/>
                  </w:pPr>
                  <w:r w:rsidRPr="000D67D1">
                    <w:tab/>
                  </w:r>
                </w:p>
              </w:txbxContent>
            </v:textbox>
          </v:shape>
        </w:pict>
      </w:r>
    </w:p>
    <w:p w:rsidR="00FE5ED4" w:rsidRDefault="00FE5ED4"/>
    <w:p w:rsidR="00FE5ED4" w:rsidRDefault="00FE5ED4"/>
    <w:p w:rsidR="00FE5ED4" w:rsidRDefault="00FE5ED4"/>
    <w:p w:rsidR="00FE5ED4" w:rsidRDefault="00FE5ED4"/>
    <w:p w:rsidR="002A6B02" w:rsidRPr="005C465D" w:rsidRDefault="00A73155" w:rsidP="005C465D">
      <w:r>
        <w:rPr>
          <w:noProof/>
        </w:rPr>
        <w:pict>
          <v:shape id="Text Box 26" o:spid="_x0000_s1031" type="#_x0000_t202" style="position:absolute;margin-left:293.3pt;margin-top:34.75pt;width:194.05pt;height:2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" stroked="f">
            <v:textbox>
              <w:txbxContent>
                <w:p w:rsidR="005F105B" w:rsidRPr="00593DA5" w:rsidRDefault="005F105B" w:rsidP="00593DA5">
                  <w:pPr>
                    <w:pStyle w:val="PreparedForCompany"/>
                    <w:jc w:val="left"/>
                    <w:rPr>
                      <w:rFonts w:ascii="TitilliumText22L Rg" w:hAnsi="TitilliumText22L Rg"/>
                      <w:sz w:val="24"/>
                    </w:rPr>
                  </w:pPr>
                  <w:r w:rsidRPr="001D1E17">
                    <w:rPr>
                      <w:rFonts w:ascii="TitilliumText22L Rg" w:hAnsi="TitilliumText22L Rg"/>
                      <w:sz w:val="24"/>
                    </w:rPr>
                    <w:t>CALMAC ID: SDG</w:t>
                  </w:r>
                  <w:r w:rsidR="001D1E17">
                    <w:rPr>
                      <w:rFonts w:ascii="TitilliumText22L Rg" w:hAnsi="TitilliumText22L Rg"/>
                      <w:sz w:val="24"/>
                    </w:rPr>
                    <w:t>0261</w:t>
                  </w:r>
                </w:p>
              </w:txbxContent>
            </v:textbox>
          </v:shape>
        </w:pict>
      </w:r>
      <w:r>
        <w:rPr>
          <w:noProof/>
        </w:rPr>
        <w:pict>
          <v:shape id="Text Box 20" o:spid="_x0000_s1032" type="#_x0000_t202" style="position:absolute;margin-left:-13.1pt;margin-top:31.2pt;width:143.1pt;height: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FNuQIAAMI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" filled="f" stroked="f">
            <v:textbox>
              <w:txbxContent>
                <w:p w:rsidR="005F105B" w:rsidRPr="00A01BC6" w:rsidRDefault="005F105B" w:rsidP="00FE5ED4">
                  <w:pPr>
                    <w:pStyle w:val="TitleProposal"/>
                    <w:rPr>
                      <w:rFonts w:ascii="TitilliumText22L Rg" w:hAnsi="TitilliumText22L Rg"/>
                      <w:color w:val="auto"/>
                    </w:rPr>
                  </w:pPr>
                  <w:r w:rsidRPr="00A01BC6">
                    <w:rPr>
                      <w:rFonts w:ascii="TitilliumText22L Rg" w:hAnsi="TitilliumText22L Rg"/>
                      <w:color w:val="auto"/>
                    </w:rPr>
                    <w:t>The FSC Group</w:t>
                  </w:r>
                </w:p>
                <w:p w:rsidR="005F105B" w:rsidRPr="000D67D1" w:rsidRDefault="005F105B" w:rsidP="00FE5ED4">
                  <w:pPr>
                    <w:pStyle w:val="TitleProposal"/>
                  </w:pPr>
                </w:p>
              </w:txbxContent>
            </v:textbox>
          </v:shape>
        </w:pict>
      </w:r>
      <w:r>
        <w:rPr>
          <w:noProof/>
        </w:rPr>
        <w:pict>
          <v:shapetype id="_x0000_t32" coordsize="21600,21600" o:spt="32" o:oned="t" path="m,l21600,21600e" filled="f">
            <v:path arrowok="t" fillok="f" o:connecttype="none"/>
            <o:lock v:ext="edit" shapetype="t"/>
          </v:shapetype>
          <v:shape id="AutoShape 22" o:spid="_x0000_s1035" type="#_x0000_t32" style="position:absolute;margin-left:-107.4pt;margin-top:64.7pt;width:772.2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" strokecolor="#433b67" strokeweight="2pt"/>
        </w:pict>
      </w:r>
      <w:r>
        <w:rPr>
          <w:noProof/>
        </w:rPr>
        <w:pict>
          <v:shape id="AutoShape 24" o:spid="_x0000_s1034" type="#_x0000_t32" style="position:absolute;margin-left:-93pt;margin-top:65.95pt;width:749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" strokecolor="black [3213]" strokeweight="1pt"/>
        </w:pict>
      </w:r>
    </w:p>
    <w:p w:rsidR="002A6B02" w:rsidRDefault="002A6B02" w:rsidP="002A6B02">
      <w:pPr>
        <w:spacing w:before="240"/>
        <w:rPr>
          <w:b/>
          <w:color w:val="433B67"/>
          <w:sz w:val="28"/>
          <w:szCs w:val="28"/>
        </w:rPr>
        <w:sectPr w:rsidR="002A6B02" w:rsidSect="00DB35F9">
          <w:headerReference w:type="default" r:id="rId9"/>
          <w:footerReference w:type="default" r:id="rId10"/>
          <w:headerReference w:type="first" r:id="rId11"/>
          <w:footerReference w:type="first" r:id="rId12"/>
          <w:pgSz w:w="12240" w:h="15840"/>
          <w:pgMar w:top="1440" w:right="1800" w:bottom="1440" w:left="1800" w:header="720" w:footer="720" w:gutter="0"/>
          <w:pgNumType w:fmt="lowerRoman" w:start="1"/>
          <w:cols w:space="720"/>
          <w:titlePg/>
          <w:docGrid w:linePitch="360"/>
        </w:sectPr>
      </w:pPr>
    </w:p>
    <w:sdt>
      <w:sdtPr>
        <w:rPr>
          <w:rFonts w:asciiTheme="minorHAnsi" w:eastAsiaTheme="minorHAnsi" w:hAnsiTheme="minorHAnsi" w:cstheme="minorBidi"/>
          <w:b w:val="0"/>
          <w:color w:val="auto"/>
          <w:sz w:val="22"/>
          <w:szCs w:val="22"/>
        </w:rPr>
        <w:id w:val="1780305"/>
        <w:docPartObj>
          <w:docPartGallery w:val="Table of Contents"/>
          <w:docPartUnique/>
        </w:docPartObj>
      </w:sdtPr>
      <w:sdtEndPr>
        <w:rPr>
          <w:rFonts w:eastAsiaTheme="minorEastAsia"/>
        </w:rPr>
      </w:sdtEndPr>
      <w:sdtContent>
        <w:p w:rsidR="001A71A9" w:rsidRPr="005C465D" w:rsidRDefault="001A71A9" w:rsidP="00DB35F9">
          <w:pPr>
            <w:pStyle w:val="TableofContents"/>
            <w:ind w:left="0"/>
            <w:rPr>
              <w:rFonts w:ascii="TitilliumText22L Rg" w:hAnsi="TitilliumText22L Rg"/>
            </w:rPr>
          </w:pPr>
          <w:r w:rsidRPr="005C465D">
            <w:rPr>
              <w:rFonts w:ascii="TitilliumText22L Rg" w:hAnsi="TitilliumText22L Rg"/>
            </w:rPr>
            <w:t>Table of Contents</w:t>
          </w:r>
        </w:p>
        <w:p w:rsidR="00987D49" w:rsidRDefault="00A73155">
          <w:pPr>
            <w:pStyle w:val="TOC1"/>
            <w:rPr>
              <w:rFonts w:asciiTheme="minorHAnsi" w:hAnsiTheme="minorHAnsi" w:cstheme="minorBidi"/>
              <w:sz w:val="22"/>
              <w:szCs w:val="22"/>
            </w:rPr>
          </w:pPr>
          <w:r>
            <w:fldChar w:fldCharType="begin"/>
          </w:r>
          <w:r w:rsidR="006717E3">
            <w:instrText xml:space="preserve"> TOC \o "1-3" \h \z \t "Appendix Heading 1,2,Appendix Heading 2,3,Appendix Heading 3,4" </w:instrText>
          </w:r>
          <w:r>
            <w:fldChar w:fldCharType="separate"/>
          </w:r>
          <w:hyperlink w:anchor="_Toc326072090" w:history="1">
            <w:r w:rsidR="00987D49" w:rsidRPr="00622787">
              <w:rPr>
                <w:rStyle w:val="Hyperlink"/>
              </w:rPr>
              <w:t>1</w:t>
            </w:r>
            <w:r w:rsidR="00987D49">
              <w:rPr>
                <w:rFonts w:asciiTheme="minorHAnsi" w:hAnsiTheme="minorHAnsi" w:cstheme="minorBidi"/>
                <w:sz w:val="22"/>
                <w:szCs w:val="22"/>
              </w:rPr>
              <w:tab/>
            </w:r>
            <w:r w:rsidR="00987D49" w:rsidRPr="00622787">
              <w:rPr>
                <w:rStyle w:val="Hyperlink"/>
              </w:rPr>
              <w:t>Executive Summary</w:t>
            </w:r>
            <w:r w:rsidR="00987D49">
              <w:rPr>
                <w:webHidden/>
              </w:rPr>
              <w:tab/>
            </w:r>
            <w:r>
              <w:rPr>
                <w:webHidden/>
              </w:rPr>
              <w:fldChar w:fldCharType="begin"/>
            </w:r>
            <w:r w:rsidR="00987D49">
              <w:rPr>
                <w:webHidden/>
              </w:rPr>
              <w:instrText xml:space="preserve"> PAGEREF _Toc326072090 \h </w:instrText>
            </w:r>
            <w:r>
              <w:rPr>
                <w:webHidden/>
              </w:rPr>
            </w:r>
            <w:r>
              <w:rPr>
                <w:webHidden/>
              </w:rPr>
              <w:fldChar w:fldCharType="separate"/>
            </w:r>
            <w:r w:rsidR="00987D49">
              <w:rPr>
                <w:webHidden/>
              </w:rPr>
              <w:t>1</w:t>
            </w:r>
            <w:r>
              <w:rPr>
                <w:webHidden/>
              </w:rPr>
              <w:fldChar w:fldCharType="end"/>
            </w:r>
          </w:hyperlink>
        </w:p>
        <w:p w:rsidR="00987D49" w:rsidRDefault="00A73155">
          <w:pPr>
            <w:pStyle w:val="TOC2"/>
            <w:rPr>
              <w:rFonts w:asciiTheme="minorHAnsi" w:hAnsiTheme="minorHAnsi" w:cstheme="minorBidi"/>
              <w:sz w:val="22"/>
              <w:szCs w:val="22"/>
            </w:rPr>
          </w:pPr>
          <w:hyperlink w:anchor="_Toc326072091" w:history="1">
            <w:r w:rsidR="00987D49" w:rsidRPr="00622787">
              <w:rPr>
                <w:rStyle w:val="Hyperlink"/>
              </w:rPr>
              <w:t>1.1</w:t>
            </w:r>
            <w:r w:rsidR="00987D49">
              <w:rPr>
                <w:rFonts w:asciiTheme="minorHAnsi" w:hAnsiTheme="minorHAnsi" w:cstheme="minorBidi"/>
                <w:sz w:val="22"/>
                <w:szCs w:val="22"/>
              </w:rPr>
              <w:tab/>
            </w:r>
            <w:r w:rsidR="00987D49" w:rsidRPr="00622787">
              <w:rPr>
                <w:rStyle w:val="Hyperlink"/>
              </w:rPr>
              <w:t>Ex Post Load Impact Summary</w:t>
            </w:r>
            <w:r w:rsidR="00987D49">
              <w:rPr>
                <w:webHidden/>
              </w:rPr>
              <w:tab/>
            </w:r>
            <w:r>
              <w:rPr>
                <w:webHidden/>
              </w:rPr>
              <w:fldChar w:fldCharType="begin"/>
            </w:r>
            <w:r w:rsidR="00987D49">
              <w:rPr>
                <w:webHidden/>
              </w:rPr>
              <w:instrText xml:space="preserve"> PAGEREF _Toc326072091 \h </w:instrText>
            </w:r>
            <w:r>
              <w:rPr>
                <w:webHidden/>
              </w:rPr>
            </w:r>
            <w:r>
              <w:rPr>
                <w:webHidden/>
              </w:rPr>
              <w:fldChar w:fldCharType="separate"/>
            </w:r>
            <w:r w:rsidR="00987D49">
              <w:rPr>
                <w:webHidden/>
              </w:rPr>
              <w:t>1</w:t>
            </w:r>
            <w:r>
              <w:rPr>
                <w:webHidden/>
              </w:rPr>
              <w:fldChar w:fldCharType="end"/>
            </w:r>
          </w:hyperlink>
        </w:p>
        <w:p w:rsidR="00987D49" w:rsidRDefault="00A73155">
          <w:pPr>
            <w:pStyle w:val="TOC2"/>
            <w:rPr>
              <w:rFonts w:asciiTheme="minorHAnsi" w:hAnsiTheme="minorHAnsi" w:cstheme="minorBidi"/>
              <w:sz w:val="22"/>
              <w:szCs w:val="22"/>
            </w:rPr>
          </w:pPr>
          <w:hyperlink w:anchor="_Toc326072092" w:history="1">
            <w:r w:rsidR="00987D49" w:rsidRPr="00622787">
              <w:rPr>
                <w:rStyle w:val="Hyperlink"/>
              </w:rPr>
              <w:t>1.2</w:t>
            </w:r>
            <w:r w:rsidR="00987D49">
              <w:rPr>
                <w:rFonts w:asciiTheme="minorHAnsi" w:hAnsiTheme="minorHAnsi" w:cstheme="minorBidi"/>
                <w:sz w:val="22"/>
                <w:szCs w:val="22"/>
              </w:rPr>
              <w:tab/>
            </w:r>
            <w:r w:rsidR="00987D49" w:rsidRPr="00622787">
              <w:rPr>
                <w:rStyle w:val="Hyperlink"/>
              </w:rPr>
              <w:t>Ex Ante Load Impact Summary</w:t>
            </w:r>
            <w:r w:rsidR="00987D49">
              <w:rPr>
                <w:webHidden/>
              </w:rPr>
              <w:tab/>
            </w:r>
            <w:r>
              <w:rPr>
                <w:webHidden/>
              </w:rPr>
              <w:fldChar w:fldCharType="begin"/>
            </w:r>
            <w:r w:rsidR="00987D49">
              <w:rPr>
                <w:webHidden/>
              </w:rPr>
              <w:instrText xml:space="preserve"> PAGEREF _Toc326072092 \h </w:instrText>
            </w:r>
            <w:r>
              <w:rPr>
                <w:webHidden/>
              </w:rPr>
            </w:r>
            <w:r>
              <w:rPr>
                <w:webHidden/>
              </w:rPr>
              <w:fldChar w:fldCharType="separate"/>
            </w:r>
            <w:r w:rsidR="00987D49">
              <w:rPr>
                <w:webHidden/>
              </w:rPr>
              <w:t>4</w:t>
            </w:r>
            <w:r>
              <w:rPr>
                <w:webHidden/>
              </w:rPr>
              <w:fldChar w:fldCharType="end"/>
            </w:r>
          </w:hyperlink>
        </w:p>
        <w:p w:rsidR="00987D49" w:rsidRDefault="00A73155">
          <w:pPr>
            <w:pStyle w:val="TOC2"/>
            <w:rPr>
              <w:rFonts w:asciiTheme="minorHAnsi" w:hAnsiTheme="minorHAnsi" w:cstheme="minorBidi"/>
              <w:sz w:val="22"/>
              <w:szCs w:val="22"/>
            </w:rPr>
          </w:pPr>
          <w:hyperlink w:anchor="_Toc326072093" w:history="1">
            <w:r w:rsidR="00987D49" w:rsidRPr="00622787">
              <w:rPr>
                <w:rStyle w:val="Hyperlink"/>
              </w:rPr>
              <w:t>1.3</w:t>
            </w:r>
            <w:r w:rsidR="00987D49">
              <w:rPr>
                <w:rFonts w:asciiTheme="minorHAnsi" w:hAnsiTheme="minorHAnsi" w:cstheme="minorBidi"/>
                <w:sz w:val="22"/>
                <w:szCs w:val="22"/>
              </w:rPr>
              <w:tab/>
            </w:r>
            <w:r w:rsidR="00987D49" w:rsidRPr="00622787">
              <w:rPr>
                <w:rStyle w:val="Hyperlink"/>
              </w:rPr>
              <w:t>Report Organization</w:t>
            </w:r>
            <w:r w:rsidR="00987D49">
              <w:rPr>
                <w:webHidden/>
              </w:rPr>
              <w:tab/>
            </w:r>
            <w:r>
              <w:rPr>
                <w:webHidden/>
              </w:rPr>
              <w:fldChar w:fldCharType="begin"/>
            </w:r>
            <w:r w:rsidR="00987D49">
              <w:rPr>
                <w:webHidden/>
              </w:rPr>
              <w:instrText xml:space="preserve"> PAGEREF _Toc326072093 \h </w:instrText>
            </w:r>
            <w:r>
              <w:rPr>
                <w:webHidden/>
              </w:rPr>
            </w:r>
            <w:r>
              <w:rPr>
                <w:webHidden/>
              </w:rPr>
              <w:fldChar w:fldCharType="separate"/>
            </w:r>
            <w:r w:rsidR="00987D49">
              <w:rPr>
                <w:webHidden/>
              </w:rPr>
              <w:t>6</w:t>
            </w:r>
            <w:r>
              <w:rPr>
                <w:webHidden/>
              </w:rPr>
              <w:fldChar w:fldCharType="end"/>
            </w:r>
          </w:hyperlink>
        </w:p>
        <w:p w:rsidR="00987D49" w:rsidRDefault="00A73155">
          <w:pPr>
            <w:pStyle w:val="TOC1"/>
            <w:rPr>
              <w:rFonts w:asciiTheme="minorHAnsi" w:hAnsiTheme="minorHAnsi" w:cstheme="minorBidi"/>
              <w:sz w:val="22"/>
              <w:szCs w:val="22"/>
            </w:rPr>
          </w:pPr>
          <w:hyperlink w:anchor="_Toc326072094" w:history="1">
            <w:r w:rsidR="00987D49" w:rsidRPr="00622787">
              <w:rPr>
                <w:rStyle w:val="Hyperlink"/>
              </w:rPr>
              <w:t>2</w:t>
            </w:r>
            <w:r w:rsidR="00987D49">
              <w:rPr>
                <w:rFonts w:asciiTheme="minorHAnsi" w:hAnsiTheme="minorHAnsi" w:cstheme="minorBidi"/>
                <w:sz w:val="22"/>
                <w:szCs w:val="22"/>
              </w:rPr>
              <w:tab/>
            </w:r>
            <w:r w:rsidR="00987D49" w:rsidRPr="00622787">
              <w:rPr>
                <w:rStyle w:val="Hyperlink"/>
              </w:rPr>
              <w:t>CPP Program Details</w:t>
            </w:r>
            <w:r w:rsidR="00987D49">
              <w:rPr>
                <w:webHidden/>
              </w:rPr>
              <w:tab/>
            </w:r>
            <w:r>
              <w:rPr>
                <w:webHidden/>
              </w:rPr>
              <w:fldChar w:fldCharType="begin"/>
            </w:r>
            <w:r w:rsidR="00987D49">
              <w:rPr>
                <w:webHidden/>
              </w:rPr>
              <w:instrText xml:space="preserve"> PAGEREF _Toc326072094 \h </w:instrText>
            </w:r>
            <w:r>
              <w:rPr>
                <w:webHidden/>
              </w:rPr>
            </w:r>
            <w:r>
              <w:rPr>
                <w:webHidden/>
              </w:rPr>
              <w:fldChar w:fldCharType="separate"/>
            </w:r>
            <w:r w:rsidR="00987D49">
              <w:rPr>
                <w:webHidden/>
              </w:rPr>
              <w:t>7</w:t>
            </w:r>
            <w:r>
              <w:rPr>
                <w:webHidden/>
              </w:rPr>
              <w:fldChar w:fldCharType="end"/>
            </w:r>
          </w:hyperlink>
        </w:p>
        <w:p w:rsidR="00987D49" w:rsidRDefault="00A73155">
          <w:pPr>
            <w:pStyle w:val="TOC1"/>
            <w:rPr>
              <w:rFonts w:asciiTheme="minorHAnsi" w:hAnsiTheme="minorHAnsi" w:cstheme="minorBidi"/>
              <w:sz w:val="22"/>
              <w:szCs w:val="22"/>
            </w:rPr>
          </w:pPr>
          <w:hyperlink w:anchor="_Toc326072095" w:history="1">
            <w:r w:rsidR="00987D49" w:rsidRPr="00622787">
              <w:rPr>
                <w:rStyle w:val="Hyperlink"/>
              </w:rPr>
              <w:t>3</w:t>
            </w:r>
            <w:r w:rsidR="00987D49">
              <w:rPr>
                <w:rFonts w:asciiTheme="minorHAnsi" w:hAnsiTheme="minorHAnsi" w:cstheme="minorBidi"/>
                <w:sz w:val="22"/>
                <w:szCs w:val="22"/>
              </w:rPr>
              <w:tab/>
            </w:r>
            <w:r w:rsidR="00987D49" w:rsidRPr="00622787">
              <w:rPr>
                <w:rStyle w:val="Hyperlink"/>
              </w:rPr>
              <w:t>Methodology</w:t>
            </w:r>
            <w:r w:rsidR="00987D49">
              <w:rPr>
                <w:webHidden/>
              </w:rPr>
              <w:tab/>
            </w:r>
            <w:r>
              <w:rPr>
                <w:webHidden/>
              </w:rPr>
              <w:fldChar w:fldCharType="begin"/>
            </w:r>
            <w:r w:rsidR="00987D49">
              <w:rPr>
                <w:webHidden/>
              </w:rPr>
              <w:instrText xml:space="preserve"> PAGEREF _Toc326072095 \h </w:instrText>
            </w:r>
            <w:r>
              <w:rPr>
                <w:webHidden/>
              </w:rPr>
            </w:r>
            <w:r>
              <w:rPr>
                <w:webHidden/>
              </w:rPr>
              <w:fldChar w:fldCharType="separate"/>
            </w:r>
            <w:r w:rsidR="00987D49">
              <w:rPr>
                <w:webHidden/>
              </w:rPr>
              <w:t>11</w:t>
            </w:r>
            <w:r>
              <w:rPr>
                <w:webHidden/>
              </w:rPr>
              <w:fldChar w:fldCharType="end"/>
            </w:r>
          </w:hyperlink>
        </w:p>
        <w:p w:rsidR="00987D49" w:rsidRDefault="00A73155">
          <w:pPr>
            <w:pStyle w:val="TOC2"/>
            <w:rPr>
              <w:rFonts w:asciiTheme="minorHAnsi" w:hAnsiTheme="minorHAnsi" w:cstheme="minorBidi"/>
              <w:sz w:val="22"/>
              <w:szCs w:val="22"/>
            </w:rPr>
          </w:pPr>
          <w:hyperlink w:anchor="_Toc326072096" w:history="1">
            <w:r w:rsidR="00987D49" w:rsidRPr="00622787">
              <w:rPr>
                <w:rStyle w:val="Hyperlink"/>
              </w:rPr>
              <w:t>3.1</w:t>
            </w:r>
            <w:r w:rsidR="00987D49">
              <w:rPr>
                <w:rFonts w:asciiTheme="minorHAnsi" w:hAnsiTheme="minorHAnsi" w:cstheme="minorBidi"/>
                <w:sz w:val="22"/>
                <w:szCs w:val="22"/>
              </w:rPr>
              <w:tab/>
            </w:r>
            <w:r w:rsidR="00987D49" w:rsidRPr="00622787">
              <w:rPr>
                <w:rStyle w:val="Hyperlink"/>
              </w:rPr>
              <w:t>Regression Models</w:t>
            </w:r>
            <w:r w:rsidR="00987D49">
              <w:rPr>
                <w:webHidden/>
              </w:rPr>
              <w:tab/>
            </w:r>
            <w:r>
              <w:rPr>
                <w:webHidden/>
              </w:rPr>
              <w:fldChar w:fldCharType="begin"/>
            </w:r>
            <w:r w:rsidR="00987D49">
              <w:rPr>
                <w:webHidden/>
              </w:rPr>
              <w:instrText xml:space="preserve"> PAGEREF _Toc326072096 \h </w:instrText>
            </w:r>
            <w:r>
              <w:rPr>
                <w:webHidden/>
              </w:rPr>
            </w:r>
            <w:r>
              <w:rPr>
                <w:webHidden/>
              </w:rPr>
              <w:fldChar w:fldCharType="separate"/>
            </w:r>
            <w:r w:rsidR="00987D49">
              <w:rPr>
                <w:webHidden/>
              </w:rPr>
              <w:t>12</w:t>
            </w:r>
            <w:r>
              <w:rPr>
                <w:webHidden/>
              </w:rPr>
              <w:fldChar w:fldCharType="end"/>
            </w:r>
          </w:hyperlink>
        </w:p>
        <w:p w:rsidR="00987D49" w:rsidRDefault="00A73155">
          <w:pPr>
            <w:pStyle w:val="TOC2"/>
            <w:rPr>
              <w:rFonts w:asciiTheme="minorHAnsi" w:hAnsiTheme="minorHAnsi" w:cstheme="minorBidi"/>
              <w:sz w:val="22"/>
              <w:szCs w:val="22"/>
            </w:rPr>
          </w:pPr>
          <w:hyperlink w:anchor="_Toc326072097" w:history="1">
            <w:r w:rsidR="00987D49" w:rsidRPr="00622787">
              <w:rPr>
                <w:rStyle w:val="Hyperlink"/>
              </w:rPr>
              <w:t>3.2</w:t>
            </w:r>
            <w:r w:rsidR="00987D49">
              <w:rPr>
                <w:rFonts w:asciiTheme="minorHAnsi" w:hAnsiTheme="minorHAnsi" w:cstheme="minorBidi"/>
                <w:sz w:val="22"/>
                <w:szCs w:val="22"/>
              </w:rPr>
              <w:tab/>
            </w:r>
            <w:r w:rsidR="00987D49" w:rsidRPr="00622787">
              <w:rPr>
                <w:rStyle w:val="Hyperlink"/>
              </w:rPr>
              <w:t>Overview of Validation Methods</w:t>
            </w:r>
            <w:r w:rsidR="00987D49">
              <w:rPr>
                <w:webHidden/>
              </w:rPr>
              <w:tab/>
            </w:r>
            <w:r>
              <w:rPr>
                <w:webHidden/>
              </w:rPr>
              <w:fldChar w:fldCharType="begin"/>
            </w:r>
            <w:r w:rsidR="00987D49">
              <w:rPr>
                <w:webHidden/>
              </w:rPr>
              <w:instrText xml:space="preserve"> PAGEREF _Toc326072097 \h </w:instrText>
            </w:r>
            <w:r>
              <w:rPr>
                <w:webHidden/>
              </w:rPr>
            </w:r>
            <w:r>
              <w:rPr>
                <w:webHidden/>
              </w:rPr>
              <w:fldChar w:fldCharType="separate"/>
            </w:r>
            <w:r w:rsidR="00987D49">
              <w:rPr>
                <w:webHidden/>
              </w:rPr>
              <w:t>14</w:t>
            </w:r>
            <w:r>
              <w:rPr>
                <w:webHidden/>
              </w:rPr>
              <w:fldChar w:fldCharType="end"/>
            </w:r>
          </w:hyperlink>
        </w:p>
        <w:p w:rsidR="00987D49" w:rsidRDefault="00A73155">
          <w:pPr>
            <w:pStyle w:val="TOC2"/>
            <w:rPr>
              <w:rFonts w:asciiTheme="minorHAnsi" w:hAnsiTheme="minorHAnsi" w:cstheme="minorBidi"/>
              <w:sz w:val="22"/>
              <w:szCs w:val="22"/>
            </w:rPr>
          </w:pPr>
          <w:hyperlink w:anchor="_Toc326072098" w:history="1">
            <w:r w:rsidR="00987D49" w:rsidRPr="00622787">
              <w:rPr>
                <w:rStyle w:val="Hyperlink"/>
              </w:rPr>
              <w:t>3.3</w:t>
            </w:r>
            <w:r w:rsidR="00987D49">
              <w:rPr>
                <w:rFonts w:asciiTheme="minorHAnsi" w:hAnsiTheme="minorHAnsi" w:cstheme="minorBidi"/>
                <w:sz w:val="22"/>
                <w:szCs w:val="22"/>
              </w:rPr>
              <w:tab/>
            </w:r>
            <w:r w:rsidR="00987D49" w:rsidRPr="00622787">
              <w:rPr>
                <w:rStyle w:val="Hyperlink"/>
              </w:rPr>
              <w:t>Out-of-sample and False Event Coefficient Tests</w:t>
            </w:r>
            <w:r w:rsidR="00987D49">
              <w:rPr>
                <w:webHidden/>
              </w:rPr>
              <w:tab/>
            </w:r>
            <w:r>
              <w:rPr>
                <w:webHidden/>
              </w:rPr>
              <w:fldChar w:fldCharType="begin"/>
            </w:r>
            <w:r w:rsidR="00987D49">
              <w:rPr>
                <w:webHidden/>
              </w:rPr>
              <w:instrText xml:space="preserve"> PAGEREF _Toc326072098 \h </w:instrText>
            </w:r>
            <w:r>
              <w:rPr>
                <w:webHidden/>
              </w:rPr>
            </w:r>
            <w:r>
              <w:rPr>
                <w:webHidden/>
              </w:rPr>
              <w:fldChar w:fldCharType="separate"/>
            </w:r>
            <w:r w:rsidR="00987D49">
              <w:rPr>
                <w:webHidden/>
              </w:rPr>
              <w:t>15</w:t>
            </w:r>
            <w:r>
              <w:rPr>
                <w:webHidden/>
              </w:rPr>
              <w:fldChar w:fldCharType="end"/>
            </w:r>
          </w:hyperlink>
        </w:p>
        <w:p w:rsidR="00987D49" w:rsidRDefault="00A73155">
          <w:pPr>
            <w:pStyle w:val="TOC2"/>
            <w:rPr>
              <w:rFonts w:asciiTheme="minorHAnsi" w:hAnsiTheme="minorHAnsi" w:cstheme="minorBidi"/>
              <w:sz w:val="22"/>
              <w:szCs w:val="22"/>
            </w:rPr>
          </w:pPr>
          <w:hyperlink w:anchor="_Toc326072099" w:history="1">
            <w:r w:rsidR="00987D49" w:rsidRPr="00622787">
              <w:rPr>
                <w:rStyle w:val="Hyperlink"/>
              </w:rPr>
              <w:t>3.4</w:t>
            </w:r>
            <w:r w:rsidR="00987D49">
              <w:rPr>
                <w:rFonts w:asciiTheme="minorHAnsi" w:hAnsiTheme="minorHAnsi" w:cstheme="minorBidi"/>
                <w:sz w:val="22"/>
                <w:szCs w:val="22"/>
              </w:rPr>
              <w:tab/>
            </w:r>
            <w:r w:rsidR="00987D49" w:rsidRPr="00622787">
              <w:rPr>
                <w:rStyle w:val="Hyperlink"/>
              </w:rPr>
              <w:t>Summary of Control Group Analysis</w:t>
            </w:r>
            <w:r w:rsidR="00987D49">
              <w:rPr>
                <w:webHidden/>
              </w:rPr>
              <w:tab/>
            </w:r>
            <w:r>
              <w:rPr>
                <w:webHidden/>
              </w:rPr>
              <w:fldChar w:fldCharType="begin"/>
            </w:r>
            <w:r w:rsidR="00987D49">
              <w:rPr>
                <w:webHidden/>
              </w:rPr>
              <w:instrText xml:space="preserve"> PAGEREF _Toc326072099 \h </w:instrText>
            </w:r>
            <w:r>
              <w:rPr>
                <w:webHidden/>
              </w:rPr>
            </w:r>
            <w:r>
              <w:rPr>
                <w:webHidden/>
              </w:rPr>
              <w:fldChar w:fldCharType="separate"/>
            </w:r>
            <w:r w:rsidR="00987D49">
              <w:rPr>
                <w:webHidden/>
              </w:rPr>
              <w:t>17</w:t>
            </w:r>
            <w:r>
              <w:rPr>
                <w:webHidden/>
              </w:rPr>
              <w:fldChar w:fldCharType="end"/>
            </w:r>
          </w:hyperlink>
        </w:p>
        <w:p w:rsidR="00987D49" w:rsidRDefault="00A73155">
          <w:pPr>
            <w:pStyle w:val="TOC2"/>
            <w:rPr>
              <w:rFonts w:asciiTheme="minorHAnsi" w:hAnsiTheme="minorHAnsi" w:cstheme="minorBidi"/>
              <w:sz w:val="22"/>
              <w:szCs w:val="22"/>
            </w:rPr>
          </w:pPr>
          <w:hyperlink w:anchor="_Toc326072100" w:history="1">
            <w:r w:rsidR="00987D49" w:rsidRPr="00622787">
              <w:rPr>
                <w:rStyle w:val="Hyperlink"/>
              </w:rPr>
              <w:t>3.5</w:t>
            </w:r>
            <w:r w:rsidR="00987D49">
              <w:rPr>
                <w:rFonts w:asciiTheme="minorHAnsi" w:hAnsiTheme="minorHAnsi" w:cstheme="minorBidi"/>
                <w:sz w:val="22"/>
                <w:szCs w:val="22"/>
              </w:rPr>
              <w:tab/>
            </w:r>
            <w:r w:rsidR="00987D49" w:rsidRPr="00622787">
              <w:rPr>
                <w:rStyle w:val="Hyperlink"/>
              </w:rPr>
              <w:t>Summary of In-sample Precision and Goodness-of-fit</w:t>
            </w:r>
            <w:r w:rsidR="00987D49">
              <w:rPr>
                <w:webHidden/>
              </w:rPr>
              <w:tab/>
            </w:r>
            <w:r>
              <w:rPr>
                <w:webHidden/>
              </w:rPr>
              <w:fldChar w:fldCharType="begin"/>
            </w:r>
            <w:r w:rsidR="00987D49">
              <w:rPr>
                <w:webHidden/>
              </w:rPr>
              <w:instrText xml:space="preserve"> PAGEREF _Toc326072100 \h </w:instrText>
            </w:r>
            <w:r>
              <w:rPr>
                <w:webHidden/>
              </w:rPr>
            </w:r>
            <w:r>
              <w:rPr>
                <w:webHidden/>
              </w:rPr>
              <w:fldChar w:fldCharType="separate"/>
            </w:r>
            <w:r w:rsidR="00987D49">
              <w:rPr>
                <w:webHidden/>
              </w:rPr>
              <w:t>19</w:t>
            </w:r>
            <w:r>
              <w:rPr>
                <w:webHidden/>
              </w:rPr>
              <w:fldChar w:fldCharType="end"/>
            </w:r>
          </w:hyperlink>
        </w:p>
        <w:p w:rsidR="00987D49" w:rsidRDefault="00A73155">
          <w:pPr>
            <w:pStyle w:val="TOC2"/>
            <w:rPr>
              <w:rFonts w:asciiTheme="minorHAnsi" w:hAnsiTheme="minorHAnsi" w:cstheme="minorBidi"/>
              <w:sz w:val="22"/>
              <w:szCs w:val="22"/>
            </w:rPr>
          </w:pPr>
          <w:hyperlink w:anchor="_Toc326072101" w:history="1">
            <w:r w:rsidR="00987D49" w:rsidRPr="00622787">
              <w:rPr>
                <w:rStyle w:val="Hyperlink"/>
              </w:rPr>
              <w:t>3.6</w:t>
            </w:r>
            <w:r w:rsidR="00987D49">
              <w:rPr>
                <w:rFonts w:asciiTheme="minorHAnsi" w:hAnsiTheme="minorHAnsi" w:cstheme="minorBidi"/>
                <w:sz w:val="22"/>
                <w:szCs w:val="22"/>
              </w:rPr>
              <w:tab/>
            </w:r>
            <w:r w:rsidR="00987D49" w:rsidRPr="00622787">
              <w:rPr>
                <w:rStyle w:val="Hyperlink"/>
              </w:rPr>
              <w:t>Ex Ante Impact Estimation Methodology</w:t>
            </w:r>
            <w:r w:rsidR="00987D49">
              <w:rPr>
                <w:webHidden/>
              </w:rPr>
              <w:tab/>
            </w:r>
            <w:r>
              <w:rPr>
                <w:webHidden/>
              </w:rPr>
              <w:fldChar w:fldCharType="begin"/>
            </w:r>
            <w:r w:rsidR="00987D49">
              <w:rPr>
                <w:webHidden/>
              </w:rPr>
              <w:instrText xml:space="preserve"> PAGEREF _Toc326072101 \h </w:instrText>
            </w:r>
            <w:r>
              <w:rPr>
                <w:webHidden/>
              </w:rPr>
            </w:r>
            <w:r>
              <w:rPr>
                <w:webHidden/>
              </w:rPr>
              <w:fldChar w:fldCharType="separate"/>
            </w:r>
            <w:r w:rsidR="00987D49">
              <w:rPr>
                <w:webHidden/>
              </w:rPr>
              <w:t>20</w:t>
            </w:r>
            <w:r>
              <w:rPr>
                <w:webHidden/>
              </w:rPr>
              <w:fldChar w:fldCharType="end"/>
            </w:r>
          </w:hyperlink>
        </w:p>
        <w:p w:rsidR="00987D49" w:rsidRDefault="00A73155">
          <w:pPr>
            <w:pStyle w:val="TOC3"/>
            <w:rPr>
              <w:rFonts w:asciiTheme="minorHAnsi" w:hAnsiTheme="minorHAnsi" w:cstheme="minorBidi"/>
              <w:sz w:val="22"/>
              <w:szCs w:val="22"/>
            </w:rPr>
          </w:pPr>
          <w:hyperlink w:anchor="_Toc326072102" w:history="1">
            <w:r w:rsidR="00987D49" w:rsidRPr="00622787">
              <w:rPr>
                <w:rStyle w:val="Hyperlink"/>
              </w:rPr>
              <w:t>3.6.1</w:t>
            </w:r>
            <w:r w:rsidR="00987D49">
              <w:rPr>
                <w:rFonts w:asciiTheme="minorHAnsi" w:hAnsiTheme="minorHAnsi" w:cstheme="minorBidi"/>
                <w:sz w:val="22"/>
                <w:szCs w:val="22"/>
              </w:rPr>
              <w:tab/>
            </w:r>
            <w:r w:rsidR="00987D49" w:rsidRPr="00622787">
              <w:rPr>
                <w:rStyle w:val="Hyperlink"/>
              </w:rPr>
              <w:t>Large C&amp;I Ex Ante Impact Development</w:t>
            </w:r>
            <w:r w:rsidR="00987D49">
              <w:rPr>
                <w:webHidden/>
              </w:rPr>
              <w:tab/>
            </w:r>
            <w:r>
              <w:rPr>
                <w:webHidden/>
              </w:rPr>
              <w:fldChar w:fldCharType="begin"/>
            </w:r>
            <w:r w:rsidR="00987D49">
              <w:rPr>
                <w:webHidden/>
              </w:rPr>
              <w:instrText xml:space="preserve"> PAGEREF _Toc326072102 \h </w:instrText>
            </w:r>
            <w:r>
              <w:rPr>
                <w:webHidden/>
              </w:rPr>
            </w:r>
            <w:r>
              <w:rPr>
                <w:webHidden/>
              </w:rPr>
              <w:fldChar w:fldCharType="separate"/>
            </w:r>
            <w:r w:rsidR="00987D49">
              <w:rPr>
                <w:webHidden/>
              </w:rPr>
              <w:t>20</w:t>
            </w:r>
            <w:r>
              <w:rPr>
                <w:webHidden/>
              </w:rPr>
              <w:fldChar w:fldCharType="end"/>
            </w:r>
          </w:hyperlink>
        </w:p>
        <w:p w:rsidR="00987D49" w:rsidRDefault="00A73155">
          <w:pPr>
            <w:pStyle w:val="TOC3"/>
            <w:rPr>
              <w:rFonts w:asciiTheme="minorHAnsi" w:hAnsiTheme="minorHAnsi" w:cstheme="minorBidi"/>
              <w:sz w:val="22"/>
              <w:szCs w:val="22"/>
            </w:rPr>
          </w:pPr>
          <w:hyperlink w:anchor="_Toc326072103" w:history="1">
            <w:r w:rsidR="00987D49" w:rsidRPr="00622787">
              <w:rPr>
                <w:rStyle w:val="Hyperlink"/>
              </w:rPr>
              <w:t>3.6.2</w:t>
            </w:r>
            <w:r w:rsidR="00987D49">
              <w:rPr>
                <w:rFonts w:asciiTheme="minorHAnsi" w:hAnsiTheme="minorHAnsi" w:cstheme="minorBidi"/>
                <w:sz w:val="22"/>
                <w:szCs w:val="22"/>
              </w:rPr>
              <w:tab/>
            </w:r>
            <w:r w:rsidR="00987D49" w:rsidRPr="00622787">
              <w:rPr>
                <w:rStyle w:val="Hyperlink"/>
              </w:rPr>
              <w:t>Medium C&amp;I Ex Ante Impact Development</w:t>
            </w:r>
            <w:r w:rsidR="00987D49">
              <w:rPr>
                <w:webHidden/>
              </w:rPr>
              <w:tab/>
            </w:r>
            <w:r>
              <w:rPr>
                <w:webHidden/>
              </w:rPr>
              <w:fldChar w:fldCharType="begin"/>
            </w:r>
            <w:r w:rsidR="00987D49">
              <w:rPr>
                <w:webHidden/>
              </w:rPr>
              <w:instrText xml:space="preserve"> PAGEREF _Toc326072103 \h </w:instrText>
            </w:r>
            <w:r>
              <w:rPr>
                <w:webHidden/>
              </w:rPr>
            </w:r>
            <w:r>
              <w:rPr>
                <w:webHidden/>
              </w:rPr>
              <w:fldChar w:fldCharType="separate"/>
            </w:r>
            <w:r w:rsidR="00987D49">
              <w:rPr>
                <w:webHidden/>
              </w:rPr>
              <w:t>21</w:t>
            </w:r>
            <w:r>
              <w:rPr>
                <w:webHidden/>
              </w:rPr>
              <w:fldChar w:fldCharType="end"/>
            </w:r>
          </w:hyperlink>
        </w:p>
        <w:p w:rsidR="00987D49" w:rsidRDefault="00A73155">
          <w:pPr>
            <w:pStyle w:val="TOC3"/>
            <w:rPr>
              <w:rFonts w:asciiTheme="minorHAnsi" w:hAnsiTheme="minorHAnsi" w:cstheme="minorBidi"/>
              <w:sz w:val="22"/>
              <w:szCs w:val="22"/>
            </w:rPr>
          </w:pPr>
          <w:hyperlink w:anchor="_Toc326072104" w:history="1">
            <w:r w:rsidR="00987D49" w:rsidRPr="00622787">
              <w:rPr>
                <w:rStyle w:val="Hyperlink"/>
              </w:rPr>
              <w:t>3.6.3</w:t>
            </w:r>
            <w:r w:rsidR="00987D49">
              <w:rPr>
                <w:rFonts w:asciiTheme="minorHAnsi" w:hAnsiTheme="minorHAnsi" w:cstheme="minorBidi"/>
                <w:sz w:val="22"/>
                <w:szCs w:val="22"/>
              </w:rPr>
              <w:tab/>
            </w:r>
            <w:r w:rsidR="00987D49" w:rsidRPr="00622787">
              <w:rPr>
                <w:rStyle w:val="Hyperlink"/>
              </w:rPr>
              <w:t>Small C&amp;I Ex Ante Impact Development</w:t>
            </w:r>
            <w:r w:rsidR="00987D49">
              <w:rPr>
                <w:webHidden/>
              </w:rPr>
              <w:tab/>
            </w:r>
            <w:r>
              <w:rPr>
                <w:webHidden/>
              </w:rPr>
              <w:fldChar w:fldCharType="begin"/>
            </w:r>
            <w:r w:rsidR="00987D49">
              <w:rPr>
                <w:webHidden/>
              </w:rPr>
              <w:instrText xml:space="preserve"> PAGEREF _Toc326072104 \h </w:instrText>
            </w:r>
            <w:r>
              <w:rPr>
                <w:webHidden/>
              </w:rPr>
            </w:r>
            <w:r>
              <w:rPr>
                <w:webHidden/>
              </w:rPr>
              <w:fldChar w:fldCharType="separate"/>
            </w:r>
            <w:r w:rsidR="00987D49">
              <w:rPr>
                <w:webHidden/>
              </w:rPr>
              <w:t>22</w:t>
            </w:r>
            <w:r>
              <w:rPr>
                <w:webHidden/>
              </w:rPr>
              <w:fldChar w:fldCharType="end"/>
            </w:r>
          </w:hyperlink>
        </w:p>
        <w:p w:rsidR="00987D49" w:rsidRDefault="00A73155">
          <w:pPr>
            <w:pStyle w:val="TOC1"/>
            <w:rPr>
              <w:rFonts w:asciiTheme="minorHAnsi" w:hAnsiTheme="minorHAnsi" w:cstheme="minorBidi"/>
              <w:sz w:val="22"/>
              <w:szCs w:val="22"/>
            </w:rPr>
          </w:pPr>
          <w:hyperlink w:anchor="_Toc326072105" w:history="1">
            <w:r w:rsidR="00987D49" w:rsidRPr="00622787">
              <w:rPr>
                <w:rStyle w:val="Hyperlink"/>
              </w:rPr>
              <w:t>4</w:t>
            </w:r>
            <w:r w:rsidR="00987D49">
              <w:rPr>
                <w:rFonts w:asciiTheme="minorHAnsi" w:hAnsiTheme="minorHAnsi" w:cstheme="minorBidi"/>
                <w:sz w:val="22"/>
                <w:szCs w:val="22"/>
              </w:rPr>
              <w:tab/>
            </w:r>
            <w:r w:rsidR="00987D49" w:rsidRPr="00622787">
              <w:rPr>
                <w:rStyle w:val="Hyperlink"/>
              </w:rPr>
              <w:t>PG&amp;E Ex Post Load Impact Results</w:t>
            </w:r>
            <w:r w:rsidR="00987D49">
              <w:rPr>
                <w:webHidden/>
              </w:rPr>
              <w:tab/>
            </w:r>
            <w:r>
              <w:rPr>
                <w:webHidden/>
              </w:rPr>
              <w:fldChar w:fldCharType="begin"/>
            </w:r>
            <w:r w:rsidR="00987D49">
              <w:rPr>
                <w:webHidden/>
              </w:rPr>
              <w:instrText xml:space="preserve"> PAGEREF _Toc326072105 \h </w:instrText>
            </w:r>
            <w:r>
              <w:rPr>
                <w:webHidden/>
              </w:rPr>
            </w:r>
            <w:r>
              <w:rPr>
                <w:webHidden/>
              </w:rPr>
              <w:fldChar w:fldCharType="separate"/>
            </w:r>
            <w:r w:rsidR="00987D49">
              <w:rPr>
                <w:webHidden/>
              </w:rPr>
              <w:t>23</w:t>
            </w:r>
            <w:r>
              <w:rPr>
                <w:webHidden/>
              </w:rPr>
              <w:fldChar w:fldCharType="end"/>
            </w:r>
          </w:hyperlink>
        </w:p>
        <w:p w:rsidR="00987D49" w:rsidRDefault="00A73155">
          <w:pPr>
            <w:pStyle w:val="TOC2"/>
            <w:rPr>
              <w:rFonts w:asciiTheme="minorHAnsi" w:hAnsiTheme="minorHAnsi" w:cstheme="minorBidi"/>
              <w:sz w:val="22"/>
              <w:szCs w:val="22"/>
            </w:rPr>
          </w:pPr>
          <w:hyperlink w:anchor="_Toc326072106" w:history="1">
            <w:r w:rsidR="00987D49" w:rsidRPr="00622787">
              <w:rPr>
                <w:rStyle w:val="Hyperlink"/>
              </w:rPr>
              <w:t>4.1</w:t>
            </w:r>
            <w:r w:rsidR="00987D49">
              <w:rPr>
                <w:rFonts w:asciiTheme="minorHAnsi" w:hAnsiTheme="minorHAnsi" w:cstheme="minorBidi"/>
                <w:sz w:val="22"/>
                <w:szCs w:val="22"/>
              </w:rPr>
              <w:tab/>
            </w:r>
            <w:r w:rsidR="00987D49" w:rsidRPr="00622787">
              <w:rPr>
                <w:rStyle w:val="Hyperlink"/>
              </w:rPr>
              <w:t>Average Event Day Impacts</w:t>
            </w:r>
            <w:r w:rsidR="00987D49">
              <w:rPr>
                <w:webHidden/>
              </w:rPr>
              <w:tab/>
            </w:r>
            <w:r>
              <w:rPr>
                <w:webHidden/>
              </w:rPr>
              <w:fldChar w:fldCharType="begin"/>
            </w:r>
            <w:r w:rsidR="00987D49">
              <w:rPr>
                <w:webHidden/>
              </w:rPr>
              <w:instrText xml:space="preserve"> PAGEREF _Toc326072106 \h </w:instrText>
            </w:r>
            <w:r>
              <w:rPr>
                <w:webHidden/>
              </w:rPr>
            </w:r>
            <w:r>
              <w:rPr>
                <w:webHidden/>
              </w:rPr>
              <w:fldChar w:fldCharType="separate"/>
            </w:r>
            <w:r w:rsidR="00987D49">
              <w:rPr>
                <w:webHidden/>
              </w:rPr>
              <w:t>23</w:t>
            </w:r>
            <w:r>
              <w:rPr>
                <w:webHidden/>
              </w:rPr>
              <w:fldChar w:fldCharType="end"/>
            </w:r>
          </w:hyperlink>
        </w:p>
        <w:p w:rsidR="00987D49" w:rsidRDefault="00A73155">
          <w:pPr>
            <w:pStyle w:val="TOC2"/>
            <w:rPr>
              <w:rFonts w:asciiTheme="minorHAnsi" w:hAnsiTheme="minorHAnsi" w:cstheme="minorBidi"/>
              <w:sz w:val="22"/>
              <w:szCs w:val="22"/>
            </w:rPr>
          </w:pPr>
          <w:hyperlink w:anchor="_Toc326072107" w:history="1">
            <w:r w:rsidR="00987D49" w:rsidRPr="00622787">
              <w:rPr>
                <w:rStyle w:val="Hyperlink"/>
              </w:rPr>
              <w:t>4.2</w:t>
            </w:r>
            <w:r w:rsidR="00987D49">
              <w:rPr>
                <w:rFonts w:asciiTheme="minorHAnsi" w:hAnsiTheme="minorHAnsi" w:cstheme="minorBidi"/>
                <w:sz w:val="22"/>
                <w:szCs w:val="22"/>
              </w:rPr>
              <w:tab/>
            </w:r>
            <w:r w:rsidR="00987D49" w:rsidRPr="00622787">
              <w:rPr>
                <w:rStyle w:val="Hyperlink"/>
              </w:rPr>
              <w:t>Load Impacts by Industry</w:t>
            </w:r>
            <w:r w:rsidR="00987D49">
              <w:rPr>
                <w:webHidden/>
              </w:rPr>
              <w:tab/>
            </w:r>
            <w:r>
              <w:rPr>
                <w:webHidden/>
              </w:rPr>
              <w:fldChar w:fldCharType="begin"/>
            </w:r>
            <w:r w:rsidR="00987D49">
              <w:rPr>
                <w:webHidden/>
              </w:rPr>
              <w:instrText xml:space="preserve"> PAGEREF _Toc326072107 \h </w:instrText>
            </w:r>
            <w:r>
              <w:rPr>
                <w:webHidden/>
              </w:rPr>
            </w:r>
            <w:r>
              <w:rPr>
                <w:webHidden/>
              </w:rPr>
              <w:fldChar w:fldCharType="separate"/>
            </w:r>
            <w:r w:rsidR="00987D49">
              <w:rPr>
                <w:webHidden/>
              </w:rPr>
              <w:t>26</w:t>
            </w:r>
            <w:r>
              <w:rPr>
                <w:webHidden/>
              </w:rPr>
              <w:fldChar w:fldCharType="end"/>
            </w:r>
          </w:hyperlink>
        </w:p>
        <w:p w:rsidR="00987D49" w:rsidRDefault="00A73155">
          <w:pPr>
            <w:pStyle w:val="TOC2"/>
            <w:rPr>
              <w:rFonts w:asciiTheme="minorHAnsi" w:hAnsiTheme="minorHAnsi" w:cstheme="minorBidi"/>
              <w:sz w:val="22"/>
              <w:szCs w:val="22"/>
            </w:rPr>
          </w:pPr>
          <w:hyperlink w:anchor="_Toc326072108" w:history="1">
            <w:r w:rsidR="00987D49" w:rsidRPr="00622787">
              <w:rPr>
                <w:rStyle w:val="Hyperlink"/>
              </w:rPr>
              <w:t>4.3</w:t>
            </w:r>
            <w:r w:rsidR="00987D49">
              <w:rPr>
                <w:rFonts w:asciiTheme="minorHAnsi" w:hAnsiTheme="minorHAnsi" w:cstheme="minorBidi"/>
                <w:sz w:val="22"/>
                <w:szCs w:val="22"/>
              </w:rPr>
              <w:tab/>
            </w:r>
            <w:r w:rsidR="00987D49" w:rsidRPr="00622787">
              <w:rPr>
                <w:rStyle w:val="Hyperlink"/>
              </w:rPr>
              <w:t>Load Impacts by Local Capacity Area</w:t>
            </w:r>
            <w:r w:rsidR="00987D49">
              <w:rPr>
                <w:webHidden/>
              </w:rPr>
              <w:tab/>
            </w:r>
            <w:r>
              <w:rPr>
                <w:webHidden/>
              </w:rPr>
              <w:fldChar w:fldCharType="begin"/>
            </w:r>
            <w:r w:rsidR="00987D49">
              <w:rPr>
                <w:webHidden/>
              </w:rPr>
              <w:instrText xml:space="preserve"> PAGEREF _Toc326072108 \h </w:instrText>
            </w:r>
            <w:r>
              <w:rPr>
                <w:webHidden/>
              </w:rPr>
            </w:r>
            <w:r>
              <w:rPr>
                <w:webHidden/>
              </w:rPr>
              <w:fldChar w:fldCharType="separate"/>
            </w:r>
            <w:r w:rsidR="00987D49">
              <w:rPr>
                <w:webHidden/>
              </w:rPr>
              <w:t>27</w:t>
            </w:r>
            <w:r>
              <w:rPr>
                <w:webHidden/>
              </w:rPr>
              <w:fldChar w:fldCharType="end"/>
            </w:r>
          </w:hyperlink>
        </w:p>
        <w:p w:rsidR="00987D49" w:rsidRDefault="00A73155">
          <w:pPr>
            <w:pStyle w:val="TOC2"/>
            <w:rPr>
              <w:rFonts w:asciiTheme="minorHAnsi" w:hAnsiTheme="minorHAnsi" w:cstheme="minorBidi"/>
              <w:sz w:val="22"/>
              <w:szCs w:val="22"/>
            </w:rPr>
          </w:pPr>
          <w:hyperlink w:anchor="_Toc326072109" w:history="1">
            <w:r w:rsidR="00987D49" w:rsidRPr="00622787">
              <w:rPr>
                <w:rStyle w:val="Hyperlink"/>
              </w:rPr>
              <w:t>4.4</w:t>
            </w:r>
            <w:r w:rsidR="00987D49">
              <w:rPr>
                <w:rFonts w:asciiTheme="minorHAnsi" w:hAnsiTheme="minorHAnsi" w:cstheme="minorBidi"/>
                <w:sz w:val="22"/>
                <w:szCs w:val="22"/>
              </w:rPr>
              <w:tab/>
            </w:r>
            <w:r w:rsidR="00987D49" w:rsidRPr="00622787">
              <w:rPr>
                <w:rStyle w:val="Hyperlink"/>
              </w:rPr>
              <w:t>Load Impacts by Customer Size</w:t>
            </w:r>
            <w:r w:rsidR="00987D49">
              <w:rPr>
                <w:webHidden/>
              </w:rPr>
              <w:tab/>
            </w:r>
            <w:r>
              <w:rPr>
                <w:webHidden/>
              </w:rPr>
              <w:fldChar w:fldCharType="begin"/>
            </w:r>
            <w:r w:rsidR="00987D49">
              <w:rPr>
                <w:webHidden/>
              </w:rPr>
              <w:instrText xml:space="preserve"> PAGEREF _Toc326072109 \h </w:instrText>
            </w:r>
            <w:r>
              <w:rPr>
                <w:webHidden/>
              </w:rPr>
            </w:r>
            <w:r>
              <w:rPr>
                <w:webHidden/>
              </w:rPr>
              <w:fldChar w:fldCharType="separate"/>
            </w:r>
            <w:r w:rsidR="00987D49">
              <w:rPr>
                <w:webHidden/>
              </w:rPr>
              <w:t>28</w:t>
            </w:r>
            <w:r>
              <w:rPr>
                <w:webHidden/>
              </w:rPr>
              <w:fldChar w:fldCharType="end"/>
            </w:r>
          </w:hyperlink>
        </w:p>
        <w:p w:rsidR="00987D49" w:rsidRDefault="00A73155">
          <w:pPr>
            <w:pStyle w:val="TOC2"/>
            <w:rPr>
              <w:rFonts w:asciiTheme="minorHAnsi" w:hAnsiTheme="minorHAnsi" w:cstheme="minorBidi"/>
              <w:sz w:val="22"/>
              <w:szCs w:val="22"/>
            </w:rPr>
          </w:pPr>
          <w:hyperlink w:anchor="_Toc326072110" w:history="1">
            <w:r w:rsidR="00987D49" w:rsidRPr="00622787">
              <w:rPr>
                <w:rStyle w:val="Hyperlink"/>
              </w:rPr>
              <w:t>4.5</w:t>
            </w:r>
            <w:r w:rsidR="00987D49">
              <w:rPr>
                <w:rFonts w:asciiTheme="minorHAnsi" w:hAnsiTheme="minorHAnsi" w:cstheme="minorBidi"/>
                <w:sz w:val="22"/>
                <w:szCs w:val="22"/>
              </w:rPr>
              <w:tab/>
            </w:r>
            <w:r w:rsidR="00987D49" w:rsidRPr="00622787">
              <w:rPr>
                <w:rStyle w:val="Hyperlink"/>
              </w:rPr>
              <w:t>Load Impacts for Multi-DR Program Participants</w:t>
            </w:r>
            <w:r w:rsidR="00987D49">
              <w:rPr>
                <w:webHidden/>
              </w:rPr>
              <w:tab/>
            </w:r>
            <w:r>
              <w:rPr>
                <w:webHidden/>
              </w:rPr>
              <w:fldChar w:fldCharType="begin"/>
            </w:r>
            <w:r w:rsidR="00987D49">
              <w:rPr>
                <w:webHidden/>
              </w:rPr>
              <w:instrText xml:space="preserve"> PAGEREF _Toc326072110 \h </w:instrText>
            </w:r>
            <w:r>
              <w:rPr>
                <w:webHidden/>
              </w:rPr>
            </w:r>
            <w:r>
              <w:rPr>
                <w:webHidden/>
              </w:rPr>
              <w:fldChar w:fldCharType="separate"/>
            </w:r>
            <w:r w:rsidR="00987D49">
              <w:rPr>
                <w:webHidden/>
              </w:rPr>
              <w:t>29</w:t>
            </w:r>
            <w:r>
              <w:rPr>
                <w:webHidden/>
              </w:rPr>
              <w:fldChar w:fldCharType="end"/>
            </w:r>
          </w:hyperlink>
        </w:p>
        <w:p w:rsidR="00987D49" w:rsidRDefault="00A73155">
          <w:pPr>
            <w:pStyle w:val="TOC2"/>
            <w:rPr>
              <w:rFonts w:asciiTheme="minorHAnsi" w:hAnsiTheme="minorHAnsi" w:cstheme="minorBidi"/>
              <w:sz w:val="22"/>
              <w:szCs w:val="22"/>
            </w:rPr>
          </w:pPr>
          <w:hyperlink w:anchor="_Toc326072111" w:history="1">
            <w:r w:rsidR="00987D49" w:rsidRPr="00622787">
              <w:rPr>
                <w:rStyle w:val="Hyperlink"/>
              </w:rPr>
              <w:t>4.6</w:t>
            </w:r>
            <w:r w:rsidR="00987D49">
              <w:rPr>
                <w:rFonts w:asciiTheme="minorHAnsi" w:hAnsiTheme="minorHAnsi" w:cstheme="minorBidi"/>
                <w:sz w:val="22"/>
                <w:szCs w:val="22"/>
              </w:rPr>
              <w:tab/>
            </w:r>
            <w:r w:rsidR="00987D49" w:rsidRPr="00622787">
              <w:rPr>
                <w:rStyle w:val="Hyperlink"/>
              </w:rPr>
              <w:t>TI and AutoDR Load Impacts and Realization Rates</w:t>
            </w:r>
            <w:r w:rsidR="00987D49">
              <w:rPr>
                <w:webHidden/>
              </w:rPr>
              <w:tab/>
            </w:r>
            <w:r>
              <w:rPr>
                <w:webHidden/>
              </w:rPr>
              <w:fldChar w:fldCharType="begin"/>
            </w:r>
            <w:r w:rsidR="00987D49">
              <w:rPr>
                <w:webHidden/>
              </w:rPr>
              <w:instrText xml:space="preserve"> PAGEREF _Toc326072111 \h </w:instrText>
            </w:r>
            <w:r>
              <w:rPr>
                <w:webHidden/>
              </w:rPr>
            </w:r>
            <w:r>
              <w:rPr>
                <w:webHidden/>
              </w:rPr>
              <w:fldChar w:fldCharType="separate"/>
            </w:r>
            <w:r w:rsidR="00987D49">
              <w:rPr>
                <w:webHidden/>
              </w:rPr>
              <w:t>30</w:t>
            </w:r>
            <w:r>
              <w:rPr>
                <w:webHidden/>
              </w:rPr>
              <w:fldChar w:fldCharType="end"/>
            </w:r>
          </w:hyperlink>
        </w:p>
        <w:p w:rsidR="00987D49" w:rsidRDefault="00A73155">
          <w:pPr>
            <w:pStyle w:val="TOC2"/>
            <w:rPr>
              <w:rFonts w:asciiTheme="minorHAnsi" w:hAnsiTheme="minorHAnsi" w:cstheme="minorBidi"/>
              <w:sz w:val="22"/>
              <w:szCs w:val="22"/>
            </w:rPr>
          </w:pPr>
          <w:hyperlink w:anchor="_Toc326072112" w:history="1">
            <w:r w:rsidR="00987D49" w:rsidRPr="00622787">
              <w:rPr>
                <w:rStyle w:val="Hyperlink"/>
              </w:rPr>
              <w:t>4.7</w:t>
            </w:r>
            <w:r w:rsidR="00987D49">
              <w:rPr>
                <w:rFonts w:asciiTheme="minorHAnsi" w:hAnsiTheme="minorHAnsi" w:cstheme="minorBidi"/>
                <w:sz w:val="22"/>
                <w:szCs w:val="22"/>
              </w:rPr>
              <w:tab/>
            </w:r>
            <w:r w:rsidR="00987D49" w:rsidRPr="00622787">
              <w:rPr>
                <w:rStyle w:val="Hyperlink"/>
              </w:rPr>
              <w:t>Comparison of 2010 and 2011 Ex Post Results</w:t>
            </w:r>
            <w:r w:rsidR="00987D49">
              <w:rPr>
                <w:webHidden/>
              </w:rPr>
              <w:tab/>
            </w:r>
            <w:r>
              <w:rPr>
                <w:webHidden/>
              </w:rPr>
              <w:fldChar w:fldCharType="begin"/>
            </w:r>
            <w:r w:rsidR="00987D49">
              <w:rPr>
                <w:webHidden/>
              </w:rPr>
              <w:instrText xml:space="preserve"> PAGEREF _Toc326072112 \h </w:instrText>
            </w:r>
            <w:r>
              <w:rPr>
                <w:webHidden/>
              </w:rPr>
            </w:r>
            <w:r>
              <w:rPr>
                <w:webHidden/>
              </w:rPr>
              <w:fldChar w:fldCharType="separate"/>
            </w:r>
            <w:r w:rsidR="00987D49">
              <w:rPr>
                <w:webHidden/>
              </w:rPr>
              <w:t>31</w:t>
            </w:r>
            <w:r>
              <w:rPr>
                <w:webHidden/>
              </w:rPr>
              <w:fldChar w:fldCharType="end"/>
            </w:r>
          </w:hyperlink>
        </w:p>
        <w:p w:rsidR="00987D49" w:rsidRDefault="00A73155">
          <w:pPr>
            <w:pStyle w:val="TOC1"/>
            <w:rPr>
              <w:rFonts w:asciiTheme="minorHAnsi" w:hAnsiTheme="minorHAnsi" w:cstheme="minorBidi"/>
              <w:sz w:val="22"/>
              <w:szCs w:val="22"/>
            </w:rPr>
          </w:pPr>
          <w:hyperlink w:anchor="_Toc326072113" w:history="1">
            <w:r w:rsidR="00987D49" w:rsidRPr="00622787">
              <w:rPr>
                <w:rStyle w:val="Hyperlink"/>
              </w:rPr>
              <w:t>5</w:t>
            </w:r>
            <w:r w:rsidR="00987D49">
              <w:rPr>
                <w:rFonts w:asciiTheme="minorHAnsi" w:hAnsiTheme="minorHAnsi" w:cstheme="minorBidi"/>
                <w:sz w:val="22"/>
                <w:szCs w:val="22"/>
              </w:rPr>
              <w:tab/>
            </w:r>
            <w:r w:rsidR="00987D49" w:rsidRPr="00622787">
              <w:rPr>
                <w:rStyle w:val="Hyperlink"/>
              </w:rPr>
              <w:t>SCE Ex Post Load Impact Results</w:t>
            </w:r>
            <w:r w:rsidR="00987D49">
              <w:rPr>
                <w:webHidden/>
              </w:rPr>
              <w:tab/>
            </w:r>
            <w:r>
              <w:rPr>
                <w:webHidden/>
              </w:rPr>
              <w:fldChar w:fldCharType="begin"/>
            </w:r>
            <w:r w:rsidR="00987D49">
              <w:rPr>
                <w:webHidden/>
              </w:rPr>
              <w:instrText xml:space="preserve"> PAGEREF _Toc326072113 \h </w:instrText>
            </w:r>
            <w:r>
              <w:rPr>
                <w:webHidden/>
              </w:rPr>
            </w:r>
            <w:r>
              <w:rPr>
                <w:webHidden/>
              </w:rPr>
              <w:fldChar w:fldCharType="separate"/>
            </w:r>
            <w:r w:rsidR="00987D49">
              <w:rPr>
                <w:webHidden/>
              </w:rPr>
              <w:t>33</w:t>
            </w:r>
            <w:r>
              <w:rPr>
                <w:webHidden/>
              </w:rPr>
              <w:fldChar w:fldCharType="end"/>
            </w:r>
          </w:hyperlink>
        </w:p>
        <w:p w:rsidR="00987D49" w:rsidRDefault="00A73155">
          <w:pPr>
            <w:pStyle w:val="TOC2"/>
            <w:rPr>
              <w:rFonts w:asciiTheme="minorHAnsi" w:hAnsiTheme="minorHAnsi" w:cstheme="minorBidi"/>
              <w:sz w:val="22"/>
              <w:szCs w:val="22"/>
            </w:rPr>
          </w:pPr>
          <w:hyperlink w:anchor="_Toc326072114" w:history="1">
            <w:r w:rsidR="00987D49" w:rsidRPr="00622787">
              <w:rPr>
                <w:rStyle w:val="Hyperlink"/>
              </w:rPr>
              <w:t>5.1</w:t>
            </w:r>
            <w:r w:rsidR="00987D49">
              <w:rPr>
                <w:rFonts w:asciiTheme="minorHAnsi" w:hAnsiTheme="minorHAnsi" w:cstheme="minorBidi"/>
                <w:sz w:val="22"/>
                <w:szCs w:val="22"/>
              </w:rPr>
              <w:tab/>
            </w:r>
            <w:r w:rsidR="00987D49" w:rsidRPr="00622787">
              <w:rPr>
                <w:rStyle w:val="Hyperlink"/>
              </w:rPr>
              <w:t>Average Event Day Impacts</w:t>
            </w:r>
            <w:r w:rsidR="00987D49">
              <w:rPr>
                <w:webHidden/>
              </w:rPr>
              <w:tab/>
            </w:r>
            <w:r>
              <w:rPr>
                <w:webHidden/>
              </w:rPr>
              <w:fldChar w:fldCharType="begin"/>
            </w:r>
            <w:r w:rsidR="00987D49">
              <w:rPr>
                <w:webHidden/>
              </w:rPr>
              <w:instrText xml:space="preserve"> PAGEREF _Toc326072114 \h </w:instrText>
            </w:r>
            <w:r>
              <w:rPr>
                <w:webHidden/>
              </w:rPr>
            </w:r>
            <w:r>
              <w:rPr>
                <w:webHidden/>
              </w:rPr>
              <w:fldChar w:fldCharType="separate"/>
            </w:r>
            <w:r w:rsidR="00987D49">
              <w:rPr>
                <w:webHidden/>
              </w:rPr>
              <w:t>34</w:t>
            </w:r>
            <w:r>
              <w:rPr>
                <w:webHidden/>
              </w:rPr>
              <w:fldChar w:fldCharType="end"/>
            </w:r>
          </w:hyperlink>
        </w:p>
        <w:p w:rsidR="00987D49" w:rsidRDefault="00A73155">
          <w:pPr>
            <w:pStyle w:val="TOC2"/>
            <w:rPr>
              <w:rFonts w:asciiTheme="minorHAnsi" w:hAnsiTheme="minorHAnsi" w:cstheme="minorBidi"/>
              <w:sz w:val="22"/>
              <w:szCs w:val="22"/>
            </w:rPr>
          </w:pPr>
          <w:hyperlink w:anchor="_Toc326072115" w:history="1">
            <w:r w:rsidR="00987D49" w:rsidRPr="00622787">
              <w:rPr>
                <w:rStyle w:val="Hyperlink"/>
              </w:rPr>
              <w:t>5.2</w:t>
            </w:r>
            <w:r w:rsidR="00987D49">
              <w:rPr>
                <w:rFonts w:asciiTheme="minorHAnsi" w:hAnsiTheme="minorHAnsi" w:cstheme="minorBidi"/>
                <w:sz w:val="22"/>
                <w:szCs w:val="22"/>
              </w:rPr>
              <w:tab/>
            </w:r>
            <w:r w:rsidR="00987D49" w:rsidRPr="00622787">
              <w:rPr>
                <w:rStyle w:val="Hyperlink"/>
              </w:rPr>
              <w:t>Load Impacts by Industry</w:t>
            </w:r>
            <w:r w:rsidR="00987D49">
              <w:rPr>
                <w:webHidden/>
              </w:rPr>
              <w:tab/>
            </w:r>
            <w:r>
              <w:rPr>
                <w:webHidden/>
              </w:rPr>
              <w:fldChar w:fldCharType="begin"/>
            </w:r>
            <w:r w:rsidR="00987D49">
              <w:rPr>
                <w:webHidden/>
              </w:rPr>
              <w:instrText xml:space="preserve"> PAGEREF _Toc326072115 \h </w:instrText>
            </w:r>
            <w:r>
              <w:rPr>
                <w:webHidden/>
              </w:rPr>
            </w:r>
            <w:r>
              <w:rPr>
                <w:webHidden/>
              </w:rPr>
              <w:fldChar w:fldCharType="separate"/>
            </w:r>
            <w:r w:rsidR="00987D49">
              <w:rPr>
                <w:webHidden/>
              </w:rPr>
              <w:t>36</w:t>
            </w:r>
            <w:r>
              <w:rPr>
                <w:webHidden/>
              </w:rPr>
              <w:fldChar w:fldCharType="end"/>
            </w:r>
          </w:hyperlink>
        </w:p>
        <w:p w:rsidR="00987D49" w:rsidRDefault="00A73155">
          <w:pPr>
            <w:pStyle w:val="TOC2"/>
            <w:rPr>
              <w:rFonts w:asciiTheme="minorHAnsi" w:hAnsiTheme="minorHAnsi" w:cstheme="minorBidi"/>
              <w:sz w:val="22"/>
              <w:szCs w:val="22"/>
            </w:rPr>
          </w:pPr>
          <w:hyperlink w:anchor="_Toc326072116" w:history="1">
            <w:r w:rsidR="00987D49" w:rsidRPr="00622787">
              <w:rPr>
                <w:rStyle w:val="Hyperlink"/>
              </w:rPr>
              <w:t>5.3</w:t>
            </w:r>
            <w:r w:rsidR="00987D49">
              <w:rPr>
                <w:rFonts w:asciiTheme="minorHAnsi" w:hAnsiTheme="minorHAnsi" w:cstheme="minorBidi"/>
                <w:sz w:val="22"/>
                <w:szCs w:val="22"/>
              </w:rPr>
              <w:tab/>
            </w:r>
            <w:r w:rsidR="00987D49" w:rsidRPr="00622787">
              <w:rPr>
                <w:rStyle w:val="Hyperlink"/>
              </w:rPr>
              <w:t>Load Impacts by Local Capacity Area</w:t>
            </w:r>
            <w:r w:rsidR="00987D49">
              <w:rPr>
                <w:webHidden/>
              </w:rPr>
              <w:tab/>
            </w:r>
            <w:r>
              <w:rPr>
                <w:webHidden/>
              </w:rPr>
              <w:fldChar w:fldCharType="begin"/>
            </w:r>
            <w:r w:rsidR="00987D49">
              <w:rPr>
                <w:webHidden/>
              </w:rPr>
              <w:instrText xml:space="preserve"> PAGEREF _Toc326072116 \h </w:instrText>
            </w:r>
            <w:r>
              <w:rPr>
                <w:webHidden/>
              </w:rPr>
            </w:r>
            <w:r>
              <w:rPr>
                <w:webHidden/>
              </w:rPr>
              <w:fldChar w:fldCharType="separate"/>
            </w:r>
            <w:r w:rsidR="00987D49">
              <w:rPr>
                <w:webHidden/>
              </w:rPr>
              <w:t>37</w:t>
            </w:r>
            <w:r>
              <w:rPr>
                <w:webHidden/>
              </w:rPr>
              <w:fldChar w:fldCharType="end"/>
            </w:r>
          </w:hyperlink>
        </w:p>
        <w:p w:rsidR="00987D49" w:rsidRDefault="00A73155">
          <w:pPr>
            <w:pStyle w:val="TOC2"/>
            <w:rPr>
              <w:rFonts w:asciiTheme="minorHAnsi" w:hAnsiTheme="minorHAnsi" w:cstheme="minorBidi"/>
              <w:sz w:val="22"/>
              <w:szCs w:val="22"/>
            </w:rPr>
          </w:pPr>
          <w:hyperlink w:anchor="_Toc326072117" w:history="1">
            <w:r w:rsidR="00987D49" w:rsidRPr="00622787">
              <w:rPr>
                <w:rStyle w:val="Hyperlink"/>
              </w:rPr>
              <w:t>5.4</w:t>
            </w:r>
            <w:r w:rsidR="00987D49">
              <w:rPr>
                <w:rFonts w:asciiTheme="minorHAnsi" w:hAnsiTheme="minorHAnsi" w:cstheme="minorBidi"/>
                <w:sz w:val="22"/>
                <w:szCs w:val="22"/>
              </w:rPr>
              <w:tab/>
            </w:r>
            <w:r w:rsidR="00987D49" w:rsidRPr="00622787">
              <w:rPr>
                <w:rStyle w:val="Hyperlink"/>
              </w:rPr>
              <w:t>Load Impacts by Customer Size</w:t>
            </w:r>
            <w:r w:rsidR="00987D49">
              <w:rPr>
                <w:webHidden/>
              </w:rPr>
              <w:tab/>
            </w:r>
            <w:r>
              <w:rPr>
                <w:webHidden/>
              </w:rPr>
              <w:fldChar w:fldCharType="begin"/>
            </w:r>
            <w:r w:rsidR="00987D49">
              <w:rPr>
                <w:webHidden/>
              </w:rPr>
              <w:instrText xml:space="preserve"> PAGEREF _Toc326072117 \h </w:instrText>
            </w:r>
            <w:r>
              <w:rPr>
                <w:webHidden/>
              </w:rPr>
            </w:r>
            <w:r>
              <w:rPr>
                <w:webHidden/>
              </w:rPr>
              <w:fldChar w:fldCharType="separate"/>
            </w:r>
            <w:r w:rsidR="00987D49">
              <w:rPr>
                <w:webHidden/>
              </w:rPr>
              <w:t>38</w:t>
            </w:r>
            <w:r>
              <w:rPr>
                <w:webHidden/>
              </w:rPr>
              <w:fldChar w:fldCharType="end"/>
            </w:r>
          </w:hyperlink>
        </w:p>
        <w:p w:rsidR="00987D49" w:rsidRDefault="00A73155">
          <w:pPr>
            <w:pStyle w:val="TOC2"/>
            <w:rPr>
              <w:rFonts w:asciiTheme="minorHAnsi" w:hAnsiTheme="minorHAnsi" w:cstheme="minorBidi"/>
              <w:sz w:val="22"/>
              <w:szCs w:val="22"/>
            </w:rPr>
          </w:pPr>
          <w:hyperlink w:anchor="_Toc326072118" w:history="1">
            <w:r w:rsidR="00987D49" w:rsidRPr="00622787">
              <w:rPr>
                <w:rStyle w:val="Hyperlink"/>
              </w:rPr>
              <w:t>5.5</w:t>
            </w:r>
            <w:r w:rsidR="00987D49">
              <w:rPr>
                <w:rFonts w:asciiTheme="minorHAnsi" w:hAnsiTheme="minorHAnsi" w:cstheme="minorBidi"/>
                <w:sz w:val="22"/>
                <w:szCs w:val="22"/>
              </w:rPr>
              <w:tab/>
            </w:r>
            <w:r w:rsidR="00987D49" w:rsidRPr="00622787">
              <w:rPr>
                <w:rStyle w:val="Hyperlink"/>
              </w:rPr>
              <w:t>Load Impacts for Multi-DR Program Participants</w:t>
            </w:r>
            <w:r w:rsidR="00987D49">
              <w:rPr>
                <w:webHidden/>
              </w:rPr>
              <w:tab/>
            </w:r>
            <w:r>
              <w:rPr>
                <w:webHidden/>
              </w:rPr>
              <w:fldChar w:fldCharType="begin"/>
            </w:r>
            <w:r w:rsidR="00987D49">
              <w:rPr>
                <w:webHidden/>
              </w:rPr>
              <w:instrText xml:space="preserve"> PAGEREF _Toc326072118 \h </w:instrText>
            </w:r>
            <w:r>
              <w:rPr>
                <w:webHidden/>
              </w:rPr>
            </w:r>
            <w:r>
              <w:rPr>
                <w:webHidden/>
              </w:rPr>
              <w:fldChar w:fldCharType="separate"/>
            </w:r>
            <w:r w:rsidR="00987D49">
              <w:rPr>
                <w:webHidden/>
              </w:rPr>
              <w:t>38</w:t>
            </w:r>
            <w:r>
              <w:rPr>
                <w:webHidden/>
              </w:rPr>
              <w:fldChar w:fldCharType="end"/>
            </w:r>
          </w:hyperlink>
        </w:p>
        <w:p w:rsidR="00987D49" w:rsidRDefault="00A73155">
          <w:pPr>
            <w:pStyle w:val="TOC2"/>
            <w:rPr>
              <w:rFonts w:asciiTheme="minorHAnsi" w:hAnsiTheme="minorHAnsi" w:cstheme="minorBidi"/>
              <w:sz w:val="22"/>
              <w:szCs w:val="22"/>
            </w:rPr>
          </w:pPr>
          <w:hyperlink w:anchor="_Toc326072119" w:history="1">
            <w:r w:rsidR="00987D49" w:rsidRPr="00622787">
              <w:rPr>
                <w:rStyle w:val="Hyperlink"/>
              </w:rPr>
              <w:t>5.6</w:t>
            </w:r>
            <w:r w:rsidR="00987D49">
              <w:rPr>
                <w:rFonts w:asciiTheme="minorHAnsi" w:hAnsiTheme="minorHAnsi" w:cstheme="minorBidi"/>
                <w:sz w:val="22"/>
                <w:szCs w:val="22"/>
              </w:rPr>
              <w:tab/>
            </w:r>
            <w:r w:rsidR="00987D49" w:rsidRPr="00622787">
              <w:rPr>
                <w:rStyle w:val="Hyperlink"/>
              </w:rPr>
              <w:t>TI and AutoDR Load Impacts and Realization Rates – SCE</w:t>
            </w:r>
            <w:r w:rsidR="00987D49">
              <w:rPr>
                <w:webHidden/>
              </w:rPr>
              <w:tab/>
            </w:r>
            <w:r>
              <w:rPr>
                <w:webHidden/>
              </w:rPr>
              <w:fldChar w:fldCharType="begin"/>
            </w:r>
            <w:r w:rsidR="00987D49">
              <w:rPr>
                <w:webHidden/>
              </w:rPr>
              <w:instrText xml:space="preserve"> PAGEREF _Toc326072119 \h </w:instrText>
            </w:r>
            <w:r>
              <w:rPr>
                <w:webHidden/>
              </w:rPr>
            </w:r>
            <w:r>
              <w:rPr>
                <w:webHidden/>
              </w:rPr>
              <w:fldChar w:fldCharType="separate"/>
            </w:r>
            <w:r w:rsidR="00987D49">
              <w:rPr>
                <w:webHidden/>
              </w:rPr>
              <w:t>41</w:t>
            </w:r>
            <w:r>
              <w:rPr>
                <w:webHidden/>
              </w:rPr>
              <w:fldChar w:fldCharType="end"/>
            </w:r>
          </w:hyperlink>
        </w:p>
        <w:p w:rsidR="00987D49" w:rsidRDefault="00A73155">
          <w:pPr>
            <w:pStyle w:val="TOC2"/>
            <w:rPr>
              <w:rFonts w:asciiTheme="minorHAnsi" w:hAnsiTheme="minorHAnsi" w:cstheme="minorBidi"/>
              <w:sz w:val="22"/>
              <w:szCs w:val="22"/>
            </w:rPr>
          </w:pPr>
          <w:hyperlink w:anchor="_Toc326072120" w:history="1">
            <w:r w:rsidR="00987D49" w:rsidRPr="00622787">
              <w:rPr>
                <w:rStyle w:val="Hyperlink"/>
              </w:rPr>
              <w:t>5.7</w:t>
            </w:r>
            <w:r w:rsidR="00987D49">
              <w:rPr>
                <w:rFonts w:asciiTheme="minorHAnsi" w:hAnsiTheme="minorHAnsi" w:cstheme="minorBidi"/>
                <w:sz w:val="22"/>
                <w:szCs w:val="22"/>
              </w:rPr>
              <w:tab/>
            </w:r>
            <w:r w:rsidR="00987D49" w:rsidRPr="00622787">
              <w:rPr>
                <w:rStyle w:val="Hyperlink"/>
              </w:rPr>
              <w:t>Comparison of 2010 and 2011 Ex Post Results</w:t>
            </w:r>
            <w:r w:rsidR="00987D49">
              <w:rPr>
                <w:webHidden/>
              </w:rPr>
              <w:tab/>
            </w:r>
            <w:r>
              <w:rPr>
                <w:webHidden/>
              </w:rPr>
              <w:fldChar w:fldCharType="begin"/>
            </w:r>
            <w:r w:rsidR="00987D49">
              <w:rPr>
                <w:webHidden/>
              </w:rPr>
              <w:instrText xml:space="preserve"> PAGEREF _Toc326072120 \h </w:instrText>
            </w:r>
            <w:r>
              <w:rPr>
                <w:webHidden/>
              </w:rPr>
            </w:r>
            <w:r>
              <w:rPr>
                <w:webHidden/>
              </w:rPr>
              <w:fldChar w:fldCharType="separate"/>
            </w:r>
            <w:r w:rsidR="00987D49">
              <w:rPr>
                <w:webHidden/>
              </w:rPr>
              <w:t>42</w:t>
            </w:r>
            <w:r>
              <w:rPr>
                <w:webHidden/>
              </w:rPr>
              <w:fldChar w:fldCharType="end"/>
            </w:r>
          </w:hyperlink>
        </w:p>
        <w:p w:rsidR="00987D49" w:rsidRDefault="00A73155">
          <w:pPr>
            <w:pStyle w:val="TOC1"/>
            <w:rPr>
              <w:rFonts w:asciiTheme="minorHAnsi" w:hAnsiTheme="minorHAnsi" w:cstheme="minorBidi"/>
              <w:sz w:val="22"/>
              <w:szCs w:val="22"/>
            </w:rPr>
          </w:pPr>
          <w:hyperlink w:anchor="_Toc326072121" w:history="1">
            <w:r w:rsidR="00987D49" w:rsidRPr="00622787">
              <w:rPr>
                <w:rStyle w:val="Hyperlink"/>
              </w:rPr>
              <w:t>6</w:t>
            </w:r>
            <w:r w:rsidR="00987D49">
              <w:rPr>
                <w:rFonts w:asciiTheme="minorHAnsi" w:hAnsiTheme="minorHAnsi" w:cstheme="minorBidi"/>
                <w:sz w:val="22"/>
                <w:szCs w:val="22"/>
              </w:rPr>
              <w:tab/>
            </w:r>
            <w:r w:rsidR="00987D49" w:rsidRPr="00622787">
              <w:rPr>
                <w:rStyle w:val="Hyperlink"/>
              </w:rPr>
              <w:t>SDG&amp;E Ex Post Load Impact Results</w:t>
            </w:r>
            <w:r w:rsidR="00987D49">
              <w:rPr>
                <w:webHidden/>
              </w:rPr>
              <w:tab/>
            </w:r>
            <w:r>
              <w:rPr>
                <w:webHidden/>
              </w:rPr>
              <w:fldChar w:fldCharType="begin"/>
            </w:r>
            <w:r w:rsidR="00987D49">
              <w:rPr>
                <w:webHidden/>
              </w:rPr>
              <w:instrText xml:space="preserve"> PAGEREF _Toc326072121 \h </w:instrText>
            </w:r>
            <w:r>
              <w:rPr>
                <w:webHidden/>
              </w:rPr>
            </w:r>
            <w:r>
              <w:rPr>
                <w:webHidden/>
              </w:rPr>
              <w:fldChar w:fldCharType="separate"/>
            </w:r>
            <w:r w:rsidR="00987D49">
              <w:rPr>
                <w:webHidden/>
              </w:rPr>
              <w:t>44</w:t>
            </w:r>
            <w:r>
              <w:rPr>
                <w:webHidden/>
              </w:rPr>
              <w:fldChar w:fldCharType="end"/>
            </w:r>
          </w:hyperlink>
        </w:p>
        <w:p w:rsidR="00987D49" w:rsidRDefault="00A73155">
          <w:pPr>
            <w:pStyle w:val="TOC2"/>
            <w:rPr>
              <w:rFonts w:asciiTheme="minorHAnsi" w:hAnsiTheme="minorHAnsi" w:cstheme="minorBidi"/>
              <w:sz w:val="22"/>
              <w:szCs w:val="22"/>
            </w:rPr>
          </w:pPr>
          <w:hyperlink w:anchor="_Toc326072122" w:history="1">
            <w:r w:rsidR="00987D49" w:rsidRPr="00622787">
              <w:rPr>
                <w:rStyle w:val="Hyperlink"/>
              </w:rPr>
              <w:t>6.1</w:t>
            </w:r>
            <w:r w:rsidR="00987D49">
              <w:rPr>
                <w:rFonts w:asciiTheme="minorHAnsi" w:hAnsiTheme="minorHAnsi" w:cstheme="minorBidi"/>
                <w:sz w:val="22"/>
                <w:szCs w:val="22"/>
              </w:rPr>
              <w:tab/>
            </w:r>
            <w:r w:rsidR="00987D49" w:rsidRPr="00622787">
              <w:rPr>
                <w:rStyle w:val="Hyperlink"/>
              </w:rPr>
              <w:t>Average Event Day Impacts</w:t>
            </w:r>
            <w:r w:rsidR="00987D49">
              <w:rPr>
                <w:webHidden/>
              </w:rPr>
              <w:tab/>
            </w:r>
            <w:r>
              <w:rPr>
                <w:webHidden/>
              </w:rPr>
              <w:fldChar w:fldCharType="begin"/>
            </w:r>
            <w:r w:rsidR="00987D49">
              <w:rPr>
                <w:webHidden/>
              </w:rPr>
              <w:instrText xml:space="preserve"> PAGEREF _Toc326072122 \h </w:instrText>
            </w:r>
            <w:r>
              <w:rPr>
                <w:webHidden/>
              </w:rPr>
            </w:r>
            <w:r>
              <w:rPr>
                <w:webHidden/>
              </w:rPr>
              <w:fldChar w:fldCharType="separate"/>
            </w:r>
            <w:r w:rsidR="00987D49">
              <w:rPr>
                <w:webHidden/>
              </w:rPr>
              <w:t>44</w:t>
            </w:r>
            <w:r>
              <w:rPr>
                <w:webHidden/>
              </w:rPr>
              <w:fldChar w:fldCharType="end"/>
            </w:r>
          </w:hyperlink>
        </w:p>
        <w:p w:rsidR="00987D49" w:rsidRDefault="00A73155">
          <w:pPr>
            <w:pStyle w:val="TOC2"/>
            <w:rPr>
              <w:rFonts w:asciiTheme="minorHAnsi" w:hAnsiTheme="minorHAnsi" w:cstheme="minorBidi"/>
              <w:sz w:val="22"/>
              <w:szCs w:val="22"/>
            </w:rPr>
          </w:pPr>
          <w:hyperlink w:anchor="_Toc326072123" w:history="1">
            <w:r w:rsidR="00987D49" w:rsidRPr="00622787">
              <w:rPr>
                <w:rStyle w:val="Hyperlink"/>
              </w:rPr>
              <w:t>6.2</w:t>
            </w:r>
            <w:r w:rsidR="00987D49">
              <w:rPr>
                <w:rFonts w:asciiTheme="minorHAnsi" w:hAnsiTheme="minorHAnsi" w:cstheme="minorBidi"/>
                <w:sz w:val="22"/>
                <w:szCs w:val="22"/>
              </w:rPr>
              <w:tab/>
            </w:r>
            <w:r w:rsidR="00987D49" w:rsidRPr="00622787">
              <w:rPr>
                <w:rStyle w:val="Hyperlink"/>
              </w:rPr>
              <w:t>Load Impacts by Industry</w:t>
            </w:r>
            <w:r w:rsidR="00987D49">
              <w:rPr>
                <w:webHidden/>
              </w:rPr>
              <w:tab/>
            </w:r>
            <w:r>
              <w:rPr>
                <w:webHidden/>
              </w:rPr>
              <w:fldChar w:fldCharType="begin"/>
            </w:r>
            <w:r w:rsidR="00987D49">
              <w:rPr>
                <w:webHidden/>
              </w:rPr>
              <w:instrText xml:space="preserve"> PAGEREF _Toc326072123 \h </w:instrText>
            </w:r>
            <w:r>
              <w:rPr>
                <w:webHidden/>
              </w:rPr>
            </w:r>
            <w:r>
              <w:rPr>
                <w:webHidden/>
              </w:rPr>
              <w:fldChar w:fldCharType="separate"/>
            </w:r>
            <w:r w:rsidR="00987D49">
              <w:rPr>
                <w:webHidden/>
              </w:rPr>
              <w:t>48</w:t>
            </w:r>
            <w:r>
              <w:rPr>
                <w:webHidden/>
              </w:rPr>
              <w:fldChar w:fldCharType="end"/>
            </w:r>
          </w:hyperlink>
        </w:p>
        <w:p w:rsidR="00987D49" w:rsidRDefault="00A73155">
          <w:pPr>
            <w:pStyle w:val="TOC2"/>
            <w:rPr>
              <w:rFonts w:asciiTheme="minorHAnsi" w:hAnsiTheme="minorHAnsi" w:cstheme="minorBidi"/>
              <w:sz w:val="22"/>
              <w:szCs w:val="22"/>
            </w:rPr>
          </w:pPr>
          <w:hyperlink w:anchor="_Toc326072124" w:history="1">
            <w:r w:rsidR="00987D49" w:rsidRPr="00622787">
              <w:rPr>
                <w:rStyle w:val="Hyperlink"/>
              </w:rPr>
              <w:t>6.3</w:t>
            </w:r>
            <w:r w:rsidR="00987D49">
              <w:rPr>
                <w:rFonts w:asciiTheme="minorHAnsi" w:hAnsiTheme="minorHAnsi" w:cstheme="minorBidi"/>
                <w:sz w:val="22"/>
                <w:szCs w:val="22"/>
              </w:rPr>
              <w:tab/>
            </w:r>
            <w:r w:rsidR="00987D49" w:rsidRPr="00622787">
              <w:rPr>
                <w:rStyle w:val="Hyperlink"/>
              </w:rPr>
              <w:t>Load Impacts by Customer Size</w:t>
            </w:r>
            <w:r w:rsidR="00987D49">
              <w:rPr>
                <w:webHidden/>
              </w:rPr>
              <w:tab/>
            </w:r>
            <w:r>
              <w:rPr>
                <w:webHidden/>
              </w:rPr>
              <w:fldChar w:fldCharType="begin"/>
            </w:r>
            <w:r w:rsidR="00987D49">
              <w:rPr>
                <w:webHidden/>
              </w:rPr>
              <w:instrText xml:space="preserve"> PAGEREF _Toc326072124 \h </w:instrText>
            </w:r>
            <w:r>
              <w:rPr>
                <w:webHidden/>
              </w:rPr>
            </w:r>
            <w:r>
              <w:rPr>
                <w:webHidden/>
              </w:rPr>
              <w:fldChar w:fldCharType="separate"/>
            </w:r>
            <w:r w:rsidR="00987D49">
              <w:rPr>
                <w:webHidden/>
              </w:rPr>
              <w:t>50</w:t>
            </w:r>
            <w:r>
              <w:rPr>
                <w:webHidden/>
              </w:rPr>
              <w:fldChar w:fldCharType="end"/>
            </w:r>
          </w:hyperlink>
        </w:p>
        <w:p w:rsidR="00987D49" w:rsidRDefault="00A73155">
          <w:pPr>
            <w:pStyle w:val="TOC2"/>
            <w:rPr>
              <w:rFonts w:asciiTheme="minorHAnsi" w:hAnsiTheme="minorHAnsi" w:cstheme="minorBidi"/>
              <w:sz w:val="22"/>
              <w:szCs w:val="22"/>
            </w:rPr>
          </w:pPr>
          <w:hyperlink w:anchor="_Toc326072125" w:history="1">
            <w:r w:rsidR="00987D49" w:rsidRPr="00622787">
              <w:rPr>
                <w:rStyle w:val="Hyperlink"/>
              </w:rPr>
              <w:t>6.4</w:t>
            </w:r>
            <w:r w:rsidR="00987D49">
              <w:rPr>
                <w:rFonts w:asciiTheme="minorHAnsi" w:hAnsiTheme="minorHAnsi" w:cstheme="minorBidi"/>
                <w:sz w:val="22"/>
                <w:szCs w:val="22"/>
              </w:rPr>
              <w:tab/>
            </w:r>
            <w:r w:rsidR="00987D49" w:rsidRPr="00622787">
              <w:rPr>
                <w:rStyle w:val="Hyperlink"/>
              </w:rPr>
              <w:t>Load Impacts for Multi-DR Program Participants</w:t>
            </w:r>
            <w:r w:rsidR="00987D49">
              <w:rPr>
                <w:webHidden/>
              </w:rPr>
              <w:tab/>
            </w:r>
            <w:r>
              <w:rPr>
                <w:webHidden/>
              </w:rPr>
              <w:fldChar w:fldCharType="begin"/>
            </w:r>
            <w:r w:rsidR="00987D49">
              <w:rPr>
                <w:webHidden/>
              </w:rPr>
              <w:instrText xml:space="preserve"> PAGEREF _Toc326072125 \h </w:instrText>
            </w:r>
            <w:r>
              <w:rPr>
                <w:webHidden/>
              </w:rPr>
            </w:r>
            <w:r>
              <w:rPr>
                <w:webHidden/>
              </w:rPr>
              <w:fldChar w:fldCharType="separate"/>
            </w:r>
            <w:r w:rsidR="00987D49">
              <w:rPr>
                <w:webHidden/>
              </w:rPr>
              <w:t>50</w:t>
            </w:r>
            <w:r>
              <w:rPr>
                <w:webHidden/>
              </w:rPr>
              <w:fldChar w:fldCharType="end"/>
            </w:r>
          </w:hyperlink>
        </w:p>
        <w:p w:rsidR="00987D49" w:rsidRDefault="00A73155">
          <w:pPr>
            <w:pStyle w:val="TOC2"/>
            <w:rPr>
              <w:rFonts w:asciiTheme="minorHAnsi" w:hAnsiTheme="minorHAnsi" w:cstheme="minorBidi"/>
              <w:sz w:val="22"/>
              <w:szCs w:val="22"/>
            </w:rPr>
          </w:pPr>
          <w:hyperlink w:anchor="_Toc326072126" w:history="1">
            <w:r w:rsidR="00987D49" w:rsidRPr="00622787">
              <w:rPr>
                <w:rStyle w:val="Hyperlink"/>
              </w:rPr>
              <w:t>6.5</w:t>
            </w:r>
            <w:r w:rsidR="00987D49">
              <w:rPr>
                <w:rFonts w:asciiTheme="minorHAnsi" w:hAnsiTheme="minorHAnsi" w:cstheme="minorBidi"/>
                <w:sz w:val="22"/>
                <w:szCs w:val="22"/>
              </w:rPr>
              <w:tab/>
            </w:r>
            <w:r w:rsidR="00987D49" w:rsidRPr="00622787">
              <w:rPr>
                <w:rStyle w:val="Hyperlink"/>
              </w:rPr>
              <w:t>TI and AutoDR Load Impacts and Realization Rates</w:t>
            </w:r>
            <w:r w:rsidR="00987D49">
              <w:rPr>
                <w:webHidden/>
              </w:rPr>
              <w:tab/>
            </w:r>
            <w:r>
              <w:rPr>
                <w:webHidden/>
              </w:rPr>
              <w:fldChar w:fldCharType="begin"/>
            </w:r>
            <w:r w:rsidR="00987D49">
              <w:rPr>
                <w:webHidden/>
              </w:rPr>
              <w:instrText xml:space="preserve"> PAGEREF _Toc326072126 \h </w:instrText>
            </w:r>
            <w:r>
              <w:rPr>
                <w:webHidden/>
              </w:rPr>
            </w:r>
            <w:r>
              <w:rPr>
                <w:webHidden/>
              </w:rPr>
              <w:fldChar w:fldCharType="separate"/>
            </w:r>
            <w:r w:rsidR="00987D49">
              <w:rPr>
                <w:webHidden/>
              </w:rPr>
              <w:t>53</w:t>
            </w:r>
            <w:r>
              <w:rPr>
                <w:webHidden/>
              </w:rPr>
              <w:fldChar w:fldCharType="end"/>
            </w:r>
          </w:hyperlink>
        </w:p>
        <w:p w:rsidR="00987D49" w:rsidRDefault="00A73155">
          <w:pPr>
            <w:pStyle w:val="TOC2"/>
            <w:rPr>
              <w:rFonts w:asciiTheme="minorHAnsi" w:hAnsiTheme="minorHAnsi" w:cstheme="minorBidi"/>
              <w:sz w:val="22"/>
              <w:szCs w:val="22"/>
            </w:rPr>
          </w:pPr>
          <w:hyperlink w:anchor="_Toc326072127" w:history="1">
            <w:r w:rsidR="00987D49" w:rsidRPr="00622787">
              <w:rPr>
                <w:rStyle w:val="Hyperlink"/>
              </w:rPr>
              <w:t>6.6</w:t>
            </w:r>
            <w:r w:rsidR="00987D49">
              <w:rPr>
                <w:rFonts w:asciiTheme="minorHAnsi" w:hAnsiTheme="minorHAnsi" w:cstheme="minorBidi"/>
                <w:sz w:val="22"/>
                <w:szCs w:val="22"/>
              </w:rPr>
              <w:tab/>
            </w:r>
            <w:r w:rsidR="00987D49" w:rsidRPr="00622787">
              <w:rPr>
                <w:rStyle w:val="Hyperlink"/>
              </w:rPr>
              <w:t>Comparison of 2010 and 2011 Ex Post Results</w:t>
            </w:r>
            <w:r w:rsidR="00987D49">
              <w:rPr>
                <w:webHidden/>
              </w:rPr>
              <w:tab/>
            </w:r>
            <w:r>
              <w:rPr>
                <w:webHidden/>
              </w:rPr>
              <w:fldChar w:fldCharType="begin"/>
            </w:r>
            <w:r w:rsidR="00987D49">
              <w:rPr>
                <w:webHidden/>
              </w:rPr>
              <w:instrText xml:space="preserve"> PAGEREF _Toc326072127 \h </w:instrText>
            </w:r>
            <w:r>
              <w:rPr>
                <w:webHidden/>
              </w:rPr>
            </w:r>
            <w:r>
              <w:rPr>
                <w:webHidden/>
              </w:rPr>
              <w:fldChar w:fldCharType="separate"/>
            </w:r>
            <w:r w:rsidR="00987D49">
              <w:rPr>
                <w:webHidden/>
              </w:rPr>
              <w:t>53</w:t>
            </w:r>
            <w:r>
              <w:rPr>
                <w:webHidden/>
              </w:rPr>
              <w:fldChar w:fldCharType="end"/>
            </w:r>
          </w:hyperlink>
        </w:p>
        <w:p w:rsidR="00987D49" w:rsidRDefault="00A73155">
          <w:pPr>
            <w:pStyle w:val="TOC1"/>
            <w:rPr>
              <w:rFonts w:asciiTheme="minorHAnsi" w:hAnsiTheme="minorHAnsi" w:cstheme="minorBidi"/>
              <w:sz w:val="22"/>
              <w:szCs w:val="22"/>
            </w:rPr>
          </w:pPr>
          <w:hyperlink w:anchor="_Toc326072128" w:history="1">
            <w:r w:rsidR="00987D49" w:rsidRPr="00622787">
              <w:rPr>
                <w:rStyle w:val="Hyperlink"/>
              </w:rPr>
              <w:t>7</w:t>
            </w:r>
            <w:r w:rsidR="00987D49">
              <w:rPr>
                <w:rFonts w:asciiTheme="minorHAnsi" w:hAnsiTheme="minorHAnsi" w:cstheme="minorBidi"/>
                <w:sz w:val="22"/>
                <w:szCs w:val="22"/>
              </w:rPr>
              <w:tab/>
            </w:r>
            <w:r w:rsidR="00987D49" w:rsidRPr="00622787">
              <w:rPr>
                <w:rStyle w:val="Hyperlink"/>
              </w:rPr>
              <w:t>Ex Ante Load Impact Estimates for PG&amp;E</w:t>
            </w:r>
            <w:r w:rsidR="00987D49">
              <w:rPr>
                <w:webHidden/>
              </w:rPr>
              <w:tab/>
            </w:r>
            <w:r>
              <w:rPr>
                <w:webHidden/>
              </w:rPr>
              <w:fldChar w:fldCharType="begin"/>
            </w:r>
            <w:r w:rsidR="00987D49">
              <w:rPr>
                <w:webHidden/>
              </w:rPr>
              <w:instrText xml:space="preserve"> PAGEREF _Toc326072128 \h </w:instrText>
            </w:r>
            <w:r>
              <w:rPr>
                <w:webHidden/>
              </w:rPr>
            </w:r>
            <w:r>
              <w:rPr>
                <w:webHidden/>
              </w:rPr>
              <w:fldChar w:fldCharType="separate"/>
            </w:r>
            <w:r w:rsidR="00987D49">
              <w:rPr>
                <w:webHidden/>
              </w:rPr>
              <w:t>55</w:t>
            </w:r>
            <w:r>
              <w:rPr>
                <w:webHidden/>
              </w:rPr>
              <w:fldChar w:fldCharType="end"/>
            </w:r>
          </w:hyperlink>
        </w:p>
        <w:p w:rsidR="00987D49" w:rsidRDefault="00A73155">
          <w:pPr>
            <w:pStyle w:val="TOC2"/>
            <w:rPr>
              <w:rFonts w:asciiTheme="minorHAnsi" w:hAnsiTheme="minorHAnsi" w:cstheme="minorBidi"/>
              <w:sz w:val="22"/>
              <w:szCs w:val="22"/>
            </w:rPr>
          </w:pPr>
          <w:hyperlink w:anchor="_Toc326072129" w:history="1">
            <w:r w:rsidR="00987D49" w:rsidRPr="00622787">
              <w:rPr>
                <w:rStyle w:val="Hyperlink"/>
              </w:rPr>
              <w:t>7.1</w:t>
            </w:r>
            <w:r w:rsidR="00987D49">
              <w:rPr>
                <w:rFonts w:asciiTheme="minorHAnsi" w:hAnsiTheme="minorHAnsi" w:cstheme="minorBidi"/>
                <w:sz w:val="22"/>
                <w:szCs w:val="22"/>
              </w:rPr>
              <w:tab/>
            </w:r>
            <w:r w:rsidR="00987D49" w:rsidRPr="00622787">
              <w:rPr>
                <w:rStyle w:val="Hyperlink"/>
              </w:rPr>
              <w:t>Large C&amp;I Ex Ante Impacts</w:t>
            </w:r>
            <w:r w:rsidR="00987D49">
              <w:rPr>
                <w:webHidden/>
              </w:rPr>
              <w:tab/>
            </w:r>
            <w:r>
              <w:rPr>
                <w:webHidden/>
              </w:rPr>
              <w:fldChar w:fldCharType="begin"/>
            </w:r>
            <w:r w:rsidR="00987D49">
              <w:rPr>
                <w:webHidden/>
              </w:rPr>
              <w:instrText xml:space="preserve"> PAGEREF _Toc326072129 \h </w:instrText>
            </w:r>
            <w:r>
              <w:rPr>
                <w:webHidden/>
              </w:rPr>
            </w:r>
            <w:r>
              <w:rPr>
                <w:webHidden/>
              </w:rPr>
              <w:fldChar w:fldCharType="separate"/>
            </w:r>
            <w:r w:rsidR="00987D49">
              <w:rPr>
                <w:webHidden/>
              </w:rPr>
              <w:t>55</w:t>
            </w:r>
            <w:r>
              <w:rPr>
                <w:webHidden/>
              </w:rPr>
              <w:fldChar w:fldCharType="end"/>
            </w:r>
          </w:hyperlink>
        </w:p>
        <w:p w:rsidR="00987D49" w:rsidRDefault="00A73155">
          <w:pPr>
            <w:pStyle w:val="TOC3"/>
            <w:rPr>
              <w:rFonts w:asciiTheme="minorHAnsi" w:hAnsiTheme="minorHAnsi" w:cstheme="minorBidi"/>
              <w:sz w:val="22"/>
              <w:szCs w:val="22"/>
            </w:rPr>
          </w:pPr>
          <w:hyperlink w:anchor="_Toc326072130" w:history="1">
            <w:r w:rsidR="00987D49" w:rsidRPr="00622787">
              <w:rPr>
                <w:rStyle w:val="Hyperlink"/>
                <w:rFonts w:cs="Calibri"/>
              </w:rPr>
              <w:t>7.1.1</w:t>
            </w:r>
            <w:r w:rsidR="00987D49">
              <w:rPr>
                <w:rFonts w:asciiTheme="minorHAnsi" w:hAnsiTheme="minorHAnsi" w:cstheme="minorBidi"/>
                <w:sz w:val="22"/>
                <w:szCs w:val="22"/>
              </w:rPr>
              <w:tab/>
              <w:t xml:space="preserve"> </w:t>
            </w:r>
            <w:r w:rsidR="00987D49" w:rsidRPr="00622787">
              <w:rPr>
                <w:rStyle w:val="Hyperlink"/>
              </w:rPr>
              <w:t>Annual System Peak Day Impacts</w:t>
            </w:r>
            <w:r w:rsidR="00987D49">
              <w:rPr>
                <w:webHidden/>
              </w:rPr>
              <w:tab/>
            </w:r>
            <w:r>
              <w:rPr>
                <w:webHidden/>
              </w:rPr>
              <w:fldChar w:fldCharType="begin"/>
            </w:r>
            <w:r w:rsidR="00987D49">
              <w:rPr>
                <w:webHidden/>
              </w:rPr>
              <w:instrText xml:space="preserve"> PAGEREF _Toc326072130 \h </w:instrText>
            </w:r>
            <w:r>
              <w:rPr>
                <w:webHidden/>
              </w:rPr>
            </w:r>
            <w:r>
              <w:rPr>
                <w:webHidden/>
              </w:rPr>
              <w:fldChar w:fldCharType="separate"/>
            </w:r>
            <w:r w:rsidR="00987D49">
              <w:rPr>
                <w:webHidden/>
              </w:rPr>
              <w:t>56</w:t>
            </w:r>
            <w:r>
              <w:rPr>
                <w:webHidden/>
              </w:rPr>
              <w:fldChar w:fldCharType="end"/>
            </w:r>
          </w:hyperlink>
        </w:p>
        <w:p w:rsidR="00987D49" w:rsidRDefault="00A73155">
          <w:pPr>
            <w:pStyle w:val="TOC3"/>
            <w:rPr>
              <w:rFonts w:asciiTheme="minorHAnsi" w:hAnsiTheme="minorHAnsi" w:cstheme="minorBidi"/>
              <w:sz w:val="22"/>
              <w:szCs w:val="22"/>
            </w:rPr>
          </w:pPr>
          <w:hyperlink w:anchor="_Toc326072131" w:history="1">
            <w:r w:rsidR="00987D49" w:rsidRPr="00622787">
              <w:rPr>
                <w:rStyle w:val="Hyperlink"/>
              </w:rPr>
              <w:t>7.1.2</w:t>
            </w:r>
            <w:r w:rsidR="00987D49">
              <w:rPr>
                <w:rFonts w:asciiTheme="minorHAnsi" w:hAnsiTheme="minorHAnsi" w:cstheme="minorBidi"/>
                <w:sz w:val="22"/>
                <w:szCs w:val="22"/>
              </w:rPr>
              <w:tab/>
              <w:t xml:space="preserve"> </w:t>
            </w:r>
            <w:r w:rsidR="00987D49" w:rsidRPr="00622787">
              <w:rPr>
                <w:rStyle w:val="Hyperlink"/>
              </w:rPr>
              <w:t>Ex Ante Load Impact Uncertainty</w:t>
            </w:r>
            <w:r w:rsidR="00987D49">
              <w:rPr>
                <w:webHidden/>
              </w:rPr>
              <w:tab/>
            </w:r>
            <w:r>
              <w:rPr>
                <w:webHidden/>
              </w:rPr>
              <w:fldChar w:fldCharType="begin"/>
            </w:r>
            <w:r w:rsidR="00987D49">
              <w:rPr>
                <w:webHidden/>
              </w:rPr>
              <w:instrText xml:space="preserve"> PAGEREF _Toc326072131 \h </w:instrText>
            </w:r>
            <w:r>
              <w:rPr>
                <w:webHidden/>
              </w:rPr>
            </w:r>
            <w:r>
              <w:rPr>
                <w:webHidden/>
              </w:rPr>
              <w:fldChar w:fldCharType="separate"/>
            </w:r>
            <w:r w:rsidR="00987D49">
              <w:rPr>
                <w:webHidden/>
              </w:rPr>
              <w:t>58</w:t>
            </w:r>
            <w:r>
              <w:rPr>
                <w:webHidden/>
              </w:rPr>
              <w:fldChar w:fldCharType="end"/>
            </w:r>
          </w:hyperlink>
        </w:p>
        <w:p w:rsidR="00987D49" w:rsidRDefault="00A73155">
          <w:pPr>
            <w:pStyle w:val="TOC3"/>
            <w:rPr>
              <w:rFonts w:asciiTheme="minorHAnsi" w:hAnsiTheme="minorHAnsi" w:cstheme="minorBidi"/>
              <w:sz w:val="22"/>
              <w:szCs w:val="22"/>
            </w:rPr>
          </w:pPr>
          <w:hyperlink w:anchor="_Toc326072132" w:history="1">
            <w:r w:rsidR="00987D49" w:rsidRPr="00622787">
              <w:rPr>
                <w:rStyle w:val="Hyperlink"/>
                <w:rFonts w:cs="Calibri"/>
              </w:rPr>
              <w:t>7.1.3</w:t>
            </w:r>
            <w:r w:rsidR="00987D49">
              <w:rPr>
                <w:rFonts w:asciiTheme="minorHAnsi" w:hAnsiTheme="minorHAnsi" w:cstheme="minorBidi"/>
                <w:sz w:val="22"/>
                <w:szCs w:val="22"/>
              </w:rPr>
              <w:tab/>
              <w:t xml:space="preserve"> </w:t>
            </w:r>
            <w:r w:rsidR="00987D49" w:rsidRPr="00622787">
              <w:rPr>
                <w:rStyle w:val="Hyperlink"/>
              </w:rPr>
              <w:t>Ex Ante Impacts by Geographic Location</w:t>
            </w:r>
            <w:r w:rsidR="00987D49">
              <w:rPr>
                <w:webHidden/>
              </w:rPr>
              <w:tab/>
            </w:r>
            <w:r>
              <w:rPr>
                <w:webHidden/>
              </w:rPr>
              <w:fldChar w:fldCharType="begin"/>
            </w:r>
            <w:r w:rsidR="00987D49">
              <w:rPr>
                <w:webHidden/>
              </w:rPr>
              <w:instrText xml:space="preserve"> PAGEREF _Toc326072132 \h </w:instrText>
            </w:r>
            <w:r>
              <w:rPr>
                <w:webHidden/>
              </w:rPr>
            </w:r>
            <w:r>
              <w:rPr>
                <w:webHidden/>
              </w:rPr>
              <w:fldChar w:fldCharType="separate"/>
            </w:r>
            <w:r w:rsidR="00987D49">
              <w:rPr>
                <w:webHidden/>
              </w:rPr>
              <w:t>58</w:t>
            </w:r>
            <w:r>
              <w:rPr>
                <w:webHidden/>
              </w:rPr>
              <w:fldChar w:fldCharType="end"/>
            </w:r>
          </w:hyperlink>
        </w:p>
        <w:p w:rsidR="00987D49" w:rsidRDefault="00A73155">
          <w:pPr>
            <w:pStyle w:val="TOC2"/>
            <w:rPr>
              <w:rFonts w:asciiTheme="minorHAnsi" w:hAnsiTheme="minorHAnsi" w:cstheme="minorBidi"/>
              <w:sz w:val="22"/>
              <w:szCs w:val="22"/>
            </w:rPr>
          </w:pPr>
          <w:hyperlink w:anchor="_Toc326072133" w:history="1">
            <w:r w:rsidR="00987D49" w:rsidRPr="00622787">
              <w:rPr>
                <w:rStyle w:val="Hyperlink"/>
              </w:rPr>
              <w:t>7.2</w:t>
            </w:r>
            <w:r w:rsidR="00987D49">
              <w:rPr>
                <w:rFonts w:asciiTheme="minorHAnsi" w:hAnsiTheme="minorHAnsi" w:cstheme="minorBidi"/>
                <w:sz w:val="22"/>
                <w:szCs w:val="22"/>
              </w:rPr>
              <w:tab/>
            </w:r>
            <w:r w:rsidR="00987D49" w:rsidRPr="00622787">
              <w:rPr>
                <w:rStyle w:val="Hyperlink"/>
              </w:rPr>
              <w:t>Medium C&amp;I Ex Ante Impacts</w:t>
            </w:r>
            <w:r w:rsidR="00987D49">
              <w:rPr>
                <w:webHidden/>
              </w:rPr>
              <w:tab/>
            </w:r>
            <w:r>
              <w:rPr>
                <w:webHidden/>
              </w:rPr>
              <w:fldChar w:fldCharType="begin"/>
            </w:r>
            <w:r w:rsidR="00987D49">
              <w:rPr>
                <w:webHidden/>
              </w:rPr>
              <w:instrText xml:space="preserve"> PAGEREF _Toc326072133 \h </w:instrText>
            </w:r>
            <w:r>
              <w:rPr>
                <w:webHidden/>
              </w:rPr>
            </w:r>
            <w:r>
              <w:rPr>
                <w:webHidden/>
              </w:rPr>
              <w:fldChar w:fldCharType="separate"/>
            </w:r>
            <w:r w:rsidR="00987D49">
              <w:rPr>
                <w:webHidden/>
              </w:rPr>
              <w:t>59</w:t>
            </w:r>
            <w:r>
              <w:rPr>
                <w:webHidden/>
              </w:rPr>
              <w:fldChar w:fldCharType="end"/>
            </w:r>
          </w:hyperlink>
        </w:p>
        <w:p w:rsidR="00987D49" w:rsidRDefault="00A73155">
          <w:pPr>
            <w:pStyle w:val="TOC3"/>
            <w:rPr>
              <w:rFonts w:asciiTheme="minorHAnsi" w:hAnsiTheme="minorHAnsi" w:cstheme="minorBidi"/>
              <w:sz w:val="22"/>
              <w:szCs w:val="22"/>
            </w:rPr>
          </w:pPr>
          <w:hyperlink w:anchor="_Toc326072134" w:history="1">
            <w:r w:rsidR="00987D49" w:rsidRPr="00622787">
              <w:rPr>
                <w:rStyle w:val="Hyperlink"/>
                <w:rFonts w:cs="Calibri"/>
              </w:rPr>
              <w:t>7.2.1</w:t>
            </w:r>
            <w:r w:rsidR="00987D49">
              <w:rPr>
                <w:rFonts w:asciiTheme="minorHAnsi" w:hAnsiTheme="minorHAnsi" w:cstheme="minorBidi"/>
                <w:sz w:val="22"/>
                <w:szCs w:val="22"/>
              </w:rPr>
              <w:tab/>
              <w:t xml:space="preserve"> </w:t>
            </w:r>
            <w:r w:rsidR="00987D49" w:rsidRPr="00622787">
              <w:rPr>
                <w:rStyle w:val="Hyperlink"/>
              </w:rPr>
              <w:t>Annual System Peak Day Impacts</w:t>
            </w:r>
            <w:r w:rsidR="00987D49">
              <w:rPr>
                <w:webHidden/>
              </w:rPr>
              <w:tab/>
            </w:r>
            <w:r>
              <w:rPr>
                <w:webHidden/>
              </w:rPr>
              <w:fldChar w:fldCharType="begin"/>
            </w:r>
            <w:r w:rsidR="00987D49">
              <w:rPr>
                <w:webHidden/>
              </w:rPr>
              <w:instrText xml:space="preserve"> PAGEREF _Toc326072134 \h </w:instrText>
            </w:r>
            <w:r>
              <w:rPr>
                <w:webHidden/>
              </w:rPr>
            </w:r>
            <w:r>
              <w:rPr>
                <w:webHidden/>
              </w:rPr>
              <w:fldChar w:fldCharType="separate"/>
            </w:r>
            <w:r w:rsidR="00987D49">
              <w:rPr>
                <w:webHidden/>
              </w:rPr>
              <w:t>61</w:t>
            </w:r>
            <w:r>
              <w:rPr>
                <w:webHidden/>
              </w:rPr>
              <w:fldChar w:fldCharType="end"/>
            </w:r>
          </w:hyperlink>
        </w:p>
        <w:p w:rsidR="00987D49" w:rsidRDefault="00A73155">
          <w:pPr>
            <w:pStyle w:val="TOC3"/>
            <w:rPr>
              <w:rFonts w:asciiTheme="minorHAnsi" w:hAnsiTheme="minorHAnsi" w:cstheme="minorBidi"/>
              <w:sz w:val="22"/>
              <w:szCs w:val="22"/>
            </w:rPr>
          </w:pPr>
          <w:hyperlink w:anchor="_Toc326072135" w:history="1">
            <w:r w:rsidR="00987D49" w:rsidRPr="00622787">
              <w:rPr>
                <w:rStyle w:val="Hyperlink"/>
              </w:rPr>
              <w:t>7.2.2</w:t>
            </w:r>
            <w:r w:rsidR="00987D49">
              <w:rPr>
                <w:rStyle w:val="Hyperlink"/>
              </w:rPr>
              <w:t xml:space="preserve"> </w:t>
            </w:r>
            <w:r w:rsidR="00987D49" w:rsidRPr="00622787">
              <w:rPr>
                <w:rStyle w:val="Hyperlink"/>
              </w:rPr>
              <w:t>Ex Ante Load Impact Uncertainty</w:t>
            </w:r>
            <w:r w:rsidR="00987D49">
              <w:rPr>
                <w:webHidden/>
              </w:rPr>
              <w:tab/>
            </w:r>
            <w:r>
              <w:rPr>
                <w:webHidden/>
              </w:rPr>
              <w:fldChar w:fldCharType="begin"/>
            </w:r>
            <w:r w:rsidR="00987D49">
              <w:rPr>
                <w:webHidden/>
              </w:rPr>
              <w:instrText xml:space="preserve"> PAGEREF _Toc326072135 \h </w:instrText>
            </w:r>
            <w:r>
              <w:rPr>
                <w:webHidden/>
              </w:rPr>
            </w:r>
            <w:r>
              <w:rPr>
                <w:webHidden/>
              </w:rPr>
              <w:fldChar w:fldCharType="separate"/>
            </w:r>
            <w:r w:rsidR="00987D49">
              <w:rPr>
                <w:webHidden/>
              </w:rPr>
              <w:t>62</w:t>
            </w:r>
            <w:r>
              <w:rPr>
                <w:webHidden/>
              </w:rPr>
              <w:fldChar w:fldCharType="end"/>
            </w:r>
          </w:hyperlink>
        </w:p>
        <w:p w:rsidR="00987D49" w:rsidRDefault="00A73155">
          <w:pPr>
            <w:pStyle w:val="TOC3"/>
            <w:rPr>
              <w:rFonts w:asciiTheme="minorHAnsi" w:hAnsiTheme="minorHAnsi" w:cstheme="minorBidi"/>
              <w:sz w:val="22"/>
              <w:szCs w:val="22"/>
            </w:rPr>
          </w:pPr>
          <w:hyperlink w:anchor="_Toc326072136" w:history="1">
            <w:r w:rsidR="00987D49" w:rsidRPr="00622787">
              <w:rPr>
                <w:rStyle w:val="Hyperlink"/>
                <w:rFonts w:cs="Calibri"/>
              </w:rPr>
              <w:t>7.2.1</w:t>
            </w:r>
            <w:r w:rsidR="00987D49">
              <w:rPr>
                <w:rFonts w:asciiTheme="minorHAnsi" w:hAnsiTheme="minorHAnsi" w:cstheme="minorBidi"/>
                <w:sz w:val="22"/>
                <w:szCs w:val="22"/>
              </w:rPr>
              <w:tab/>
              <w:t xml:space="preserve"> </w:t>
            </w:r>
            <w:r w:rsidR="00987D49" w:rsidRPr="00622787">
              <w:rPr>
                <w:rStyle w:val="Hyperlink"/>
              </w:rPr>
              <w:t>Ex Ante Impacts by Geographic Location</w:t>
            </w:r>
            <w:r w:rsidR="00987D49">
              <w:rPr>
                <w:webHidden/>
              </w:rPr>
              <w:tab/>
            </w:r>
            <w:r>
              <w:rPr>
                <w:webHidden/>
              </w:rPr>
              <w:fldChar w:fldCharType="begin"/>
            </w:r>
            <w:r w:rsidR="00987D49">
              <w:rPr>
                <w:webHidden/>
              </w:rPr>
              <w:instrText xml:space="preserve"> PAGEREF _Toc326072136 \h </w:instrText>
            </w:r>
            <w:r>
              <w:rPr>
                <w:webHidden/>
              </w:rPr>
            </w:r>
            <w:r>
              <w:rPr>
                <w:webHidden/>
              </w:rPr>
              <w:fldChar w:fldCharType="separate"/>
            </w:r>
            <w:r w:rsidR="00987D49">
              <w:rPr>
                <w:webHidden/>
              </w:rPr>
              <w:t>63</w:t>
            </w:r>
            <w:r>
              <w:rPr>
                <w:webHidden/>
              </w:rPr>
              <w:fldChar w:fldCharType="end"/>
            </w:r>
          </w:hyperlink>
        </w:p>
        <w:p w:rsidR="00987D49" w:rsidRDefault="00A73155">
          <w:pPr>
            <w:pStyle w:val="TOC1"/>
            <w:rPr>
              <w:rFonts w:asciiTheme="minorHAnsi" w:hAnsiTheme="minorHAnsi" w:cstheme="minorBidi"/>
              <w:sz w:val="22"/>
              <w:szCs w:val="22"/>
            </w:rPr>
          </w:pPr>
          <w:hyperlink w:anchor="_Toc326072137" w:history="1">
            <w:r w:rsidR="00987D49" w:rsidRPr="00622787">
              <w:rPr>
                <w:rStyle w:val="Hyperlink"/>
              </w:rPr>
              <w:t>8</w:t>
            </w:r>
            <w:r w:rsidR="00987D49">
              <w:rPr>
                <w:rFonts w:asciiTheme="minorHAnsi" w:hAnsiTheme="minorHAnsi" w:cstheme="minorBidi"/>
                <w:sz w:val="22"/>
                <w:szCs w:val="22"/>
              </w:rPr>
              <w:tab/>
            </w:r>
            <w:r w:rsidR="00987D49" w:rsidRPr="00622787">
              <w:rPr>
                <w:rStyle w:val="Hyperlink"/>
              </w:rPr>
              <w:t>Ex Ante Load Impact Estimates for SCE</w:t>
            </w:r>
            <w:r w:rsidR="00987D49">
              <w:rPr>
                <w:webHidden/>
              </w:rPr>
              <w:tab/>
            </w:r>
            <w:r>
              <w:rPr>
                <w:webHidden/>
              </w:rPr>
              <w:fldChar w:fldCharType="begin"/>
            </w:r>
            <w:r w:rsidR="00987D49">
              <w:rPr>
                <w:webHidden/>
              </w:rPr>
              <w:instrText xml:space="preserve"> PAGEREF _Toc326072137 \h </w:instrText>
            </w:r>
            <w:r>
              <w:rPr>
                <w:webHidden/>
              </w:rPr>
            </w:r>
            <w:r>
              <w:rPr>
                <w:webHidden/>
              </w:rPr>
              <w:fldChar w:fldCharType="separate"/>
            </w:r>
            <w:r w:rsidR="00987D49">
              <w:rPr>
                <w:webHidden/>
              </w:rPr>
              <w:t>64</w:t>
            </w:r>
            <w:r>
              <w:rPr>
                <w:webHidden/>
              </w:rPr>
              <w:fldChar w:fldCharType="end"/>
            </w:r>
          </w:hyperlink>
        </w:p>
        <w:p w:rsidR="00987D49" w:rsidRDefault="00A73155">
          <w:pPr>
            <w:pStyle w:val="TOC2"/>
            <w:rPr>
              <w:rFonts w:asciiTheme="minorHAnsi" w:hAnsiTheme="minorHAnsi" w:cstheme="minorBidi"/>
              <w:sz w:val="22"/>
              <w:szCs w:val="22"/>
            </w:rPr>
          </w:pPr>
          <w:hyperlink w:anchor="_Toc326072138" w:history="1">
            <w:r w:rsidR="00987D49" w:rsidRPr="00622787">
              <w:rPr>
                <w:rStyle w:val="Hyperlink"/>
                <w:rFonts w:cs="Calibri"/>
              </w:rPr>
              <w:t>8.1</w:t>
            </w:r>
            <w:r w:rsidR="00987D49">
              <w:rPr>
                <w:rFonts w:asciiTheme="minorHAnsi" w:hAnsiTheme="minorHAnsi" w:cstheme="minorBidi"/>
                <w:sz w:val="22"/>
                <w:szCs w:val="22"/>
              </w:rPr>
              <w:tab/>
            </w:r>
            <w:r w:rsidR="00987D49" w:rsidRPr="00622787">
              <w:rPr>
                <w:rStyle w:val="Hyperlink"/>
              </w:rPr>
              <w:t>Annual System Peak Day Impacts</w:t>
            </w:r>
            <w:r w:rsidR="00987D49">
              <w:rPr>
                <w:webHidden/>
              </w:rPr>
              <w:tab/>
            </w:r>
            <w:r>
              <w:rPr>
                <w:webHidden/>
              </w:rPr>
              <w:fldChar w:fldCharType="begin"/>
            </w:r>
            <w:r w:rsidR="00987D49">
              <w:rPr>
                <w:webHidden/>
              </w:rPr>
              <w:instrText xml:space="preserve"> PAGEREF _Toc326072138 \h </w:instrText>
            </w:r>
            <w:r>
              <w:rPr>
                <w:webHidden/>
              </w:rPr>
            </w:r>
            <w:r>
              <w:rPr>
                <w:webHidden/>
              </w:rPr>
              <w:fldChar w:fldCharType="separate"/>
            </w:r>
            <w:r w:rsidR="00987D49">
              <w:rPr>
                <w:webHidden/>
              </w:rPr>
              <w:t>65</w:t>
            </w:r>
            <w:r>
              <w:rPr>
                <w:webHidden/>
              </w:rPr>
              <w:fldChar w:fldCharType="end"/>
            </w:r>
          </w:hyperlink>
        </w:p>
        <w:p w:rsidR="00987D49" w:rsidRDefault="00A73155">
          <w:pPr>
            <w:pStyle w:val="TOC2"/>
            <w:rPr>
              <w:rFonts w:asciiTheme="minorHAnsi" w:hAnsiTheme="minorHAnsi" w:cstheme="minorBidi"/>
              <w:sz w:val="22"/>
              <w:szCs w:val="22"/>
            </w:rPr>
          </w:pPr>
          <w:hyperlink w:anchor="_Toc326072139" w:history="1">
            <w:r w:rsidR="00987D49" w:rsidRPr="00622787">
              <w:rPr>
                <w:rStyle w:val="Hyperlink"/>
              </w:rPr>
              <w:t>8.2</w:t>
            </w:r>
            <w:r w:rsidR="00987D49">
              <w:rPr>
                <w:rFonts w:asciiTheme="minorHAnsi" w:hAnsiTheme="minorHAnsi" w:cstheme="minorBidi"/>
                <w:sz w:val="22"/>
                <w:szCs w:val="22"/>
              </w:rPr>
              <w:tab/>
            </w:r>
            <w:r w:rsidR="00987D49" w:rsidRPr="00622787">
              <w:rPr>
                <w:rStyle w:val="Hyperlink"/>
              </w:rPr>
              <w:t>Ex Ante Load Impact Uncertainty</w:t>
            </w:r>
            <w:r w:rsidR="00987D49">
              <w:rPr>
                <w:webHidden/>
              </w:rPr>
              <w:tab/>
            </w:r>
            <w:r>
              <w:rPr>
                <w:webHidden/>
              </w:rPr>
              <w:fldChar w:fldCharType="begin"/>
            </w:r>
            <w:r w:rsidR="00987D49">
              <w:rPr>
                <w:webHidden/>
              </w:rPr>
              <w:instrText xml:space="preserve"> PAGEREF _Toc326072139 \h </w:instrText>
            </w:r>
            <w:r>
              <w:rPr>
                <w:webHidden/>
              </w:rPr>
            </w:r>
            <w:r>
              <w:rPr>
                <w:webHidden/>
              </w:rPr>
              <w:fldChar w:fldCharType="separate"/>
            </w:r>
            <w:r w:rsidR="00987D49">
              <w:rPr>
                <w:webHidden/>
              </w:rPr>
              <w:t>68</w:t>
            </w:r>
            <w:r>
              <w:rPr>
                <w:webHidden/>
              </w:rPr>
              <w:fldChar w:fldCharType="end"/>
            </w:r>
          </w:hyperlink>
        </w:p>
        <w:p w:rsidR="00987D49" w:rsidRDefault="00A73155">
          <w:pPr>
            <w:pStyle w:val="TOC2"/>
            <w:rPr>
              <w:rFonts w:asciiTheme="minorHAnsi" w:hAnsiTheme="minorHAnsi" w:cstheme="minorBidi"/>
              <w:sz w:val="22"/>
              <w:szCs w:val="22"/>
            </w:rPr>
          </w:pPr>
          <w:hyperlink w:anchor="_Toc326072140" w:history="1">
            <w:r w:rsidR="00987D49" w:rsidRPr="00622787">
              <w:rPr>
                <w:rStyle w:val="Hyperlink"/>
              </w:rPr>
              <w:t>8.3</w:t>
            </w:r>
            <w:r w:rsidR="00987D49">
              <w:rPr>
                <w:rFonts w:asciiTheme="minorHAnsi" w:hAnsiTheme="minorHAnsi" w:cstheme="minorBidi"/>
                <w:sz w:val="22"/>
                <w:szCs w:val="22"/>
              </w:rPr>
              <w:tab/>
            </w:r>
            <w:r w:rsidR="00987D49" w:rsidRPr="00622787">
              <w:rPr>
                <w:rStyle w:val="Hyperlink"/>
              </w:rPr>
              <w:t>Per Customer Ex Ante Reference Loads and Impacts by Geographic Location</w:t>
            </w:r>
            <w:r w:rsidR="00987D49">
              <w:rPr>
                <w:webHidden/>
              </w:rPr>
              <w:tab/>
            </w:r>
            <w:r>
              <w:rPr>
                <w:webHidden/>
              </w:rPr>
              <w:fldChar w:fldCharType="begin"/>
            </w:r>
            <w:r w:rsidR="00987D49">
              <w:rPr>
                <w:webHidden/>
              </w:rPr>
              <w:instrText xml:space="preserve"> PAGEREF _Toc326072140 \h </w:instrText>
            </w:r>
            <w:r>
              <w:rPr>
                <w:webHidden/>
              </w:rPr>
            </w:r>
            <w:r>
              <w:rPr>
                <w:webHidden/>
              </w:rPr>
              <w:fldChar w:fldCharType="separate"/>
            </w:r>
            <w:r w:rsidR="00987D49">
              <w:rPr>
                <w:webHidden/>
              </w:rPr>
              <w:t>69</w:t>
            </w:r>
            <w:r>
              <w:rPr>
                <w:webHidden/>
              </w:rPr>
              <w:fldChar w:fldCharType="end"/>
            </w:r>
          </w:hyperlink>
        </w:p>
        <w:p w:rsidR="00987D49" w:rsidRDefault="00A73155">
          <w:pPr>
            <w:pStyle w:val="TOC1"/>
            <w:rPr>
              <w:rFonts w:asciiTheme="minorHAnsi" w:hAnsiTheme="minorHAnsi" w:cstheme="minorBidi"/>
              <w:sz w:val="22"/>
              <w:szCs w:val="22"/>
            </w:rPr>
          </w:pPr>
          <w:hyperlink w:anchor="_Toc326072141" w:history="1">
            <w:r w:rsidR="00987D49" w:rsidRPr="00622787">
              <w:rPr>
                <w:rStyle w:val="Hyperlink"/>
              </w:rPr>
              <w:t>9</w:t>
            </w:r>
            <w:r w:rsidR="00987D49">
              <w:rPr>
                <w:rFonts w:asciiTheme="minorHAnsi" w:hAnsiTheme="minorHAnsi" w:cstheme="minorBidi"/>
                <w:sz w:val="22"/>
                <w:szCs w:val="22"/>
              </w:rPr>
              <w:tab/>
            </w:r>
            <w:r w:rsidR="00987D49" w:rsidRPr="00622787">
              <w:rPr>
                <w:rStyle w:val="Hyperlink"/>
              </w:rPr>
              <w:t>Ex Ante Load Impact Estimates for SDG&amp;E</w:t>
            </w:r>
            <w:r w:rsidR="00987D49">
              <w:rPr>
                <w:webHidden/>
              </w:rPr>
              <w:tab/>
            </w:r>
            <w:r>
              <w:rPr>
                <w:webHidden/>
              </w:rPr>
              <w:fldChar w:fldCharType="begin"/>
            </w:r>
            <w:r w:rsidR="00987D49">
              <w:rPr>
                <w:webHidden/>
              </w:rPr>
              <w:instrText xml:space="preserve"> PAGEREF _Toc326072141 \h </w:instrText>
            </w:r>
            <w:r>
              <w:rPr>
                <w:webHidden/>
              </w:rPr>
            </w:r>
            <w:r>
              <w:rPr>
                <w:webHidden/>
              </w:rPr>
              <w:fldChar w:fldCharType="separate"/>
            </w:r>
            <w:r w:rsidR="00987D49">
              <w:rPr>
                <w:webHidden/>
              </w:rPr>
              <w:t>71</w:t>
            </w:r>
            <w:r>
              <w:rPr>
                <w:webHidden/>
              </w:rPr>
              <w:fldChar w:fldCharType="end"/>
            </w:r>
          </w:hyperlink>
        </w:p>
        <w:p w:rsidR="00987D49" w:rsidRDefault="00A73155">
          <w:pPr>
            <w:pStyle w:val="TOC2"/>
            <w:rPr>
              <w:rFonts w:asciiTheme="minorHAnsi" w:hAnsiTheme="minorHAnsi" w:cstheme="minorBidi"/>
              <w:sz w:val="22"/>
              <w:szCs w:val="22"/>
            </w:rPr>
          </w:pPr>
          <w:hyperlink w:anchor="_Toc326072142" w:history="1">
            <w:r w:rsidR="00987D49" w:rsidRPr="00622787">
              <w:rPr>
                <w:rStyle w:val="Hyperlink"/>
                <w:rFonts w:cs="Calibri"/>
              </w:rPr>
              <w:t>9.1</w:t>
            </w:r>
            <w:r w:rsidR="00987D49">
              <w:rPr>
                <w:rFonts w:asciiTheme="minorHAnsi" w:hAnsiTheme="minorHAnsi" w:cstheme="minorBidi"/>
                <w:sz w:val="22"/>
                <w:szCs w:val="22"/>
              </w:rPr>
              <w:tab/>
            </w:r>
            <w:r w:rsidR="00987D49" w:rsidRPr="00622787">
              <w:rPr>
                <w:rStyle w:val="Hyperlink"/>
              </w:rPr>
              <w:t>Large C&amp;I Ex Ante Impacts</w:t>
            </w:r>
            <w:r w:rsidR="00987D49">
              <w:rPr>
                <w:webHidden/>
              </w:rPr>
              <w:tab/>
            </w:r>
            <w:r>
              <w:rPr>
                <w:webHidden/>
              </w:rPr>
              <w:fldChar w:fldCharType="begin"/>
            </w:r>
            <w:r w:rsidR="00987D49">
              <w:rPr>
                <w:webHidden/>
              </w:rPr>
              <w:instrText xml:space="preserve"> PAGEREF _Toc326072142 \h </w:instrText>
            </w:r>
            <w:r>
              <w:rPr>
                <w:webHidden/>
              </w:rPr>
            </w:r>
            <w:r>
              <w:rPr>
                <w:webHidden/>
              </w:rPr>
              <w:fldChar w:fldCharType="separate"/>
            </w:r>
            <w:r w:rsidR="00987D49">
              <w:rPr>
                <w:webHidden/>
              </w:rPr>
              <w:t>72</w:t>
            </w:r>
            <w:r>
              <w:rPr>
                <w:webHidden/>
              </w:rPr>
              <w:fldChar w:fldCharType="end"/>
            </w:r>
          </w:hyperlink>
        </w:p>
        <w:p w:rsidR="00987D49" w:rsidRDefault="00A73155">
          <w:pPr>
            <w:pStyle w:val="TOC3"/>
            <w:rPr>
              <w:rFonts w:asciiTheme="minorHAnsi" w:hAnsiTheme="minorHAnsi" w:cstheme="minorBidi"/>
              <w:sz w:val="22"/>
              <w:szCs w:val="22"/>
            </w:rPr>
          </w:pPr>
          <w:hyperlink w:anchor="_Toc326072143" w:history="1">
            <w:r w:rsidR="00987D49" w:rsidRPr="00622787">
              <w:rPr>
                <w:rStyle w:val="Hyperlink"/>
                <w:rFonts w:cs="Calibri"/>
              </w:rPr>
              <w:t>9.1.1</w:t>
            </w:r>
            <w:r w:rsidR="00987D49">
              <w:rPr>
                <w:rFonts w:asciiTheme="minorHAnsi" w:hAnsiTheme="minorHAnsi" w:cstheme="minorBidi"/>
                <w:sz w:val="22"/>
                <w:szCs w:val="22"/>
              </w:rPr>
              <w:tab/>
              <w:t xml:space="preserve"> </w:t>
            </w:r>
            <w:r w:rsidR="00987D49" w:rsidRPr="00622787">
              <w:rPr>
                <w:rStyle w:val="Hyperlink"/>
              </w:rPr>
              <w:t>Annual System Peak Day Impacts</w:t>
            </w:r>
            <w:r w:rsidR="00987D49">
              <w:rPr>
                <w:webHidden/>
              </w:rPr>
              <w:tab/>
            </w:r>
            <w:r>
              <w:rPr>
                <w:webHidden/>
              </w:rPr>
              <w:fldChar w:fldCharType="begin"/>
            </w:r>
            <w:r w:rsidR="00987D49">
              <w:rPr>
                <w:webHidden/>
              </w:rPr>
              <w:instrText xml:space="preserve"> PAGEREF _Toc326072143 \h </w:instrText>
            </w:r>
            <w:r>
              <w:rPr>
                <w:webHidden/>
              </w:rPr>
            </w:r>
            <w:r>
              <w:rPr>
                <w:webHidden/>
              </w:rPr>
              <w:fldChar w:fldCharType="separate"/>
            </w:r>
            <w:r w:rsidR="00987D49">
              <w:rPr>
                <w:webHidden/>
              </w:rPr>
              <w:t>72</w:t>
            </w:r>
            <w:r>
              <w:rPr>
                <w:webHidden/>
              </w:rPr>
              <w:fldChar w:fldCharType="end"/>
            </w:r>
          </w:hyperlink>
        </w:p>
        <w:p w:rsidR="00987D49" w:rsidRDefault="00A73155">
          <w:pPr>
            <w:pStyle w:val="TOC3"/>
            <w:rPr>
              <w:rFonts w:asciiTheme="minorHAnsi" w:hAnsiTheme="minorHAnsi" w:cstheme="minorBidi"/>
              <w:sz w:val="22"/>
              <w:szCs w:val="22"/>
            </w:rPr>
          </w:pPr>
          <w:hyperlink w:anchor="_Toc326072144" w:history="1">
            <w:r w:rsidR="00987D49" w:rsidRPr="00622787">
              <w:rPr>
                <w:rStyle w:val="Hyperlink"/>
              </w:rPr>
              <w:t>9.1.2</w:t>
            </w:r>
            <w:r w:rsidR="00987D49">
              <w:rPr>
                <w:rFonts w:asciiTheme="minorHAnsi" w:hAnsiTheme="minorHAnsi" w:cstheme="minorBidi"/>
                <w:sz w:val="22"/>
                <w:szCs w:val="22"/>
              </w:rPr>
              <w:tab/>
              <w:t xml:space="preserve"> </w:t>
            </w:r>
            <w:r w:rsidR="00987D49" w:rsidRPr="00622787">
              <w:rPr>
                <w:rStyle w:val="Hyperlink"/>
              </w:rPr>
              <w:t>Ex Ante Load Impact Uncertainty</w:t>
            </w:r>
            <w:r w:rsidR="00987D49">
              <w:rPr>
                <w:webHidden/>
              </w:rPr>
              <w:tab/>
            </w:r>
            <w:r>
              <w:rPr>
                <w:webHidden/>
              </w:rPr>
              <w:fldChar w:fldCharType="begin"/>
            </w:r>
            <w:r w:rsidR="00987D49">
              <w:rPr>
                <w:webHidden/>
              </w:rPr>
              <w:instrText xml:space="preserve"> PAGEREF _Toc326072144 \h </w:instrText>
            </w:r>
            <w:r>
              <w:rPr>
                <w:webHidden/>
              </w:rPr>
            </w:r>
            <w:r>
              <w:rPr>
                <w:webHidden/>
              </w:rPr>
              <w:fldChar w:fldCharType="separate"/>
            </w:r>
            <w:r w:rsidR="00987D49">
              <w:rPr>
                <w:webHidden/>
              </w:rPr>
              <w:t>74</w:t>
            </w:r>
            <w:r>
              <w:rPr>
                <w:webHidden/>
              </w:rPr>
              <w:fldChar w:fldCharType="end"/>
            </w:r>
          </w:hyperlink>
        </w:p>
        <w:p w:rsidR="00987D49" w:rsidRDefault="00A73155">
          <w:pPr>
            <w:pStyle w:val="TOC2"/>
            <w:rPr>
              <w:rFonts w:asciiTheme="minorHAnsi" w:hAnsiTheme="minorHAnsi" w:cstheme="minorBidi"/>
              <w:sz w:val="22"/>
              <w:szCs w:val="22"/>
            </w:rPr>
          </w:pPr>
          <w:hyperlink w:anchor="_Toc326072145" w:history="1">
            <w:r w:rsidR="00987D49" w:rsidRPr="00622787">
              <w:rPr>
                <w:rStyle w:val="Hyperlink"/>
                <w:rFonts w:cs="Calibri"/>
              </w:rPr>
              <w:t>9.2</w:t>
            </w:r>
            <w:r w:rsidR="00987D49">
              <w:rPr>
                <w:rFonts w:asciiTheme="minorHAnsi" w:hAnsiTheme="minorHAnsi" w:cstheme="minorBidi"/>
                <w:sz w:val="22"/>
                <w:szCs w:val="22"/>
              </w:rPr>
              <w:tab/>
            </w:r>
            <w:r w:rsidR="00987D49" w:rsidRPr="00622787">
              <w:rPr>
                <w:rStyle w:val="Hyperlink"/>
              </w:rPr>
              <w:t>Medium C&amp;I Ex Ante Impacts</w:t>
            </w:r>
            <w:r w:rsidR="00987D49">
              <w:rPr>
                <w:webHidden/>
              </w:rPr>
              <w:tab/>
            </w:r>
            <w:r>
              <w:rPr>
                <w:webHidden/>
              </w:rPr>
              <w:fldChar w:fldCharType="begin"/>
            </w:r>
            <w:r w:rsidR="00987D49">
              <w:rPr>
                <w:webHidden/>
              </w:rPr>
              <w:instrText xml:space="preserve"> PAGEREF _Toc326072145 \h </w:instrText>
            </w:r>
            <w:r>
              <w:rPr>
                <w:webHidden/>
              </w:rPr>
            </w:r>
            <w:r>
              <w:rPr>
                <w:webHidden/>
              </w:rPr>
              <w:fldChar w:fldCharType="separate"/>
            </w:r>
            <w:r w:rsidR="00987D49">
              <w:rPr>
                <w:webHidden/>
              </w:rPr>
              <w:t>75</w:t>
            </w:r>
            <w:r>
              <w:rPr>
                <w:webHidden/>
              </w:rPr>
              <w:fldChar w:fldCharType="end"/>
            </w:r>
          </w:hyperlink>
        </w:p>
        <w:p w:rsidR="00987D49" w:rsidRDefault="00A73155">
          <w:pPr>
            <w:pStyle w:val="TOC3"/>
            <w:rPr>
              <w:rFonts w:asciiTheme="minorHAnsi" w:hAnsiTheme="minorHAnsi" w:cstheme="minorBidi"/>
              <w:sz w:val="22"/>
              <w:szCs w:val="22"/>
            </w:rPr>
          </w:pPr>
          <w:hyperlink w:anchor="_Toc326072146" w:history="1">
            <w:r w:rsidR="00987D49" w:rsidRPr="00622787">
              <w:rPr>
                <w:rStyle w:val="Hyperlink"/>
                <w:rFonts w:cs="Calibri"/>
              </w:rPr>
              <w:t>9.2.1</w:t>
            </w:r>
            <w:r w:rsidR="00987D49">
              <w:rPr>
                <w:rFonts w:asciiTheme="minorHAnsi" w:hAnsiTheme="minorHAnsi" w:cstheme="minorBidi"/>
                <w:sz w:val="22"/>
                <w:szCs w:val="22"/>
              </w:rPr>
              <w:tab/>
              <w:t xml:space="preserve"> </w:t>
            </w:r>
            <w:r w:rsidR="00987D49" w:rsidRPr="00622787">
              <w:rPr>
                <w:rStyle w:val="Hyperlink"/>
              </w:rPr>
              <w:t>Annual System Peak Day Impacts</w:t>
            </w:r>
            <w:r w:rsidR="00987D49">
              <w:rPr>
                <w:webHidden/>
              </w:rPr>
              <w:tab/>
            </w:r>
            <w:r>
              <w:rPr>
                <w:webHidden/>
              </w:rPr>
              <w:fldChar w:fldCharType="begin"/>
            </w:r>
            <w:r w:rsidR="00987D49">
              <w:rPr>
                <w:webHidden/>
              </w:rPr>
              <w:instrText xml:space="preserve"> PAGEREF _Toc326072146 \h </w:instrText>
            </w:r>
            <w:r>
              <w:rPr>
                <w:webHidden/>
              </w:rPr>
            </w:r>
            <w:r>
              <w:rPr>
                <w:webHidden/>
              </w:rPr>
              <w:fldChar w:fldCharType="separate"/>
            </w:r>
            <w:r w:rsidR="00987D49">
              <w:rPr>
                <w:webHidden/>
              </w:rPr>
              <w:t>76</w:t>
            </w:r>
            <w:r>
              <w:rPr>
                <w:webHidden/>
              </w:rPr>
              <w:fldChar w:fldCharType="end"/>
            </w:r>
          </w:hyperlink>
        </w:p>
        <w:p w:rsidR="00987D49" w:rsidRDefault="00A73155">
          <w:pPr>
            <w:pStyle w:val="TOC3"/>
            <w:rPr>
              <w:rFonts w:asciiTheme="minorHAnsi" w:hAnsiTheme="minorHAnsi" w:cstheme="minorBidi"/>
              <w:sz w:val="22"/>
              <w:szCs w:val="22"/>
            </w:rPr>
          </w:pPr>
          <w:hyperlink w:anchor="_Toc326072147" w:history="1">
            <w:r w:rsidR="00987D49" w:rsidRPr="00622787">
              <w:rPr>
                <w:rStyle w:val="Hyperlink"/>
              </w:rPr>
              <w:t>9.2.2</w:t>
            </w:r>
            <w:r w:rsidR="00987D49">
              <w:rPr>
                <w:rStyle w:val="Hyperlink"/>
              </w:rPr>
              <w:t xml:space="preserve"> </w:t>
            </w:r>
            <w:r w:rsidR="00987D49" w:rsidRPr="00622787">
              <w:rPr>
                <w:rStyle w:val="Hyperlink"/>
              </w:rPr>
              <w:t>Ex Ante Load Impact Uncertainty</w:t>
            </w:r>
            <w:r w:rsidR="00987D49">
              <w:rPr>
                <w:webHidden/>
              </w:rPr>
              <w:tab/>
            </w:r>
            <w:r>
              <w:rPr>
                <w:webHidden/>
              </w:rPr>
              <w:fldChar w:fldCharType="begin"/>
            </w:r>
            <w:r w:rsidR="00987D49">
              <w:rPr>
                <w:webHidden/>
              </w:rPr>
              <w:instrText xml:space="preserve"> PAGEREF _Toc326072147 \h </w:instrText>
            </w:r>
            <w:r>
              <w:rPr>
                <w:webHidden/>
              </w:rPr>
            </w:r>
            <w:r>
              <w:rPr>
                <w:webHidden/>
              </w:rPr>
              <w:fldChar w:fldCharType="separate"/>
            </w:r>
            <w:r w:rsidR="00987D49">
              <w:rPr>
                <w:webHidden/>
              </w:rPr>
              <w:t>77</w:t>
            </w:r>
            <w:r>
              <w:rPr>
                <w:webHidden/>
              </w:rPr>
              <w:fldChar w:fldCharType="end"/>
            </w:r>
          </w:hyperlink>
        </w:p>
        <w:p w:rsidR="00987D49" w:rsidRDefault="00A73155">
          <w:pPr>
            <w:pStyle w:val="TOC1"/>
            <w:rPr>
              <w:rFonts w:asciiTheme="minorHAnsi" w:hAnsiTheme="minorHAnsi" w:cstheme="minorBidi"/>
              <w:sz w:val="22"/>
              <w:szCs w:val="22"/>
            </w:rPr>
          </w:pPr>
          <w:hyperlink w:anchor="_Toc326072148" w:history="1">
            <w:r w:rsidR="00987D49" w:rsidRPr="00622787">
              <w:rPr>
                <w:rStyle w:val="Hyperlink"/>
              </w:rPr>
              <w:t>10</w:t>
            </w:r>
            <w:r w:rsidR="00987D49">
              <w:rPr>
                <w:rStyle w:val="Hyperlink"/>
              </w:rPr>
              <w:t xml:space="preserve">  </w:t>
            </w:r>
            <w:r w:rsidR="00987D49" w:rsidRPr="00622787">
              <w:rPr>
                <w:rStyle w:val="Hyperlink"/>
              </w:rPr>
              <w:t>Recommendations</w:t>
            </w:r>
            <w:r w:rsidR="00987D49">
              <w:rPr>
                <w:webHidden/>
              </w:rPr>
              <w:tab/>
            </w:r>
            <w:r>
              <w:rPr>
                <w:webHidden/>
              </w:rPr>
              <w:fldChar w:fldCharType="begin"/>
            </w:r>
            <w:r w:rsidR="00987D49">
              <w:rPr>
                <w:webHidden/>
              </w:rPr>
              <w:instrText xml:space="preserve"> PAGEREF _Toc326072148 \h </w:instrText>
            </w:r>
            <w:r>
              <w:rPr>
                <w:webHidden/>
              </w:rPr>
            </w:r>
            <w:r>
              <w:rPr>
                <w:webHidden/>
              </w:rPr>
              <w:fldChar w:fldCharType="separate"/>
            </w:r>
            <w:r w:rsidR="00987D49">
              <w:rPr>
                <w:webHidden/>
              </w:rPr>
              <w:t>79</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49" w:history="1">
            <w:r w:rsidR="00987D49" w:rsidRPr="00622787">
              <w:rPr>
                <w:rStyle w:val="Hyperlink"/>
                <w:snapToGrid w:val="0"/>
                <w:w w:val="0"/>
              </w:rPr>
              <w:t>Appendix A.</w:t>
            </w:r>
            <w:r w:rsidR="00987D49">
              <w:rPr>
                <w:rFonts w:asciiTheme="minorHAnsi" w:hAnsiTheme="minorHAnsi" w:cstheme="minorBidi"/>
                <w:sz w:val="22"/>
                <w:szCs w:val="22"/>
              </w:rPr>
              <w:tab/>
            </w:r>
            <w:r w:rsidR="00987D49" w:rsidRPr="00622787">
              <w:rPr>
                <w:rStyle w:val="Hyperlink"/>
              </w:rPr>
              <w:t>Validity Assessments</w:t>
            </w:r>
            <w:r w:rsidR="00987D49">
              <w:rPr>
                <w:webHidden/>
              </w:rPr>
              <w:tab/>
            </w:r>
            <w:r>
              <w:rPr>
                <w:webHidden/>
              </w:rPr>
              <w:fldChar w:fldCharType="begin"/>
            </w:r>
            <w:r w:rsidR="00987D49">
              <w:rPr>
                <w:webHidden/>
              </w:rPr>
              <w:instrText xml:space="preserve"> PAGEREF _Toc326072149 \h </w:instrText>
            </w:r>
            <w:r>
              <w:rPr>
                <w:webHidden/>
              </w:rPr>
            </w:r>
            <w:r>
              <w:rPr>
                <w:webHidden/>
              </w:rPr>
              <w:fldChar w:fldCharType="separate"/>
            </w:r>
            <w:r w:rsidR="00987D49">
              <w:rPr>
                <w:webHidden/>
              </w:rPr>
              <w:t>80</w:t>
            </w:r>
            <w:r>
              <w:rPr>
                <w:webHidden/>
              </w:rPr>
              <w:fldChar w:fldCharType="end"/>
            </w:r>
          </w:hyperlink>
        </w:p>
        <w:p w:rsidR="00987D49" w:rsidRDefault="00A73155">
          <w:pPr>
            <w:pStyle w:val="TOC3"/>
            <w:rPr>
              <w:rFonts w:asciiTheme="minorHAnsi" w:hAnsiTheme="minorHAnsi" w:cstheme="minorBidi"/>
              <w:sz w:val="22"/>
              <w:szCs w:val="22"/>
            </w:rPr>
          </w:pPr>
          <w:hyperlink w:anchor="_Toc326072150" w:history="1">
            <w:r w:rsidR="00987D49" w:rsidRPr="00622787">
              <w:rPr>
                <w:rStyle w:val="Hyperlink"/>
                <w:snapToGrid w:val="0"/>
                <w:w w:val="0"/>
              </w:rPr>
              <w:t>A.1.</w:t>
            </w:r>
            <w:r w:rsidR="00987D49">
              <w:rPr>
                <w:rFonts w:asciiTheme="minorHAnsi" w:hAnsiTheme="minorHAnsi" w:cstheme="minorBidi"/>
                <w:sz w:val="22"/>
                <w:szCs w:val="22"/>
              </w:rPr>
              <w:tab/>
            </w:r>
            <w:r w:rsidR="00987D49" w:rsidRPr="00622787">
              <w:rPr>
                <w:rStyle w:val="Hyperlink"/>
              </w:rPr>
              <w:t>Out-of-sample Testing</w:t>
            </w:r>
            <w:r w:rsidR="00987D49">
              <w:rPr>
                <w:webHidden/>
              </w:rPr>
              <w:tab/>
            </w:r>
            <w:r>
              <w:rPr>
                <w:webHidden/>
              </w:rPr>
              <w:fldChar w:fldCharType="begin"/>
            </w:r>
            <w:r w:rsidR="00987D49">
              <w:rPr>
                <w:webHidden/>
              </w:rPr>
              <w:instrText xml:space="preserve"> PAGEREF _Toc326072150 \h </w:instrText>
            </w:r>
            <w:r>
              <w:rPr>
                <w:webHidden/>
              </w:rPr>
            </w:r>
            <w:r>
              <w:rPr>
                <w:webHidden/>
              </w:rPr>
              <w:fldChar w:fldCharType="separate"/>
            </w:r>
            <w:r w:rsidR="00987D49">
              <w:rPr>
                <w:webHidden/>
              </w:rPr>
              <w:t>80</w:t>
            </w:r>
            <w:r>
              <w:rPr>
                <w:webHidden/>
              </w:rPr>
              <w:fldChar w:fldCharType="end"/>
            </w:r>
          </w:hyperlink>
        </w:p>
        <w:p w:rsidR="00987D49" w:rsidRDefault="00A73155">
          <w:pPr>
            <w:pStyle w:val="TOC3"/>
            <w:rPr>
              <w:rFonts w:asciiTheme="minorHAnsi" w:hAnsiTheme="minorHAnsi" w:cstheme="minorBidi"/>
              <w:sz w:val="22"/>
              <w:szCs w:val="22"/>
            </w:rPr>
          </w:pPr>
          <w:hyperlink w:anchor="_Toc326072151" w:history="1">
            <w:r w:rsidR="00987D49" w:rsidRPr="00622787">
              <w:rPr>
                <w:rStyle w:val="Hyperlink"/>
                <w:snapToGrid w:val="0"/>
                <w:w w:val="0"/>
              </w:rPr>
              <w:t>A.2.</w:t>
            </w:r>
            <w:r w:rsidR="00987D49">
              <w:rPr>
                <w:rFonts w:asciiTheme="minorHAnsi" w:hAnsiTheme="minorHAnsi" w:cstheme="minorBidi"/>
                <w:sz w:val="22"/>
                <w:szCs w:val="22"/>
              </w:rPr>
              <w:tab/>
            </w:r>
            <w:r w:rsidR="00987D49" w:rsidRPr="00622787">
              <w:rPr>
                <w:rStyle w:val="Hyperlink"/>
              </w:rPr>
              <w:t>False Event Coefficient Tests</w:t>
            </w:r>
            <w:r w:rsidR="00987D49">
              <w:rPr>
                <w:webHidden/>
              </w:rPr>
              <w:tab/>
            </w:r>
            <w:r>
              <w:rPr>
                <w:webHidden/>
              </w:rPr>
              <w:fldChar w:fldCharType="begin"/>
            </w:r>
            <w:r w:rsidR="00987D49">
              <w:rPr>
                <w:webHidden/>
              </w:rPr>
              <w:instrText xml:space="preserve"> PAGEREF _Toc326072151 \h </w:instrText>
            </w:r>
            <w:r>
              <w:rPr>
                <w:webHidden/>
              </w:rPr>
            </w:r>
            <w:r>
              <w:rPr>
                <w:webHidden/>
              </w:rPr>
              <w:fldChar w:fldCharType="separate"/>
            </w:r>
            <w:r w:rsidR="00987D49">
              <w:rPr>
                <w:webHidden/>
              </w:rPr>
              <w:t>80</w:t>
            </w:r>
            <w:r>
              <w:rPr>
                <w:webHidden/>
              </w:rPr>
              <w:fldChar w:fldCharType="end"/>
            </w:r>
          </w:hyperlink>
        </w:p>
        <w:p w:rsidR="00987D49" w:rsidRDefault="00A73155">
          <w:pPr>
            <w:pStyle w:val="TOC3"/>
            <w:rPr>
              <w:rFonts w:asciiTheme="minorHAnsi" w:hAnsiTheme="minorHAnsi" w:cstheme="minorBidi"/>
              <w:sz w:val="22"/>
              <w:szCs w:val="22"/>
            </w:rPr>
          </w:pPr>
          <w:hyperlink w:anchor="_Toc326072152" w:history="1">
            <w:r w:rsidR="00987D49" w:rsidRPr="00622787">
              <w:rPr>
                <w:rStyle w:val="Hyperlink"/>
                <w:snapToGrid w:val="0"/>
                <w:w w:val="0"/>
              </w:rPr>
              <w:t>A.3.</w:t>
            </w:r>
            <w:r w:rsidR="00987D49">
              <w:rPr>
                <w:rFonts w:asciiTheme="minorHAnsi" w:hAnsiTheme="minorHAnsi" w:cstheme="minorBidi"/>
                <w:sz w:val="22"/>
                <w:szCs w:val="22"/>
              </w:rPr>
              <w:tab/>
            </w:r>
            <w:r w:rsidR="00987D49" w:rsidRPr="00622787">
              <w:rPr>
                <w:rStyle w:val="Hyperlink"/>
              </w:rPr>
              <w:t>Control Group Analysis</w:t>
            </w:r>
            <w:r w:rsidR="00987D49">
              <w:rPr>
                <w:webHidden/>
              </w:rPr>
              <w:tab/>
            </w:r>
            <w:r>
              <w:rPr>
                <w:webHidden/>
              </w:rPr>
              <w:fldChar w:fldCharType="begin"/>
            </w:r>
            <w:r w:rsidR="00987D49">
              <w:rPr>
                <w:webHidden/>
              </w:rPr>
              <w:instrText xml:space="preserve"> PAGEREF _Toc326072152 \h </w:instrText>
            </w:r>
            <w:r>
              <w:rPr>
                <w:webHidden/>
              </w:rPr>
            </w:r>
            <w:r>
              <w:rPr>
                <w:webHidden/>
              </w:rPr>
              <w:fldChar w:fldCharType="separate"/>
            </w:r>
            <w:r w:rsidR="00987D49">
              <w:rPr>
                <w:webHidden/>
              </w:rPr>
              <w:t>81</w:t>
            </w:r>
            <w:r>
              <w:rPr>
                <w:webHidden/>
              </w:rPr>
              <w:fldChar w:fldCharType="end"/>
            </w:r>
          </w:hyperlink>
        </w:p>
        <w:p w:rsidR="00987D49" w:rsidRDefault="00A73155">
          <w:pPr>
            <w:pStyle w:val="TOC3"/>
            <w:rPr>
              <w:rFonts w:asciiTheme="minorHAnsi" w:hAnsiTheme="minorHAnsi" w:cstheme="minorBidi"/>
              <w:sz w:val="22"/>
              <w:szCs w:val="22"/>
            </w:rPr>
          </w:pPr>
          <w:hyperlink w:anchor="_Toc326072153" w:history="1">
            <w:r w:rsidR="00987D49" w:rsidRPr="00622787">
              <w:rPr>
                <w:rStyle w:val="Hyperlink"/>
                <w:snapToGrid w:val="0"/>
                <w:w w:val="0"/>
              </w:rPr>
              <w:t>A.4.</w:t>
            </w:r>
            <w:r w:rsidR="00987D49">
              <w:rPr>
                <w:rFonts w:asciiTheme="minorHAnsi" w:hAnsiTheme="minorHAnsi" w:cstheme="minorBidi"/>
                <w:sz w:val="22"/>
                <w:szCs w:val="22"/>
              </w:rPr>
              <w:tab/>
            </w:r>
            <w:r w:rsidR="00987D49" w:rsidRPr="00622787">
              <w:rPr>
                <w:rStyle w:val="Hyperlink"/>
              </w:rPr>
              <w:t>In-sample Precision and Goodness-of-fit Measures</w:t>
            </w:r>
            <w:r w:rsidR="00987D49">
              <w:rPr>
                <w:webHidden/>
              </w:rPr>
              <w:tab/>
            </w:r>
            <w:r>
              <w:rPr>
                <w:webHidden/>
              </w:rPr>
              <w:fldChar w:fldCharType="begin"/>
            </w:r>
            <w:r w:rsidR="00987D49">
              <w:rPr>
                <w:webHidden/>
              </w:rPr>
              <w:instrText xml:space="preserve"> PAGEREF _Toc326072153 \h </w:instrText>
            </w:r>
            <w:r>
              <w:rPr>
                <w:webHidden/>
              </w:rPr>
            </w:r>
            <w:r>
              <w:rPr>
                <w:webHidden/>
              </w:rPr>
              <w:fldChar w:fldCharType="separate"/>
            </w:r>
            <w:r w:rsidR="00987D49">
              <w:rPr>
                <w:webHidden/>
              </w:rPr>
              <w:t>82</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54" w:history="1">
            <w:r w:rsidR="00987D49" w:rsidRPr="00622787">
              <w:rPr>
                <w:rStyle w:val="Hyperlink"/>
                <w:snapToGrid w:val="0"/>
                <w:w w:val="0"/>
              </w:rPr>
              <w:t>Appendix B.</w:t>
            </w:r>
            <w:r w:rsidR="00987D49">
              <w:rPr>
                <w:rFonts w:asciiTheme="minorHAnsi" w:hAnsiTheme="minorHAnsi" w:cstheme="minorBidi"/>
                <w:sz w:val="22"/>
                <w:szCs w:val="22"/>
              </w:rPr>
              <w:tab/>
            </w:r>
            <w:r w:rsidR="00987D49" w:rsidRPr="00622787">
              <w:rPr>
                <w:rStyle w:val="Hyperlink"/>
              </w:rPr>
              <w:t>PG&amp;E Validity Assessment</w:t>
            </w:r>
            <w:r w:rsidR="00987D49">
              <w:rPr>
                <w:webHidden/>
              </w:rPr>
              <w:tab/>
            </w:r>
            <w:r>
              <w:rPr>
                <w:webHidden/>
              </w:rPr>
              <w:fldChar w:fldCharType="begin"/>
            </w:r>
            <w:r w:rsidR="00987D49">
              <w:rPr>
                <w:webHidden/>
              </w:rPr>
              <w:instrText xml:space="preserve"> PAGEREF _Toc326072154 \h </w:instrText>
            </w:r>
            <w:r>
              <w:rPr>
                <w:webHidden/>
              </w:rPr>
            </w:r>
            <w:r>
              <w:rPr>
                <w:webHidden/>
              </w:rPr>
              <w:fldChar w:fldCharType="separate"/>
            </w:r>
            <w:r w:rsidR="00987D49">
              <w:rPr>
                <w:webHidden/>
              </w:rPr>
              <w:t>84</w:t>
            </w:r>
            <w:r>
              <w:rPr>
                <w:webHidden/>
              </w:rPr>
              <w:fldChar w:fldCharType="end"/>
            </w:r>
          </w:hyperlink>
        </w:p>
        <w:p w:rsidR="00987D49" w:rsidRDefault="00A73155">
          <w:pPr>
            <w:pStyle w:val="TOC3"/>
            <w:rPr>
              <w:rFonts w:asciiTheme="minorHAnsi" w:hAnsiTheme="minorHAnsi" w:cstheme="minorBidi"/>
              <w:sz w:val="22"/>
              <w:szCs w:val="22"/>
            </w:rPr>
          </w:pPr>
          <w:hyperlink w:anchor="_Toc326072155" w:history="1">
            <w:r w:rsidR="00987D49" w:rsidRPr="00622787">
              <w:rPr>
                <w:rStyle w:val="Hyperlink"/>
                <w:snapToGrid w:val="0"/>
                <w:w w:val="0"/>
              </w:rPr>
              <w:t>B.1.</w:t>
            </w:r>
            <w:r w:rsidR="00987D49">
              <w:rPr>
                <w:rFonts w:asciiTheme="minorHAnsi" w:hAnsiTheme="minorHAnsi" w:cstheme="minorBidi"/>
                <w:sz w:val="22"/>
                <w:szCs w:val="22"/>
              </w:rPr>
              <w:tab/>
            </w:r>
            <w:r w:rsidR="00987D49" w:rsidRPr="00622787">
              <w:rPr>
                <w:rStyle w:val="Hyperlink"/>
              </w:rPr>
              <w:t>Out-of-sample Tests</w:t>
            </w:r>
            <w:r w:rsidR="00987D49">
              <w:rPr>
                <w:webHidden/>
              </w:rPr>
              <w:tab/>
            </w:r>
            <w:r>
              <w:rPr>
                <w:webHidden/>
              </w:rPr>
              <w:fldChar w:fldCharType="begin"/>
            </w:r>
            <w:r w:rsidR="00987D49">
              <w:rPr>
                <w:webHidden/>
              </w:rPr>
              <w:instrText xml:space="preserve"> PAGEREF _Toc326072155 \h </w:instrText>
            </w:r>
            <w:r>
              <w:rPr>
                <w:webHidden/>
              </w:rPr>
            </w:r>
            <w:r>
              <w:rPr>
                <w:webHidden/>
              </w:rPr>
              <w:fldChar w:fldCharType="separate"/>
            </w:r>
            <w:r w:rsidR="00987D49">
              <w:rPr>
                <w:webHidden/>
              </w:rPr>
              <w:t>84</w:t>
            </w:r>
            <w:r>
              <w:rPr>
                <w:webHidden/>
              </w:rPr>
              <w:fldChar w:fldCharType="end"/>
            </w:r>
          </w:hyperlink>
        </w:p>
        <w:p w:rsidR="00987D49" w:rsidRDefault="00A73155">
          <w:pPr>
            <w:pStyle w:val="TOC3"/>
            <w:rPr>
              <w:rFonts w:asciiTheme="minorHAnsi" w:hAnsiTheme="minorHAnsi" w:cstheme="minorBidi"/>
              <w:sz w:val="22"/>
              <w:szCs w:val="22"/>
            </w:rPr>
          </w:pPr>
          <w:hyperlink w:anchor="_Toc326072156" w:history="1">
            <w:r w:rsidR="00987D49" w:rsidRPr="00622787">
              <w:rPr>
                <w:rStyle w:val="Hyperlink"/>
                <w:snapToGrid w:val="0"/>
                <w:w w:val="0"/>
              </w:rPr>
              <w:t>B.2.</w:t>
            </w:r>
            <w:r w:rsidR="00987D49">
              <w:rPr>
                <w:rFonts w:asciiTheme="minorHAnsi" w:hAnsiTheme="minorHAnsi" w:cstheme="minorBidi"/>
                <w:sz w:val="22"/>
                <w:szCs w:val="22"/>
              </w:rPr>
              <w:tab/>
            </w:r>
            <w:r w:rsidR="00987D49" w:rsidRPr="00622787">
              <w:rPr>
                <w:rStyle w:val="Hyperlink"/>
              </w:rPr>
              <w:t>False Event Coefficient Tests</w:t>
            </w:r>
            <w:r w:rsidR="00987D49">
              <w:rPr>
                <w:webHidden/>
              </w:rPr>
              <w:tab/>
            </w:r>
            <w:r>
              <w:rPr>
                <w:webHidden/>
              </w:rPr>
              <w:fldChar w:fldCharType="begin"/>
            </w:r>
            <w:r w:rsidR="00987D49">
              <w:rPr>
                <w:webHidden/>
              </w:rPr>
              <w:instrText xml:space="preserve"> PAGEREF _Toc326072156 \h </w:instrText>
            </w:r>
            <w:r>
              <w:rPr>
                <w:webHidden/>
              </w:rPr>
            </w:r>
            <w:r>
              <w:rPr>
                <w:webHidden/>
              </w:rPr>
              <w:fldChar w:fldCharType="separate"/>
            </w:r>
            <w:r w:rsidR="00987D49">
              <w:rPr>
                <w:webHidden/>
              </w:rPr>
              <w:t>85</w:t>
            </w:r>
            <w:r>
              <w:rPr>
                <w:webHidden/>
              </w:rPr>
              <w:fldChar w:fldCharType="end"/>
            </w:r>
          </w:hyperlink>
        </w:p>
        <w:p w:rsidR="00987D49" w:rsidRDefault="00A73155">
          <w:pPr>
            <w:pStyle w:val="TOC3"/>
            <w:rPr>
              <w:rFonts w:asciiTheme="minorHAnsi" w:hAnsiTheme="minorHAnsi" w:cstheme="minorBidi"/>
              <w:sz w:val="22"/>
              <w:szCs w:val="22"/>
            </w:rPr>
          </w:pPr>
          <w:hyperlink w:anchor="_Toc326072157" w:history="1">
            <w:r w:rsidR="00987D49" w:rsidRPr="00622787">
              <w:rPr>
                <w:rStyle w:val="Hyperlink"/>
                <w:snapToGrid w:val="0"/>
                <w:w w:val="0"/>
              </w:rPr>
              <w:t>B.3.</w:t>
            </w:r>
            <w:r w:rsidR="00987D49">
              <w:rPr>
                <w:rFonts w:asciiTheme="minorHAnsi" w:hAnsiTheme="minorHAnsi" w:cstheme="minorBidi"/>
                <w:sz w:val="22"/>
                <w:szCs w:val="22"/>
              </w:rPr>
              <w:tab/>
            </w:r>
            <w:r w:rsidR="00987D49" w:rsidRPr="00622787">
              <w:rPr>
                <w:rStyle w:val="Hyperlink"/>
              </w:rPr>
              <w:t>Control Group Analysis</w:t>
            </w:r>
            <w:r w:rsidR="00987D49">
              <w:rPr>
                <w:webHidden/>
              </w:rPr>
              <w:tab/>
            </w:r>
            <w:r>
              <w:rPr>
                <w:webHidden/>
              </w:rPr>
              <w:fldChar w:fldCharType="begin"/>
            </w:r>
            <w:r w:rsidR="00987D49">
              <w:rPr>
                <w:webHidden/>
              </w:rPr>
              <w:instrText xml:space="preserve"> PAGEREF _Toc326072157 \h </w:instrText>
            </w:r>
            <w:r>
              <w:rPr>
                <w:webHidden/>
              </w:rPr>
            </w:r>
            <w:r>
              <w:rPr>
                <w:webHidden/>
              </w:rPr>
              <w:fldChar w:fldCharType="separate"/>
            </w:r>
            <w:r w:rsidR="00987D49">
              <w:rPr>
                <w:webHidden/>
              </w:rPr>
              <w:t>86</w:t>
            </w:r>
            <w:r>
              <w:rPr>
                <w:webHidden/>
              </w:rPr>
              <w:fldChar w:fldCharType="end"/>
            </w:r>
          </w:hyperlink>
        </w:p>
        <w:p w:rsidR="00987D49" w:rsidRDefault="00A73155">
          <w:pPr>
            <w:pStyle w:val="TOC3"/>
            <w:rPr>
              <w:rFonts w:asciiTheme="minorHAnsi" w:hAnsiTheme="minorHAnsi" w:cstheme="minorBidi"/>
              <w:sz w:val="22"/>
              <w:szCs w:val="22"/>
            </w:rPr>
          </w:pPr>
          <w:hyperlink w:anchor="_Toc326072158" w:history="1">
            <w:r w:rsidR="00987D49" w:rsidRPr="00622787">
              <w:rPr>
                <w:rStyle w:val="Hyperlink"/>
                <w:snapToGrid w:val="0"/>
                <w:w w:val="0"/>
              </w:rPr>
              <w:t>B.4.</w:t>
            </w:r>
            <w:r w:rsidR="00987D49">
              <w:rPr>
                <w:rFonts w:asciiTheme="minorHAnsi" w:hAnsiTheme="minorHAnsi" w:cstheme="minorBidi"/>
                <w:sz w:val="22"/>
                <w:szCs w:val="22"/>
              </w:rPr>
              <w:tab/>
            </w:r>
            <w:r w:rsidR="00987D49" w:rsidRPr="00622787">
              <w:rPr>
                <w:rStyle w:val="Hyperlink"/>
              </w:rPr>
              <w:t>In-sample Precision and Goodness-of-fit Measures</w:t>
            </w:r>
            <w:r w:rsidR="00987D49">
              <w:rPr>
                <w:webHidden/>
              </w:rPr>
              <w:tab/>
            </w:r>
            <w:r>
              <w:rPr>
                <w:webHidden/>
              </w:rPr>
              <w:fldChar w:fldCharType="begin"/>
            </w:r>
            <w:r w:rsidR="00987D49">
              <w:rPr>
                <w:webHidden/>
              </w:rPr>
              <w:instrText xml:space="preserve"> PAGEREF _Toc326072158 \h </w:instrText>
            </w:r>
            <w:r>
              <w:rPr>
                <w:webHidden/>
              </w:rPr>
            </w:r>
            <w:r>
              <w:rPr>
                <w:webHidden/>
              </w:rPr>
              <w:fldChar w:fldCharType="separate"/>
            </w:r>
            <w:r w:rsidR="00987D49">
              <w:rPr>
                <w:webHidden/>
              </w:rPr>
              <w:t>88</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59" w:history="1">
            <w:r w:rsidR="00987D49" w:rsidRPr="00622787">
              <w:rPr>
                <w:rStyle w:val="Hyperlink"/>
                <w:snapToGrid w:val="0"/>
                <w:w w:val="0"/>
              </w:rPr>
              <w:t>Appendix C.</w:t>
            </w:r>
            <w:r w:rsidR="00987D49">
              <w:rPr>
                <w:rFonts w:asciiTheme="minorHAnsi" w:hAnsiTheme="minorHAnsi" w:cstheme="minorBidi"/>
                <w:sz w:val="22"/>
                <w:szCs w:val="22"/>
              </w:rPr>
              <w:tab/>
            </w:r>
            <w:r w:rsidR="00987D49" w:rsidRPr="00622787">
              <w:rPr>
                <w:rStyle w:val="Hyperlink"/>
              </w:rPr>
              <w:t>SCE Validity Assessment</w:t>
            </w:r>
            <w:r w:rsidR="00987D49">
              <w:rPr>
                <w:webHidden/>
              </w:rPr>
              <w:tab/>
            </w:r>
            <w:r>
              <w:rPr>
                <w:webHidden/>
              </w:rPr>
              <w:fldChar w:fldCharType="begin"/>
            </w:r>
            <w:r w:rsidR="00987D49">
              <w:rPr>
                <w:webHidden/>
              </w:rPr>
              <w:instrText xml:space="preserve"> PAGEREF _Toc326072159 \h </w:instrText>
            </w:r>
            <w:r>
              <w:rPr>
                <w:webHidden/>
              </w:rPr>
            </w:r>
            <w:r>
              <w:rPr>
                <w:webHidden/>
              </w:rPr>
              <w:fldChar w:fldCharType="separate"/>
            </w:r>
            <w:r w:rsidR="00987D49">
              <w:rPr>
                <w:webHidden/>
              </w:rPr>
              <w:t>90</w:t>
            </w:r>
            <w:r>
              <w:rPr>
                <w:webHidden/>
              </w:rPr>
              <w:fldChar w:fldCharType="end"/>
            </w:r>
          </w:hyperlink>
        </w:p>
        <w:p w:rsidR="00987D49" w:rsidRDefault="00A73155">
          <w:pPr>
            <w:pStyle w:val="TOC3"/>
            <w:rPr>
              <w:rFonts w:asciiTheme="minorHAnsi" w:hAnsiTheme="minorHAnsi" w:cstheme="minorBidi"/>
              <w:sz w:val="22"/>
              <w:szCs w:val="22"/>
            </w:rPr>
          </w:pPr>
          <w:hyperlink w:anchor="_Toc326072160" w:history="1">
            <w:r w:rsidR="00987D49" w:rsidRPr="00622787">
              <w:rPr>
                <w:rStyle w:val="Hyperlink"/>
                <w:snapToGrid w:val="0"/>
                <w:w w:val="0"/>
              </w:rPr>
              <w:t>C.1.</w:t>
            </w:r>
            <w:r w:rsidR="00987D49">
              <w:rPr>
                <w:rFonts w:asciiTheme="minorHAnsi" w:hAnsiTheme="minorHAnsi" w:cstheme="minorBidi"/>
                <w:sz w:val="22"/>
                <w:szCs w:val="22"/>
              </w:rPr>
              <w:tab/>
            </w:r>
            <w:r w:rsidR="00987D49" w:rsidRPr="00622787">
              <w:rPr>
                <w:rStyle w:val="Hyperlink"/>
              </w:rPr>
              <w:t>Out-of-sample Tests</w:t>
            </w:r>
            <w:r w:rsidR="00987D49">
              <w:rPr>
                <w:webHidden/>
              </w:rPr>
              <w:tab/>
            </w:r>
            <w:r>
              <w:rPr>
                <w:webHidden/>
              </w:rPr>
              <w:fldChar w:fldCharType="begin"/>
            </w:r>
            <w:r w:rsidR="00987D49">
              <w:rPr>
                <w:webHidden/>
              </w:rPr>
              <w:instrText xml:space="preserve"> PAGEREF _Toc326072160 \h </w:instrText>
            </w:r>
            <w:r>
              <w:rPr>
                <w:webHidden/>
              </w:rPr>
            </w:r>
            <w:r>
              <w:rPr>
                <w:webHidden/>
              </w:rPr>
              <w:fldChar w:fldCharType="separate"/>
            </w:r>
            <w:r w:rsidR="00987D49">
              <w:rPr>
                <w:webHidden/>
              </w:rPr>
              <w:t>90</w:t>
            </w:r>
            <w:r>
              <w:rPr>
                <w:webHidden/>
              </w:rPr>
              <w:fldChar w:fldCharType="end"/>
            </w:r>
          </w:hyperlink>
        </w:p>
        <w:p w:rsidR="00987D49" w:rsidRDefault="00A73155">
          <w:pPr>
            <w:pStyle w:val="TOC3"/>
            <w:rPr>
              <w:rFonts w:asciiTheme="minorHAnsi" w:hAnsiTheme="minorHAnsi" w:cstheme="minorBidi"/>
              <w:sz w:val="22"/>
              <w:szCs w:val="22"/>
            </w:rPr>
          </w:pPr>
          <w:hyperlink w:anchor="_Toc326072161" w:history="1">
            <w:r w:rsidR="00987D49" w:rsidRPr="00622787">
              <w:rPr>
                <w:rStyle w:val="Hyperlink"/>
                <w:snapToGrid w:val="0"/>
                <w:w w:val="0"/>
              </w:rPr>
              <w:t>C.2.</w:t>
            </w:r>
            <w:r w:rsidR="00987D49">
              <w:rPr>
                <w:rFonts w:asciiTheme="minorHAnsi" w:hAnsiTheme="minorHAnsi" w:cstheme="minorBidi"/>
                <w:sz w:val="22"/>
                <w:szCs w:val="22"/>
              </w:rPr>
              <w:tab/>
            </w:r>
            <w:r w:rsidR="00987D49" w:rsidRPr="00622787">
              <w:rPr>
                <w:rStyle w:val="Hyperlink"/>
              </w:rPr>
              <w:t>False Event Coefficient Tests</w:t>
            </w:r>
            <w:r w:rsidR="00987D49">
              <w:rPr>
                <w:webHidden/>
              </w:rPr>
              <w:tab/>
            </w:r>
            <w:r>
              <w:rPr>
                <w:webHidden/>
              </w:rPr>
              <w:fldChar w:fldCharType="begin"/>
            </w:r>
            <w:r w:rsidR="00987D49">
              <w:rPr>
                <w:webHidden/>
              </w:rPr>
              <w:instrText xml:space="preserve"> PAGEREF _Toc326072161 \h </w:instrText>
            </w:r>
            <w:r>
              <w:rPr>
                <w:webHidden/>
              </w:rPr>
            </w:r>
            <w:r>
              <w:rPr>
                <w:webHidden/>
              </w:rPr>
              <w:fldChar w:fldCharType="separate"/>
            </w:r>
            <w:r w:rsidR="00987D49">
              <w:rPr>
                <w:webHidden/>
              </w:rPr>
              <w:t>91</w:t>
            </w:r>
            <w:r>
              <w:rPr>
                <w:webHidden/>
              </w:rPr>
              <w:fldChar w:fldCharType="end"/>
            </w:r>
          </w:hyperlink>
        </w:p>
        <w:p w:rsidR="00987D49" w:rsidRDefault="00A73155">
          <w:pPr>
            <w:pStyle w:val="TOC3"/>
            <w:rPr>
              <w:rFonts w:asciiTheme="minorHAnsi" w:hAnsiTheme="minorHAnsi" w:cstheme="minorBidi"/>
              <w:sz w:val="22"/>
              <w:szCs w:val="22"/>
            </w:rPr>
          </w:pPr>
          <w:hyperlink w:anchor="_Toc326072162" w:history="1">
            <w:r w:rsidR="00987D49" w:rsidRPr="00622787">
              <w:rPr>
                <w:rStyle w:val="Hyperlink"/>
                <w:snapToGrid w:val="0"/>
                <w:w w:val="0"/>
              </w:rPr>
              <w:t>C.3.</w:t>
            </w:r>
            <w:r w:rsidR="00987D49">
              <w:rPr>
                <w:rFonts w:asciiTheme="minorHAnsi" w:hAnsiTheme="minorHAnsi" w:cstheme="minorBidi"/>
                <w:sz w:val="22"/>
                <w:szCs w:val="22"/>
              </w:rPr>
              <w:tab/>
            </w:r>
            <w:r w:rsidR="00987D49" w:rsidRPr="00622787">
              <w:rPr>
                <w:rStyle w:val="Hyperlink"/>
              </w:rPr>
              <w:t>Control Group Analysis</w:t>
            </w:r>
            <w:r w:rsidR="00987D49">
              <w:rPr>
                <w:webHidden/>
              </w:rPr>
              <w:tab/>
            </w:r>
            <w:r>
              <w:rPr>
                <w:webHidden/>
              </w:rPr>
              <w:fldChar w:fldCharType="begin"/>
            </w:r>
            <w:r w:rsidR="00987D49">
              <w:rPr>
                <w:webHidden/>
              </w:rPr>
              <w:instrText xml:space="preserve"> PAGEREF _Toc326072162 \h </w:instrText>
            </w:r>
            <w:r>
              <w:rPr>
                <w:webHidden/>
              </w:rPr>
            </w:r>
            <w:r>
              <w:rPr>
                <w:webHidden/>
              </w:rPr>
              <w:fldChar w:fldCharType="separate"/>
            </w:r>
            <w:r w:rsidR="00987D49">
              <w:rPr>
                <w:webHidden/>
              </w:rPr>
              <w:t>92</w:t>
            </w:r>
            <w:r>
              <w:rPr>
                <w:webHidden/>
              </w:rPr>
              <w:fldChar w:fldCharType="end"/>
            </w:r>
          </w:hyperlink>
        </w:p>
        <w:p w:rsidR="00987D49" w:rsidRDefault="00A73155">
          <w:pPr>
            <w:pStyle w:val="TOC3"/>
            <w:rPr>
              <w:rFonts w:asciiTheme="minorHAnsi" w:hAnsiTheme="minorHAnsi" w:cstheme="minorBidi"/>
              <w:sz w:val="22"/>
              <w:szCs w:val="22"/>
            </w:rPr>
          </w:pPr>
          <w:hyperlink w:anchor="_Toc326072163" w:history="1">
            <w:r w:rsidR="00987D49" w:rsidRPr="00622787">
              <w:rPr>
                <w:rStyle w:val="Hyperlink"/>
                <w:snapToGrid w:val="0"/>
                <w:w w:val="0"/>
              </w:rPr>
              <w:t>C.4.</w:t>
            </w:r>
            <w:r w:rsidR="00987D49">
              <w:rPr>
                <w:rFonts w:asciiTheme="minorHAnsi" w:hAnsiTheme="minorHAnsi" w:cstheme="minorBidi"/>
                <w:sz w:val="22"/>
                <w:szCs w:val="22"/>
              </w:rPr>
              <w:tab/>
            </w:r>
            <w:r w:rsidR="00987D49" w:rsidRPr="00622787">
              <w:rPr>
                <w:rStyle w:val="Hyperlink"/>
              </w:rPr>
              <w:t>In-sample Precision and Goodness-of-fit Measures</w:t>
            </w:r>
            <w:r w:rsidR="00987D49">
              <w:rPr>
                <w:webHidden/>
              </w:rPr>
              <w:tab/>
            </w:r>
            <w:r>
              <w:rPr>
                <w:webHidden/>
              </w:rPr>
              <w:fldChar w:fldCharType="begin"/>
            </w:r>
            <w:r w:rsidR="00987D49">
              <w:rPr>
                <w:webHidden/>
              </w:rPr>
              <w:instrText xml:space="preserve"> PAGEREF _Toc326072163 \h </w:instrText>
            </w:r>
            <w:r>
              <w:rPr>
                <w:webHidden/>
              </w:rPr>
            </w:r>
            <w:r>
              <w:rPr>
                <w:webHidden/>
              </w:rPr>
              <w:fldChar w:fldCharType="separate"/>
            </w:r>
            <w:r w:rsidR="00987D49">
              <w:rPr>
                <w:webHidden/>
              </w:rPr>
              <w:t>94</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64" w:history="1">
            <w:r w:rsidR="00987D49" w:rsidRPr="00622787">
              <w:rPr>
                <w:rStyle w:val="Hyperlink"/>
                <w:snapToGrid w:val="0"/>
                <w:w w:val="0"/>
              </w:rPr>
              <w:t>Appendix D.</w:t>
            </w:r>
            <w:r w:rsidR="00987D49">
              <w:rPr>
                <w:rFonts w:asciiTheme="minorHAnsi" w:hAnsiTheme="minorHAnsi" w:cstheme="minorBidi"/>
                <w:sz w:val="22"/>
                <w:szCs w:val="22"/>
              </w:rPr>
              <w:tab/>
            </w:r>
            <w:r w:rsidR="00987D49" w:rsidRPr="00622787">
              <w:rPr>
                <w:rStyle w:val="Hyperlink"/>
              </w:rPr>
              <w:t>SDG&amp;E Validity Assessment</w:t>
            </w:r>
            <w:r w:rsidR="00987D49">
              <w:rPr>
                <w:webHidden/>
              </w:rPr>
              <w:tab/>
            </w:r>
            <w:r>
              <w:rPr>
                <w:webHidden/>
              </w:rPr>
              <w:fldChar w:fldCharType="begin"/>
            </w:r>
            <w:r w:rsidR="00987D49">
              <w:rPr>
                <w:webHidden/>
              </w:rPr>
              <w:instrText xml:space="preserve"> PAGEREF _Toc326072164 \h </w:instrText>
            </w:r>
            <w:r>
              <w:rPr>
                <w:webHidden/>
              </w:rPr>
            </w:r>
            <w:r>
              <w:rPr>
                <w:webHidden/>
              </w:rPr>
              <w:fldChar w:fldCharType="separate"/>
            </w:r>
            <w:r w:rsidR="00987D49">
              <w:rPr>
                <w:webHidden/>
              </w:rPr>
              <w:t>97</w:t>
            </w:r>
            <w:r>
              <w:rPr>
                <w:webHidden/>
              </w:rPr>
              <w:fldChar w:fldCharType="end"/>
            </w:r>
          </w:hyperlink>
        </w:p>
        <w:p w:rsidR="00987D49" w:rsidRDefault="00A73155">
          <w:pPr>
            <w:pStyle w:val="TOC3"/>
            <w:rPr>
              <w:rFonts w:asciiTheme="minorHAnsi" w:hAnsiTheme="minorHAnsi" w:cstheme="minorBidi"/>
              <w:sz w:val="22"/>
              <w:szCs w:val="22"/>
            </w:rPr>
          </w:pPr>
          <w:hyperlink w:anchor="_Toc326072165" w:history="1">
            <w:r w:rsidR="00987D49" w:rsidRPr="00622787">
              <w:rPr>
                <w:rStyle w:val="Hyperlink"/>
                <w:snapToGrid w:val="0"/>
                <w:w w:val="0"/>
              </w:rPr>
              <w:t>D.1.</w:t>
            </w:r>
            <w:r w:rsidR="00987D49">
              <w:rPr>
                <w:rFonts w:asciiTheme="minorHAnsi" w:hAnsiTheme="minorHAnsi" w:cstheme="minorBidi"/>
                <w:sz w:val="22"/>
                <w:szCs w:val="22"/>
              </w:rPr>
              <w:tab/>
            </w:r>
            <w:r w:rsidR="00987D49" w:rsidRPr="00622787">
              <w:rPr>
                <w:rStyle w:val="Hyperlink"/>
              </w:rPr>
              <w:t>Out-of-sample Tests</w:t>
            </w:r>
            <w:r w:rsidR="00987D49">
              <w:rPr>
                <w:webHidden/>
              </w:rPr>
              <w:tab/>
            </w:r>
            <w:r>
              <w:rPr>
                <w:webHidden/>
              </w:rPr>
              <w:fldChar w:fldCharType="begin"/>
            </w:r>
            <w:r w:rsidR="00987D49">
              <w:rPr>
                <w:webHidden/>
              </w:rPr>
              <w:instrText xml:space="preserve"> PAGEREF _Toc326072165 \h </w:instrText>
            </w:r>
            <w:r>
              <w:rPr>
                <w:webHidden/>
              </w:rPr>
            </w:r>
            <w:r>
              <w:rPr>
                <w:webHidden/>
              </w:rPr>
              <w:fldChar w:fldCharType="separate"/>
            </w:r>
            <w:r w:rsidR="00987D49">
              <w:rPr>
                <w:webHidden/>
              </w:rPr>
              <w:t>97</w:t>
            </w:r>
            <w:r>
              <w:rPr>
                <w:webHidden/>
              </w:rPr>
              <w:fldChar w:fldCharType="end"/>
            </w:r>
          </w:hyperlink>
        </w:p>
        <w:p w:rsidR="00987D49" w:rsidRDefault="00A73155">
          <w:pPr>
            <w:pStyle w:val="TOC3"/>
            <w:rPr>
              <w:rFonts w:asciiTheme="minorHAnsi" w:hAnsiTheme="minorHAnsi" w:cstheme="minorBidi"/>
              <w:sz w:val="22"/>
              <w:szCs w:val="22"/>
            </w:rPr>
          </w:pPr>
          <w:hyperlink w:anchor="_Toc326072166" w:history="1">
            <w:r w:rsidR="00987D49" w:rsidRPr="00622787">
              <w:rPr>
                <w:rStyle w:val="Hyperlink"/>
                <w:snapToGrid w:val="0"/>
                <w:w w:val="0"/>
              </w:rPr>
              <w:t>D.2.</w:t>
            </w:r>
            <w:r w:rsidR="00987D49">
              <w:rPr>
                <w:rFonts w:asciiTheme="minorHAnsi" w:hAnsiTheme="minorHAnsi" w:cstheme="minorBidi"/>
                <w:sz w:val="22"/>
                <w:szCs w:val="22"/>
              </w:rPr>
              <w:tab/>
            </w:r>
            <w:r w:rsidR="00987D49" w:rsidRPr="00622787">
              <w:rPr>
                <w:rStyle w:val="Hyperlink"/>
              </w:rPr>
              <w:t>False Event Coefficient Tests</w:t>
            </w:r>
            <w:r w:rsidR="00987D49">
              <w:rPr>
                <w:webHidden/>
              </w:rPr>
              <w:tab/>
            </w:r>
            <w:r>
              <w:rPr>
                <w:webHidden/>
              </w:rPr>
              <w:fldChar w:fldCharType="begin"/>
            </w:r>
            <w:r w:rsidR="00987D49">
              <w:rPr>
                <w:webHidden/>
              </w:rPr>
              <w:instrText xml:space="preserve"> PAGEREF _Toc326072166 \h </w:instrText>
            </w:r>
            <w:r>
              <w:rPr>
                <w:webHidden/>
              </w:rPr>
            </w:r>
            <w:r>
              <w:rPr>
                <w:webHidden/>
              </w:rPr>
              <w:fldChar w:fldCharType="separate"/>
            </w:r>
            <w:r w:rsidR="00987D49">
              <w:rPr>
                <w:webHidden/>
              </w:rPr>
              <w:t>98</w:t>
            </w:r>
            <w:r>
              <w:rPr>
                <w:webHidden/>
              </w:rPr>
              <w:fldChar w:fldCharType="end"/>
            </w:r>
          </w:hyperlink>
        </w:p>
        <w:p w:rsidR="00987D49" w:rsidRDefault="00A73155">
          <w:pPr>
            <w:pStyle w:val="TOC3"/>
            <w:rPr>
              <w:rFonts w:asciiTheme="minorHAnsi" w:hAnsiTheme="minorHAnsi" w:cstheme="minorBidi"/>
              <w:sz w:val="22"/>
              <w:szCs w:val="22"/>
            </w:rPr>
          </w:pPr>
          <w:hyperlink w:anchor="_Toc326072167" w:history="1">
            <w:r w:rsidR="00987D49" w:rsidRPr="00622787">
              <w:rPr>
                <w:rStyle w:val="Hyperlink"/>
                <w:snapToGrid w:val="0"/>
                <w:w w:val="0"/>
              </w:rPr>
              <w:t>D.3.</w:t>
            </w:r>
            <w:r w:rsidR="00987D49">
              <w:rPr>
                <w:rFonts w:asciiTheme="minorHAnsi" w:hAnsiTheme="minorHAnsi" w:cstheme="minorBidi"/>
                <w:sz w:val="22"/>
                <w:szCs w:val="22"/>
              </w:rPr>
              <w:tab/>
            </w:r>
            <w:r w:rsidR="00987D49" w:rsidRPr="00622787">
              <w:rPr>
                <w:rStyle w:val="Hyperlink"/>
              </w:rPr>
              <w:t>Control Group Analysis</w:t>
            </w:r>
            <w:r w:rsidR="00987D49">
              <w:rPr>
                <w:webHidden/>
              </w:rPr>
              <w:tab/>
            </w:r>
            <w:r>
              <w:rPr>
                <w:webHidden/>
              </w:rPr>
              <w:fldChar w:fldCharType="begin"/>
            </w:r>
            <w:r w:rsidR="00987D49">
              <w:rPr>
                <w:webHidden/>
              </w:rPr>
              <w:instrText xml:space="preserve"> PAGEREF _Toc326072167 \h </w:instrText>
            </w:r>
            <w:r>
              <w:rPr>
                <w:webHidden/>
              </w:rPr>
            </w:r>
            <w:r>
              <w:rPr>
                <w:webHidden/>
              </w:rPr>
              <w:fldChar w:fldCharType="separate"/>
            </w:r>
            <w:r w:rsidR="00987D49">
              <w:rPr>
                <w:webHidden/>
              </w:rPr>
              <w:t>99</w:t>
            </w:r>
            <w:r>
              <w:rPr>
                <w:webHidden/>
              </w:rPr>
              <w:fldChar w:fldCharType="end"/>
            </w:r>
          </w:hyperlink>
        </w:p>
        <w:p w:rsidR="00987D49" w:rsidRDefault="00A73155">
          <w:pPr>
            <w:pStyle w:val="TOC3"/>
            <w:rPr>
              <w:rFonts w:asciiTheme="minorHAnsi" w:hAnsiTheme="minorHAnsi" w:cstheme="minorBidi"/>
              <w:sz w:val="22"/>
              <w:szCs w:val="22"/>
            </w:rPr>
          </w:pPr>
          <w:hyperlink w:anchor="_Toc326072168" w:history="1">
            <w:r w:rsidR="00987D49" w:rsidRPr="00622787">
              <w:rPr>
                <w:rStyle w:val="Hyperlink"/>
                <w:snapToGrid w:val="0"/>
                <w:w w:val="0"/>
              </w:rPr>
              <w:t>D.4.</w:t>
            </w:r>
            <w:r w:rsidR="00987D49">
              <w:rPr>
                <w:rFonts w:asciiTheme="minorHAnsi" w:hAnsiTheme="minorHAnsi" w:cstheme="minorBidi"/>
                <w:sz w:val="22"/>
                <w:szCs w:val="22"/>
              </w:rPr>
              <w:tab/>
            </w:r>
            <w:r w:rsidR="00987D49" w:rsidRPr="00622787">
              <w:rPr>
                <w:rStyle w:val="Hyperlink"/>
              </w:rPr>
              <w:t>Goodness-of-fit Measures</w:t>
            </w:r>
            <w:r w:rsidR="00987D49">
              <w:rPr>
                <w:webHidden/>
              </w:rPr>
              <w:tab/>
            </w:r>
            <w:r>
              <w:rPr>
                <w:webHidden/>
              </w:rPr>
              <w:fldChar w:fldCharType="begin"/>
            </w:r>
            <w:r w:rsidR="00987D49">
              <w:rPr>
                <w:webHidden/>
              </w:rPr>
              <w:instrText xml:space="preserve"> PAGEREF _Toc326072168 \h </w:instrText>
            </w:r>
            <w:r>
              <w:rPr>
                <w:webHidden/>
              </w:rPr>
            </w:r>
            <w:r>
              <w:rPr>
                <w:webHidden/>
              </w:rPr>
              <w:fldChar w:fldCharType="separate"/>
            </w:r>
            <w:r w:rsidR="00987D49">
              <w:rPr>
                <w:webHidden/>
              </w:rPr>
              <w:t>101</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69" w:history="1">
            <w:r w:rsidR="00987D49" w:rsidRPr="00622787">
              <w:rPr>
                <w:rStyle w:val="Hyperlink"/>
                <w:snapToGrid w:val="0"/>
                <w:w w:val="0"/>
              </w:rPr>
              <w:t>Appendix E.</w:t>
            </w:r>
            <w:r w:rsidR="00987D49">
              <w:rPr>
                <w:rFonts w:asciiTheme="minorHAnsi" w:hAnsiTheme="minorHAnsi" w:cstheme="minorBidi"/>
                <w:sz w:val="22"/>
                <w:szCs w:val="22"/>
              </w:rPr>
              <w:tab/>
            </w:r>
            <w:r w:rsidR="00987D49" w:rsidRPr="00622787">
              <w:rPr>
                <w:rStyle w:val="Hyperlink"/>
              </w:rPr>
              <w:t>Limitations of Individual Customer Regressions</w:t>
            </w:r>
            <w:r w:rsidR="00987D49">
              <w:rPr>
                <w:webHidden/>
              </w:rPr>
              <w:tab/>
            </w:r>
            <w:r>
              <w:rPr>
                <w:webHidden/>
              </w:rPr>
              <w:fldChar w:fldCharType="begin"/>
            </w:r>
            <w:r w:rsidR="00987D49">
              <w:rPr>
                <w:webHidden/>
              </w:rPr>
              <w:instrText xml:space="preserve"> PAGEREF _Toc326072169 \h </w:instrText>
            </w:r>
            <w:r>
              <w:rPr>
                <w:webHidden/>
              </w:rPr>
            </w:r>
            <w:r>
              <w:rPr>
                <w:webHidden/>
              </w:rPr>
              <w:fldChar w:fldCharType="separate"/>
            </w:r>
            <w:r w:rsidR="00987D49">
              <w:rPr>
                <w:webHidden/>
              </w:rPr>
              <w:t>103</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70" w:history="1">
            <w:r w:rsidR="00987D49" w:rsidRPr="00622787">
              <w:rPr>
                <w:rStyle w:val="Hyperlink"/>
                <w:snapToGrid w:val="0"/>
                <w:w w:val="0"/>
              </w:rPr>
              <w:t>Appendix F.</w:t>
            </w:r>
            <w:r w:rsidR="00987D49">
              <w:rPr>
                <w:rFonts w:asciiTheme="minorHAnsi" w:hAnsiTheme="minorHAnsi" w:cstheme="minorBidi"/>
                <w:sz w:val="22"/>
                <w:szCs w:val="22"/>
              </w:rPr>
              <w:tab/>
            </w:r>
            <w:r w:rsidR="00987D49" w:rsidRPr="00622787">
              <w:rPr>
                <w:rStyle w:val="Hyperlink"/>
              </w:rPr>
              <w:t>Percent Impacts by Temperature</w:t>
            </w:r>
            <w:r w:rsidR="00987D49">
              <w:rPr>
                <w:webHidden/>
              </w:rPr>
              <w:tab/>
            </w:r>
            <w:r>
              <w:rPr>
                <w:webHidden/>
              </w:rPr>
              <w:fldChar w:fldCharType="begin"/>
            </w:r>
            <w:r w:rsidR="00987D49">
              <w:rPr>
                <w:webHidden/>
              </w:rPr>
              <w:instrText xml:space="preserve"> PAGEREF _Toc326072170 \h </w:instrText>
            </w:r>
            <w:r>
              <w:rPr>
                <w:webHidden/>
              </w:rPr>
            </w:r>
            <w:r>
              <w:rPr>
                <w:webHidden/>
              </w:rPr>
              <w:fldChar w:fldCharType="separate"/>
            </w:r>
            <w:r w:rsidR="00987D49">
              <w:rPr>
                <w:webHidden/>
              </w:rPr>
              <w:t>105</w:t>
            </w:r>
            <w:r>
              <w:rPr>
                <w:webHidden/>
              </w:rPr>
              <w:fldChar w:fldCharType="end"/>
            </w:r>
          </w:hyperlink>
        </w:p>
        <w:p w:rsidR="00987D49" w:rsidRDefault="00A73155">
          <w:pPr>
            <w:pStyle w:val="TOC1"/>
            <w:tabs>
              <w:tab w:val="left" w:pos="1760"/>
            </w:tabs>
            <w:rPr>
              <w:rFonts w:asciiTheme="minorHAnsi" w:hAnsiTheme="minorHAnsi" w:cstheme="minorBidi"/>
              <w:sz w:val="22"/>
              <w:szCs w:val="22"/>
            </w:rPr>
          </w:pPr>
          <w:hyperlink w:anchor="_Toc326072171" w:history="1">
            <w:r w:rsidR="00987D49" w:rsidRPr="00622787">
              <w:rPr>
                <w:rStyle w:val="Hyperlink"/>
                <w:snapToGrid w:val="0"/>
                <w:w w:val="0"/>
              </w:rPr>
              <w:t>Appendix G.</w:t>
            </w:r>
            <w:r w:rsidR="00987D49">
              <w:rPr>
                <w:rFonts w:asciiTheme="minorHAnsi" w:hAnsiTheme="minorHAnsi" w:cstheme="minorBidi"/>
                <w:sz w:val="22"/>
                <w:szCs w:val="22"/>
              </w:rPr>
              <w:tab/>
            </w:r>
            <w:r w:rsidR="00987D49" w:rsidRPr="00622787">
              <w:rPr>
                <w:rStyle w:val="Hyperlink"/>
              </w:rPr>
              <w:t>Estimating SDG&amp;E Ex Ante Impacts with Limited Ex Post Temperature Variation</w:t>
            </w:r>
            <w:r w:rsidR="00987D49">
              <w:rPr>
                <w:webHidden/>
              </w:rPr>
              <w:tab/>
            </w:r>
            <w:r>
              <w:rPr>
                <w:webHidden/>
              </w:rPr>
              <w:fldChar w:fldCharType="begin"/>
            </w:r>
            <w:r w:rsidR="00987D49">
              <w:rPr>
                <w:webHidden/>
              </w:rPr>
              <w:instrText xml:space="preserve"> PAGEREF _Toc326072171 \h </w:instrText>
            </w:r>
            <w:r>
              <w:rPr>
                <w:webHidden/>
              </w:rPr>
            </w:r>
            <w:r>
              <w:rPr>
                <w:webHidden/>
              </w:rPr>
              <w:fldChar w:fldCharType="separate"/>
            </w:r>
            <w:r w:rsidR="00987D49">
              <w:rPr>
                <w:webHidden/>
              </w:rPr>
              <w:t>106</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72" w:history="1">
            <w:r w:rsidR="00987D49" w:rsidRPr="00622787">
              <w:rPr>
                <w:rStyle w:val="Hyperlink"/>
                <w:snapToGrid w:val="0"/>
                <w:w w:val="0"/>
              </w:rPr>
              <w:t>Appendix H.</w:t>
            </w:r>
            <w:r w:rsidR="00987D49">
              <w:rPr>
                <w:rFonts w:asciiTheme="minorHAnsi" w:hAnsiTheme="minorHAnsi" w:cstheme="minorBidi"/>
                <w:sz w:val="22"/>
                <w:szCs w:val="22"/>
              </w:rPr>
              <w:tab/>
            </w:r>
            <w:r w:rsidR="00987D49" w:rsidRPr="00622787">
              <w:rPr>
                <w:rStyle w:val="Hyperlink"/>
              </w:rPr>
              <w:t>PG&amp;E Large and Medium C&amp;I Ex ante Load Impacts</w:t>
            </w:r>
            <w:r w:rsidR="00987D49">
              <w:rPr>
                <w:webHidden/>
              </w:rPr>
              <w:tab/>
            </w:r>
            <w:r>
              <w:rPr>
                <w:webHidden/>
              </w:rPr>
              <w:fldChar w:fldCharType="begin"/>
            </w:r>
            <w:r w:rsidR="00987D49">
              <w:rPr>
                <w:webHidden/>
              </w:rPr>
              <w:instrText xml:space="preserve"> PAGEREF _Toc326072172 \h </w:instrText>
            </w:r>
            <w:r>
              <w:rPr>
                <w:webHidden/>
              </w:rPr>
            </w:r>
            <w:r>
              <w:rPr>
                <w:webHidden/>
              </w:rPr>
              <w:fldChar w:fldCharType="separate"/>
            </w:r>
            <w:r w:rsidR="00987D49">
              <w:rPr>
                <w:webHidden/>
              </w:rPr>
              <w:t>107</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73" w:history="1">
            <w:r w:rsidR="00987D49" w:rsidRPr="00622787">
              <w:rPr>
                <w:rStyle w:val="Hyperlink"/>
                <w:snapToGrid w:val="0"/>
                <w:w w:val="0"/>
              </w:rPr>
              <w:t>Appendix I.</w:t>
            </w:r>
            <w:r w:rsidR="00987D49">
              <w:rPr>
                <w:rFonts w:asciiTheme="minorHAnsi" w:hAnsiTheme="minorHAnsi" w:cstheme="minorBidi"/>
                <w:sz w:val="22"/>
                <w:szCs w:val="22"/>
              </w:rPr>
              <w:tab/>
            </w:r>
            <w:r w:rsidR="00987D49" w:rsidRPr="00622787">
              <w:rPr>
                <w:rStyle w:val="Hyperlink"/>
              </w:rPr>
              <w:t>SCE Large and Medium C&amp;I Ex ante Load Impacts</w:t>
            </w:r>
            <w:r w:rsidR="00987D49">
              <w:rPr>
                <w:webHidden/>
              </w:rPr>
              <w:tab/>
            </w:r>
            <w:r>
              <w:rPr>
                <w:webHidden/>
              </w:rPr>
              <w:fldChar w:fldCharType="begin"/>
            </w:r>
            <w:r w:rsidR="00987D49">
              <w:rPr>
                <w:webHidden/>
              </w:rPr>
              <w:instrText xml:space="preserve"> PAGEREF _Toc326072173 \h </w:instrText>
            </w:r>
            <w:r>
              <w:rPr>
                <w:webHidden/>
              </w:rPr>
            </w:r>
            <w:r>
              <w:rPr>
                <w:webHidden/>
              </w:rPr>
              <w:fldChar w:fldCharType="separate"/>
            </w:r>
            <w:r w:rsidR="00987D49">
              <w:rPr>
                <w:webHidden/>
              </w:rPr>
              <w:t>109</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74" w:history="1">
            <w:r w:rsidR="00987D49" w:rsidRPr="00622787">
              <w:rPr>
                <w:rStyle w:val="Hyperlink"/>
                <w:snapToGrid w:val="0"/>
                <w:w w:val="0"/>
              </w:rPr>
              <w:t>Appendix J.</w:t>
            </w:r>
            <w:r w:rsidR="00987D49">
              <w:rPr>
                <w:rFonts w:asciiTheme="minorHAnsi" w:hAnsiTheme="minorHAnsi" w:cstheme="minorBidi"/>
                <w:sz w:val="22"/>
                <w:szCs w:val="22"/>
              </w:rPr>
              <w:tab/>
            </w:r>
            <w:r w:rsidR="00987D49" w:rsidRPr="00622787">
              <w:rPr>
                <w:rStyle w:val="Hyperlink"/>
              </w:rPr>
              <w:t>SDG&amp;E Large and Medium C&amp;I Ex ante Load Impacts</w:t>
            </w:r>
            <w:r w:rsidR="00987D49">
              <w:rPr>
                <w:webHidden/>
              </w:rPr>
              <w:tab/>
            </w:r>
            <w:r>
              <w:rPr>
                <w:webHidden/>
              </w:rPr>
              <w:fldChar w:fldCharType="begin"/>
            </w:r>
            <w:r w:rsidR="00987D49">
              <w:rPr>
                <w:webHidden/>
              </w:rPr>
              <w:instrText xml:space="preserve"> PAGEREF _Toc326072174 \h </w:instrText>
            </w:r>
            <w:r>
              <w:rPr>
                <w:webHidden/>
              </w:rPr>
            </w:r>
            <w:r>
              <w:rPr>
                <w:webHidden/>
              </w:rPr>
              <w:fldChar w:fldCharType="separate"/>
            </w:r>
            <w:r w:rsidR="00987D49">
              <w:rPr>
                <w:webHidden/>
              </w:rPr>
              <w:t>111</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75" w:history="1">
            <w:r w:rsidR="00987D49" w:rsidRPr="00622787">
              <w:rPr>
                <w:rStyle w:val="Hyperlink"/>
                <w:snapToGrid w:val="0"/>
                <w:w w:val="0"/>
              </w:rPr>
              <w:t>Appendix K.</w:t>
            </w:r>
            <w:r w:rsidR="00987D49">
              <w:rPr>
                <w:rFonts w:asciiTheme="minorHAnsi" w:hAnsiTheme="minorHAnsi" w:cstheme="minorBidi"/>
                <w:sz w:val="22"/>
                <w:szCs w:val="22"/>
              </w:rPr>
              <w:tab/>
            </w:r>
            <w:r w:rsidR="00987D49" w:rsidRPr="00622787">
              <w:rPr>
                <w:rStyle w:val="Hyperlink"/>
              </w:rPr>
              <w:t>PG&amp;E Program Specific Ex Ante Impacts for Annual Peak Days</w:t>
            </w:r>
            <w:r w:rsidR="00987D49">
              <w:rPr>
                <w:webHidden/>
              </w:rPr>
              <w:tab/>
            </w:r>
            <w:r w:rsidR="00987D49">
              <w:rPr>
                <w:webHidden/>
              </w:rPr>
              <w:tab/>
            </w:r>
            <w:r>
              <w:rPr>
                <w:webHidden/>
              </w:rPr>
              <w:fldChar w:fldCharType="begin"/>
            </w:r>
            <w:r w:rsidR="00987D49">
              <w:rPr>
                <w:webHidden/>
              </w:rPr>
              <w:instrText xml:space="preserve"> PAGEREF _Toc326072175 \h </w:instrText>
            </w:r>
            <w:r>
              <w:rPr>
                <w:webHidden/>
              </w:rPr>
            </w:r>
            <w:r>
              <w:rPr>
                <w:webHidden/>
              </w:rPr>
              <w:fldChar w:fldCharType="separate"/>
            </w:r>
            <w:r w:rsidR="00987D49">
              <w:rPr>
                <w:webHidden/>
              </w:rPr>
              <w:t>113</w:t>
            </w:r>
            <w:r>
              <w:rPr>
                <w:webHidden/>
              </w:rPr>
              <w:fldChar w:fldCharType="end"/>
            </w:r>
          </w:hyperlink>
        </w:p>
        <w:p w:rsidR="00987D49" w:rsidRDefault="00A73155">
          <w:pPr>
            <w:pStyle w:val="TOC1"/>
            <w:tabs>
              <w:tab w:val="left" w:pos="1540"/>
            </w:tabs>
            <w:rPr>
              <w:rFonts w:asciiTheme="minorHAnsi" w:hAnsiTheme="minorHAnsi" w:cstheme="minorBidi"/>
              <w:sz w:val="22"/>
              <w:szCs w:val="22"/>
            </w:rPr>
          </w:pPr>
          <w:hyperlink w:anchor="_Toc326072176" w:history="1">
            <w:r w:rsidR="00987D49" w:rsidRPr="00622787">
              <w:rPr>
                <w:rStyle w:val="Hyperlink"/>
                <w:snapToGrid w:val="0"/>
                <w:w w:val="0"/>
              </w:rPr>
              <w:t>Appendix L.</w:t>
            </w:r>
            <w:r w:rsidR="00987D49">
              <w:rPr>
                <w:rFonts w:asciiTheme="minorHAnsi" w:hAnsiTheme="minorHAnsi" w:cstheme="minorBidi"/>
                <w:sz w:val="22"/>
                <w:szCs w:val="22"/>
              </w:rPr>
              <w:tab/>
            </w:r>
            <w:r w:rsidR="00987D49" w:rsidRPr="00622787">
              <w:rPr>
                <w:rStyle w:val="Hyperlink"/>
              </w:rPr>
              <w:t>SCE Program Specific Ex Ante Impacts for Annual Peak Days</w:t>
            </w:r>
            <w:r w:rsidR="00987D49">
              <w:rPr>
                <w:webHidden/>
              </w:rPr>
              <w:tab/>
            </w:r>
            <w:r w:rsidR="00987D49">
              <w:rPr>
                <w:webHidden/>
              </w:rPr>
              <w:tab/>
            </w:r>
            <w:r>
              <w:rPr>
                <w:webHidden/>
              </w:rPr>
              <w:fldChar w:fldCharType="begin"/>
            </w:r>
            <w:r w:rsidR="00987D49">
              <w:rPr>
                <w:webHidden/>
              </w:rPr>
              <w:instrText xml:space="preserve"> PAGEREF _Toc326072176 \h </w:instrText>
            </w:r>
            <w:r>
              <w:rPr>
                <w:webHidden/>
              </w:rPr>
            </w:r>
            <w:r>
              <w:rPr>
                <w:webHidden/>
              </w:rPr>
              <w:fldChar w:fldCharType="separate"/>
            </w:r>
            <w:r w:rsidR="00987D49">
              <w:rPr>
                <w:webHidden/>
              </w:rPr>
              <w:t>115</w:t>
            </w:r>
            <w:r>
              <w:rPr>
                <w:webHidden/>
              </w:rPr>
              <w:fldChar w:fldCharType="end"/>
            </w:r>
          </w:hyperlink>
        </w:p>
        <w:p w:rsidR="00987D49" w:rsidRDefault="00A73155">
          <w:pPr>
            <w:pStyle w:val="TOC1"/>
            <w:tabs>
              <w:tab w:val="left" w:pos="1760"/>
            </w:tabs>
            <w:rPr>
              <w:rFonts w:asciiTheme="minorHAnsi" w:hAnsiTheme="minorHAnsi" w:cstheme="minorBidi"/>
              <w:sz w:val="22"/>
              <w:szCs w:val="22"/>
            </w:rPr>
          </w:pPr>
          <w:hyperlink w:anchor="_Toc326072177" w:history="1">
            <w:r w:rsidR="00987D49" w:rsidRPr="00622787">
              <w:rPr>
                <w:rStyle w:val="Hyperlink"/>
                <w:snapToGrid w:val="0"/>
                <w:w w:val="0"/>
              </w:rPr>
              <w:t>Appendix M.</w:t>
            </w:r>
            <w:r w:rsidR="00987D49">
              <w:rPr>
                <w:rFonts w:asciiTheme="minorHAnsi" w:hAnsiTheme="minorHAnsi" w:cstheme="minorBidi"/>
                <w:sz w:val="22"/>
                <w:szCs w:val="22"/>
              </w:rPr>
              <w:tab/>
            </w:r>
            <w:r w:rsidR="00987D49" w:rsidRPr="00622787">
              <w:rPr>
                <w:rStyle w:val="Hyperlink"/>
              </w:rPr>
              <w:t>SDG&amp;E Program Specific Ex Ante Impacts for Annual Peak Days</w:t>
            </w:r>
            <w:r w:rsidR="00987D49">
              <w:rPr>
                <w:webHidden/>
              </w:rPr>
              <w:tab/>
            </w:r>
            <w:r w:rsidR="00987D49">
              <w:rPr>
                <w:webHidden/>
              </w:rPr>
              <w:tab/>
            </w:r>
            <w:r>
              <w:rPr>
                <w:webHidden/>
              </w:rPr>
              <w:fldChar w:fldCharType="begin"/>
            </w:r>
            <w:r w:rsidR="00987D49">
              <w:rPr>
                <w:webHidden/>
              </w:rPr>
              <w:instrText xml:space="preserve"> PAGEREF _Toc326072177 \h </w:instrText>
            </w:r>
            <w:r>
              <w:rPr>
                <w:webHidden/>
              </w:rPr>
            </w:r>
            <w:r>
              <w:rPr>
                <w:webHidden/>
              </w:rPr>
              <w:fldChar w:fldCharType="separate"/>
            </w:r>
            <w:r w:rsidR="00987D49">
              <w:rPr>
                <w:webHidden/>
              </w:rPr>
              <w:t>116</w:t>
            </w:r>
            <w:r>
              <w:rPr>
                <w:webHidden/>
              </w:rPr>
              <w:fldChar w:fldCharType="end"/>
            </w:r>
          </w:hyperlink>
        </w:p>
        <w:p w:rsidR="001A71A9" w:rsidRDefault="00A73155">
          <w:r>
            <w:rPr>
              <w:rFonts w:ascii="Arial" w:hAnsi="Arial" w:cs="Arial"/>
              <w:noProof/>
              <w:sz w:val="24"/>
              <w:szCs w:val="24"/>
            </w:rPr>
            <w:fldChar w:fldCharType="end"/>
          </w:r>
        </w:p>
      </w:sdtContent>
    </w:sdt>
    <w:p w:rsidR="00DB35F9" w:rsidRPr="00ED253C" w:rsidRDefault="00DB35F9" w:rsidP="00305437">
      <w:pPr>
        <w:pStyle w:val="PreparedForCompany"/>
      </w:pPr>
      <w:bookmarkStart w:id="0" w:name="_Toc268073344"/>
    </w:p>
    <w:p w:rsidR="00DB35F9" w:rsidRDefault="00DB35F9" w:rsidP="00DB35F9">
      <w:pPr>
        <w:spacing w:before="240"/>
        <w:rPr>
          <w:b/>
          <w:color w:val="433B67"/>
          <w:sz w:val="28"/>
          <w:szCs w:val="28"/>
        </w:rPr>
        <w:sectPr w:rsidR="00DB35F9" w:rsidSect="00B50663">
          <w:headerReference w:type="default" r:id="rId13"/>
          <w:footerReference w:type="default" r:id="rId14"/>
          <w:headerReference w:type="first" r:id="rId15"/>
          <w:footerReference w:type="first" r:id="rId16"/>
          <w:pgSz w:w="12240" w:h="15840"/>
          <w:pgMar w:top="1440" w:right="1800" w:bottom="1440" w:left="1800" w:header="720" w:footer="720" w:gutter="0"/>
          <w:pgNumType w:fmt="lowerRoman" w:start="1"/>
          <w:cols w:space="720"/>
          <w:docGrid w:linePitch="360"/>
        </w:sectPr>
      </w:pPr>
    </w:p>
    <w:p w:rsidR="00652920" w:rsidRDefault="00652920" w:rsidP="005C465D">
      <w:pPr>
        <w:pStyle w:val="Heading1"/>
      </w:pPr>
      <w:bookmarkStart w:id="1" w:name="_Toc289177988"/>
      <w:bookmarkStart w:id="2" w:name="_Toc326072090"/>
      <w:bookmarkEnd w:id="0"/>
      <w:r w:rsidRPr="005C465D">
        <w:lastRenderedPageBreak/>
        <w:t>Executive</w:t>
      </w:r>
      <w:r>
        <w:t xml:space="preserve"> Summary</w:t>
      </w:r>
      <w:bookmarkEnd w:id="1"/>
      <w:bookmarkEnd w:id="2"/>
      <w:r>
        <w:tab/>
      </w:r>
    </w:p>
    <w:p w:rsidR="00BA0CB8" w:rsidRPr="005C465D" w:rsidRDefault="00652920" w:rsidP="005C465D">
      <w:pPr>
        <w:pStyle w:val="BodyParagraph"/>
      </w:pPr>
      <w:r w:rsidRPr="005C465D">
        <w:t xml:space="preserve">This report provides </w:t>
      </w:r>
      <w:r w:rsidR="00BA691E" w:rsidRPr="005C465D">
        <w:t xml:space="preserve">the 2011 program year </w:t>
      </w:r>
      <w:r w:rsidRPr="005C465D">
        <w:t xml:space="preserve">ex post load impact estimates for the </w:t>
      </w:r>
      <w:r w:rsidR="00B35D5F" w:rsidRPr="005C465D">
        <w:t xml:space="preserve">Non-Residential </w:t>
      </w:r>
      <w:r w:rsidRPr="005C465D">
        <w:t xml:space="preserve">Critical Peak Pricing (CPP) tariffs that have been implemented by California’s three </w:t>
      </w:r>
      <w:r w:rsidR="00BA691E" w:rsidRPr="005C465D">
        <w:t xml:space="preserve">electric </w:t>
      </w:r>
      <w:r w:rsidRPr="005C465D">
        <w:t>investor owned utilities</w:t>
      </w:r>
      <w:r w:rsidR="00BA691E" w:rsidRPr="005C465D">
        <w:t xml:space="preserve"> (IOUs)</w:t>
      </w:r>
      <w:r w:rsidRPr="005C465D">
        <w:t>, Pacific Gas and Electric (PG&amp;E), Southern California Edison (SCE) and San Diego Gas and Electric</w:t>
      </w:r>
      <w:r w:rsidR="00D03296" w:rsidRPr="005C465D">
        <w:t xml:space="preserve"> </w:t>
      </w:r>
      <w:r w:rsidRPr="005C465D">
        <w:t>(SDG&amp;E).</w:t>
      </w:r>
      <w:r w:rsidR="00BA0CB8" w:rsidRPr="005C465D">
        <w:footnoteReference w:id="1"/>
      </w:r>
      <w:r w:rsidRPr="005C465D">
        <w:t xml:space="preserve"> </w:t>
      </w:r>
      <w:r w:rsidR="00763990" w:rsidRPr="005C465D">
        <w:t xml:space="preserve"> </w:t>
      </w:r>
      <w:r w:rsidR="00890B1A">
        <w:t>It also includes</w:t>
      </w:r>
      <w:r w:rsidR="00BA0CB8" w:rsidRPr="005C465D">
        <w:t xml:space="preserve"> ex ante load impact estimates for the CPP program</w:t>
      </w:r>
      <w:r w:rsidR="00890B1A">
        <w:t xml:space="preserve"> for 2012 through 2022</w:t>
      </w:r>
      <w:r w:rsidR="00BA0CB8" w:rsidRPr="005C465D">
        <w:t>.</w:t>
      </w:r>
      <w:r w:rsidR="00890B1A">
        <w:t xml:space="preserve">  Ex ante impacts reflect the load reductions capability of the program under a standard set of 1-in-2 and 1-in-10 weather year conditions and factor in expected changes in enrollment.</w:t>
      </w:r>
      <w:r w:rsidR="00BA0CB8" w:rsidRPr="005C465D">
        <w:t xml:space="preserve">  </w:t>
      </w:r>
    </w:p>
    <w:p w:rsidR="009F157F" w:rsidRDefault="00BA691E" w:rsidP="005C465D">
      <w:pPr>
        <w:pStyle w:val="BodyParagraph"/>
      </w:pPr>
      <w:r>
        <w:t>Critical Peak Pricing is a</w:t>
      </w:r>
      <w:r w:rsidR="00CE74BE">
        <w:t xml:space="preserve"> rate </w:t>
      </w:r>
      <w:r>
        <w:t>in which the utility charges a higher price for consumption</w:t>
      </w:r>
      <w:r w:rsidR="00CE74BE">
        <w:t xml:space="preserve"> of electricity</w:t>
      </w:r>
      <w:r>
        <w:t xml:space="preserve"> on a few critical peak days (usually a few hours a day, around </w:t>
      </w:r>
      <w:r w:rsidR="00EE43E6">
        <w:t xml:space="preserve">12 </w:t>
      </w:r>
      <w:r>
        <w:t>days in a year) in exchange for a reduction in non-peak energy charges, demand charges or both.</w:t>
      </w:r>
      <w:r w:rsidR="00CE74BE">
        <w:t xml:space="preserve"> </w:t>
      </w:r>
      <w:r w:rsidR="00890B1A">
        <w:t xml:space="preserve"> </w:t>
      </w:r>
      <w:r w:rsidR="00D03296">
        <w:t>At</w:t>
      </w:r>
      <w:r w:rsidR="00B35D5F">
        <w:t xml:space="preserve"> all three </w:t>
      </w:r>
      <w:r>
        <w:t>IOUs</w:t>
      </w:r>
      <w:r w:rsidR="00B35D5F">
        <w:t>, CPP is the default rate for large customers.</w:t>
      </w:r>
      <w:r w:rsidR="00B35D5F">
        <w:rPr>
          <w:rStyle w:val="FootnoteReference"/>
        </w:rPr>
        <w:footnoteReference w:id="2"/>
      </w:r>
      <w:r w:rsidR="00B35D5F">
        <w:t xml:space="preserve">  The CPP rates </w:t>
      </w:r>
      <w:r w:rsidR="00E155EE">
        <w:t>we</w:t>
      </w:r>
      <w:r w:rsidR="00B35D5F">
        <w:t>re also available for small and medium customers on a voluntary basis</w:t>
      </w:r>
      <w:r w:rsidR="00E155EE">
        <w:t xml:space="preserve"> in 2011</w:t>
      </w:r>
      <w:r w:rsidR="00B35D5F">
        <w:t>.</w:t>
      </w:r>
      <w:r w:rsidR="00D03296">
        <w:t xml:space="preserve"> </w:t>
      </w:r>
      <w:r w:rsidR="00B35D5F">
        <w:t xml:space="preserve"> </w:t>
      </w:r>
      <w:r w:rsidR="00E155EE">
        <w:t>Most customer</w:t>
      </w:r>
      <w:r w:rsidR="008C7C28">
        <w:t>s</w:t>
      </w:r>
      <w:r w:rsidR="00E155EE">
        <w:t xml:space="preserve"> on CPP rates in 2011 were large customers </w:t>
      </w:r>
      <w:r w:rsidR="00856B7A" w:rsidRPr="00856B7A">
        <w:t>defaulted onto CPP from pre-existing</w:t>
      </w:r>
      <w:r>
        <w:t xml:space="preserve"> Time of Use</w:t>
      </w:r>
      <w:r w:rsidR="00CE74BE">
        <w:t xml:space="preserve"> </w:t>
      </w:r>
      <w:r>
        <w:t>(</w:t>
      </w:r>
      <w:r w:rsidR="00856B7A" w:rsidRPr="00856B7A">
        <w:t>TOU</w:t>
      </w:r>
      <w:r>
        <w:t>)</w:t>
      </w:r>
      <w:r w:rsidR="00856B7A" w:rsidRPr="00856B7A">
        <w:t xml:space="preserve"> rates that already provided incentives to shift or reduce electricity usage during peak periods. </w:t>
      </w:r>
      <w:r w:rsidR="00856B7A">
        <w:t xml:space="preserve"> </w:t>
      </w:r>
      <w:r w:rsidR="009F157F" w:rsidRPr="00856B7A">
        <w:t>S</w:t>
      </w:r>
      <w:r w:rsidR="009F157F">
        <w:rPr>
          <w:rFonts w:cs="Arial"/>
        </w:rPr>
        <w:t xml:space="preserve">DG&amp;E and PG&amp;E customers </w:t>
      </w:r>
      <w:r w:rsidR="009F157F">
        <w:t>on CPP rate</w:t>
      </w:r>
      <w:r w:rsidR="000820BE">
        <w:t>s</w:t>
      </w:r>
      <w:r w:rsidR="009F157F">
        <w:t xml:space="preserve"> were provided with the opportunity to insure against bill volatility by protecting a portion of their load from high energy prices during the peak period on critical event days.  In addition, for SCE and SDG&amp;E, the introduction of default CPP in </w:t>
      </w:r>
      <w:r w:rsidR="00CE74BE">
        <w:t xml:space="preserve">October </w:t>
      </w:r>
      <w:r w:rsidR="009F157F">
        <w:t>20</w:t>
      </w:r>
      <w:r w:rsidR="00947BCC">
        <w:t>09</w:t>
      </w:r>
      <w:r w:rsidR="009F157F">
        <w:t xml:space="preserve"> and </w:t>
      </w:r>
      <w:r w:rsidR="00CE74BE">
        <w:t xml:space="preserve">May </w:t>
      </w:r>
      <w:r w:rsidR="009F157F">
        <w:t xml:space="preserve">2008, respectively, was made in conjunction with changes to the underlying TOU rates.  All utilities </w:t>
      </w:r>
      <w:r w:rsidR="009F157F">
        <w:rPr>
          <w:rFonts w:cs="Arial"/>
        </w:rPr>
        <w:t xml:space="preserve">offered bill protection to customers on CPP for the first year in order to provide an opportunity to test the tariff without risk. </w:t>
      </w:r>
      <w:r w:rsidR="00E155EE">
        <w:rPr>
          <w:rFonts w:cs="Arial"/>
        </w:rPr>
        <w:t xml:space="preserve">  </w:t>
      </w:r>
    </w:p>
    <w:p w:rsidR="002A5ABE" w:rsidRDefault="00652920" w:rsidP="005C465D">
      <w:pPr>
        <w:pStyle w:val="BodyParagraph"/>
      </w:pPr>
      <w:r>
        <w:t xml:space="preserve">By the summer of 2010, all three utilities had defaulted </w:t>
      </w:r>
      <w:r w:rsidR="00BA691E">
        <w:t xml:space="preserve">their </w:t>
      </w:r>
      <w:r>
        <w:t>large commercial and industrial (C&amp;I) customers (peak demand &gt;200kW) onto a CPP tariff layered over a time-of-use (TOU) rate.</w:t>
      </w:r>
      <w:r>
        <w:rPr>
          <w:rStyle w:val="FootnoteReference"/>
        </w:rPr>
        <w:footnoteReference w:id="3"/>
      </w:r>
      <w:r>
        <w:t xml:space="preserve">  In addition, SDG&amp;E had defaulted roughly 600 medium C&amp;I customers</w:t>
      </w:r>
      <w:r>
        <w:rPr>
          <w:rStyle w:val="FootnoteReference"/>
        </w:rPr>
        <w:footnoteReference w:id="4"/>
      </w:r>
      <w:r>
        <w:t xml:space="preserve"> onto the tariff and PG&amp;E had migrated small and medium C&amp;I customers </w:t>
      </w:r>
      <w:r w:rsidR="00D03296">
        <w:t xml:space="preserve">that had previously enrolled </w:t>
      </w:r>
      <w:r>
        <w:t xml:space="preserve">on its voluntary critical peak rate, </w:t>
      </w:r>
      <w:proofErr w:type="spellStart"/>
      <w:r>
        <w:t>SmartRate</w:t>
      </w:r>
      <w:proofErr w:type="spellEnd"/>
      <w:r>
        <w:t xml:space="preserve">, onto the new, default CPP tariff.  </w:t>
      </w:r>
      <w:r w:rsidR="00D03296">
        <w:t>Total e</w:t>
      </w:r>
      <w:r w:rsidR="00BA0CB8">
        <w:t xml:space="preserve">nrollment </w:t>
      </w:r>
      <w:r w:rsidR="00D03296">
        <w:t>o</w:t>
      </w:r>
      <w:r w:rsidR="00BA691E">
        <w:t xml:space="preserve">n CPP </w:t>
      </w:r>
      <w:r w:rsidR="00D03296">
        <w:t xml:space="preserve">for </w:t>
      </w:r>
      <w:r w:rsidR="00BA691E">
        <w:t xml:space="preserve">all three IOUs </w:t>
      </w:r>
      <w:r w:rsidR="00D03296">
        <w:t xml:space="preserve">combined </w:t>
      </w:r>
      <w:r w:rsidR="00BA691E">
        <w:t xml:space="preserve">was </w:t>
      </w:r>
      <w:r w:rsidR="00BA0CB8">
        <w:t xml:space="preserve">approximately 6,050 accounts by summer of 2011.  </w:t>
      </w:r>
    </w:p>
    <w:p w:rsidR="00CE74BE" w:rsidRDefault="00652920" w:rsidP="005C465D">
      <w:pPr>
        <w:pStyle w:val="Heading2"/>
      </w:pPr>
      <w:bookmarkStart w:id="3" w:name="_Toc318285420"/>
      <w:bookmarkStart w:id="4" w:name="_Toc318290044"/>
      <w:bookmarkStart w:id="5" w:name="_Toc318368887"/>
      <w:bookmarkStart w:id="6" w:name="_Toc318399481"/>
      <w:bookmarkStart w:id="7" w:name="_Toc318400299"/>
      <w:bookmarkStart w:id="8" w:name="_Toc318401774"/>
      <w:bookmarkStart w:id="9" w:name="_Toc318412995"/>
      <w:bookmarkStart w:id="10" w:name="_Toc318413289"/>
      <w:bookmarkStart w:id="11" w:name="_Toc318285421"/>
      <w:bookmarkStart w:id="12" w:name="_Toc318290045"/>
      <w:bookmarkStart w:id="13" w:name="_Toc318368888"/>
      <w:bookmarkStart w:id="14" w:name="_Toc318399482"/>
      <w:bookmarkStart w:id="15" w:name="_Toc318400300"/>
      <w:bookmarkStart w:id="16" w:name="_Toc318401775"/>
      <w:bookmarkStart w:id="17" w:name="_Toc318412996"/>
      <w:bookmarkStart w:id="18" w:name="_Toc318413290"/>
      <w:bookmarkStart w:id="19" w:name="_Toc318285422"/>
      <w:bookmarkStart w:id="20" w:name="_Toc318290046"/>
      <w:bookmarkStart w:id="21" w:name="_Toc318368889"/>
      <w:bookmarkStart w:id="22" w:name="_Toc318399483"/>
      <w:bookmarkStart w:id="23" w:name="_Toc318400301"/>
      <w:bookmarkStart w:id="24" w:name="_Toc318401776"/>
      <w:bookmarkStart w:id="25" w:name="_Toc318412997"/>
      <w:bookmarkStart w:id="26" w:name="_Toc318413291"/>
      <w:bookmarkStart w:id="27" w:name="_Toc318285423"/>
      <w:bookmarkStart w:id="28" w:name="_Toc318290047"/>
      <w:bookmarkStart w:id="29" w:name="_Toc318368890"/>
      <w:bookmarkStart w:id="30" w:name="_Toc318399484"/>
      <w:bookmarkStart w:id="31" w:name="_Toc318400302"/>
      <w:bookmarkStart w:id="32" w:name="_Toc318401777"/>
      <w:bookmarkStart w:id="33" w:name="_Toc318412998"/>
      <w:bookmarkStart w:id="34" w:name="_Toc318413292"/>
      <w:bookmarkStart w:id="35" w:name="_Toc289177989"/>
      <w:bookmarkStart w:id="36" w:name="_Toc3260720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 xml:space="preserve">Ex Post </w:t>
      </w:r>
      <w:r w:rsidRPr="005C465D">
        <w:t>Load</w:t>
      </w:r>
      <w:r>
        <w:t xml:space="preserve"> Impact Summary</w:t>
      </w:r>
      <w:bookmarkEnd w:id="35"/>
      <w:bookmarkEnd w:id="36"/>
    </w:p>
    <w:p w:rsidR="00724997" w:rsidRDefault="00B0336D" w:rsidP="005C465D">
      <w:pPr>
        <w:pStyle w:val="BodyParagraph"/>
      </w:pPr>
      <w:r>
        <w:t xml:space="preserve">Ex post impacts reflect the change in average hourly electricity demand attributable to the </w:t>
      </w:r>
      <w:r w:rsidR="00014131">
        <w:t xml:space="preserve">customers enrolled </w:t>
      </w:r>
      <w:r w:rsidR="00D03296">
        <w:t>o</w:t>
      </w:r>
      <w:r w:rsidR="00014131">
        <w:t xml:space="preserve">n </w:t>
      </w:r>
      <w:r>
        <w:t xml:space="preserve">CPP for days on which CPP events were called.  </w:t>
      </w:r>
      <w:r w:rsidR="00652920" w:rsidRPr="00E05739">
        <w:t>Table 1</w:t>
      </w:r>
      <w:r w:rsidR="00C3496F">
        <w:t>-1 summarizes the 2011</w:t>
      </w:r>
      <w:r w:rsidR="00652920" w:rsidRPr="00E05739">
        <w:t xml:space="preserve"> event days</w:t>
      </w:r>
      <w:r w:rsidR="00CF756B">
        <w:t xml:space="preserve">, the estimated reference loads, </w:t>
      </w:r>
      <w:r w:rsidR="00652920" w:rsidRPr="00E05739">
        <w:t xml:space="preserve">and </w:t>
      </w:r>
      <w:r w:rsidR="00CF756B">
        <w:t xml:space="preserve">the </w:t>
      </w:r>
      <w:r w:rsidR="00B975BF">
        <w:t xml:space="preserve">estimated </w:t>
      </w:r>
      <w:r w:rsidR="00CF756B">
        <w:t xml:space="preserve">load </w:t>
      </w:r>
      <w:r w:rsidR="00652920" w:rsidRPr="00E05739">
        <w:t xml:space="preserve">impacts for each utility.  </w:t>
      </w:r>
    </w:p>
    <w:p w:rsidR="00652920" w:rsidRPr="005C465D" w:rsidRDefault="00652920" w:rsidP="005C465D">
      <w:pPr>
        <w:pStyle w:val="TableFigureCaption"/>
      </w:pPr>
      <w:r w:rsidRPr="005C465D">
        <w:lastRenderedPageBreak/>
        <w:t>Table 1-1:</w:t>
      </w:r>
      <w:r w:rsidR="005C465D">
        <w:t xml:space="preserve"> </w:t>
      </w:r>
      <w:r w:rsidRPr="005C465D">
        <w:t>Summary of</w:t>
      </w:r>
      <w:r w:rsidR="00C3496F" w:rsidRPr="005C465D">
        <w:t xml:space="preserve"> Statewide</w:t>
      </w:r>
      <w:r w:rsidRPr="005C465D">
        <w:t xml:space="preserve"> Ex Post </w:t>
      </w:r>
      <w:r w:rsidR="00D03296" w:rsidRPr="005C465D">
        <w:t xml:space="preserve">CPP </w:t>
      </w:r>
      <w:r w:rsidRPr="005C465D">
        <w:t>Impacts by Event</w:t>
      </w:r>
    </w:p>
    <w:tbl>
      <w:tblPr>
        <w:tblW w:w="10338" w:type="dxa"/>
        <w:jc w:val="center"/>
        <w:tblInd w:w="93" w:type="dxa"/>
        <w:tblLayout w:type="fixed"/>
        <w:tblLook w:val="04A0"/>
      </w:tblPr>
      <w:tblGrid>
        <w:gridCol w:w="1106"/>
        <w:gridCol w:w="1184"/>
        <w:gridCol w:w="880"/>
        <w:gridCol w:w="960"/>
        <w:gridCol w:w="1184"/>
        <w:gridCol w:w="960"/>
        <w:gridCol w:w="960"/>
        <w:gridCol w:w="1184"/>
        <w:gridCol w:w="960"/>
        <w:gridCol w:w="960"/>
      </w:tblGrid>
      <w:tr w:rsidR="00D87D43" w:rsidRPr="00D87D43" w:rsidTr="000577B8">
        <w:trPr>
          <w:trHeight w:val="359"/>
          <w:jc w:val="center"/>
        </w:trPr>
        <w:tc>
          <w:tcPr>
            <w:tcW w:w="1106" w:type="dxa"/>
            <w:vMerge w:val="restart"/>
            <w:tcBorders>
              <w:top w:val="single" w:sz="4" w:space="0" w:color="auto"/>
              <w:left w:val="single" w:sz="4" w:space="0" w:color="auto"/>
              <w:bottom w:val="single" w:sz="4" w:space="0" w:color="000000"/>
              <w:right w:val="single" w:sz="8" w:space="0" w:color="FFFFFF"/>
            </w:tcBorders>
            <w:shd w:val="clear" w:color="auto" w:fill="1F497D" w:themeFill="text2"/>
            <w:vAlign w:val="center"/>
            <w:hideMark/>
          </w:tcPr>
          <w:p w:rsidR="001D1869" w:rsidRDefault="00D87D43">
            <w:pPr>
              <w:pStyle w:val="TableHeader"/>
            </w:pPr>
            <w:r w:rsidRPr="00D87D43">
              <w:t>Date</w:t>
            </w:r>
          </w:p>
        </w:tc>
        <w:tc>
          <w:tcPr>
            <w:tcW w:w="3024" w:type="dxa"/>
            <w:gridSpan w:val="3"/>
            <w:tcBorders>
              <w:top w:val="single" w:sz="4" w:space="0" w:color="auto"/>
              <w:left w:val="nil"/>
              <w:bottom w:val="single" w:sz="4" w:space="0" w:color="FFFFFF" w:themeColor="background1"/>
              <w:right w:val="single" w:sz="8" w:space="0" w:color="FFFFFF"/>
            </w:tcBorders>
            <w:shd w:val="clear" w:color="auto" w:fill="1F497D" w:themeFill="text2"/>
            <w:noWrap/>
            <w:vAlign w:val="bottom"/>
            <w:hideMark/>
          </w:tcPr>
          <w:p w:rsidR="001D1869" w:rsidRDefault="00D87D43">
            <w:pPr>
              <w:pStyle w:val="TableHeader"/>
            </w:pPr>
            <w:r w:rsidRPr="00D87D43">
              <w:t>PG&amp;E</w:t>
            </w:r>
          </w:p>
        </w:tc>
        <w:tc>
          <w:tcPr>
            <w:tcW w:w="3104" w:type="dxa"/>
            <w:gridSpan w:val="3"/>
            <w:tcBorders>
              <w:top w:val="single" w:sz="4" w:space="0" w:color="auto"/>
              <w:left w:val="nil"/>
              <w:bottom w:val="single" w:sz="4" w:space="0" w:color="FFFFFF" w:themeColor="background1"/>
              <w:right w:val="single" w:sz="8" w:space="0" w:color="FFFFFF"/>
            </w:tcBorders>
            <w:shd w:val="clear" w:color="auto" w:fill="1F497D" w:themeFill="text2"/>
            <w:noWrap/>
            <w:vAlign w:val="bottom"/>
            <w:hideMark/>
          </w:tcPr>
          <w:p w:rsidR="001D1869" w:rsidRDefault="00D87D43">
            <w:pPr>
              <w:pStyle w:val="TableHeader"/>
            </w:pPr>
            <w:r w:rsidRPr="00D87D43">
              <w:t>SCE</w:t>
            </w:r>
          </w:p>
        </w:tc>
        <w:tc>
          <w:tcPr>
            <w:tcW w:w="3104" w:type="dxa"/>
            <w:gridSpan w:val="3"/>
            <w:tcBorders>
              <w:top w:val="single" w:sz="4" w:space="0" w:color="auto"/>
              <w:left w:val="nil"/>
              <w:bottom w:val="single" w:sz="4" w:space="0" w:color="FFFFFF" w:themeColor="background1"/>
              <w:right w:val="single" w:sz="4" w:space="0" w:color="000000"/>
            </w:tcBorders>
            <w:shd w:val="clear" w:color="auto" w:fill="1F497D" w:themeFill="text2"/>
            <w:noWrap/>
            <w:vAlign w:val="bottom"/>
            <w:hideMark/>
          </w:tcPr>
          <w:p w:rsidR="001D1869" w:rsidRDefault="00D87D43">
            <w:pPr>
              <w:pStyle w:val="TableHeader"/>
            </w:pPr>
            <w:r w:rsidRPr="00D87D43">
              <w:t>SDG&amp;E</w:t>
            </w:r>
          </w:p>
        </w:tc>
      </w:tr>
      <w:tr w:rsidR="00E155EE" w:rsidRPr="00D87D43" w:rsidTr="000577B8">
        <w:trPr>
          <w:trHeight w:val="934"/>
          <w:jc w:val="center"/>
        </w:trPr>
        <w:tc>
          <w:tcPr>
            <w:tcW w:w="1106" w:type="dxa"/>
            <w:vMerge/>
            <w:tcBorders>
              <w:top w:val="single" w:sz="4" w:space="0" w:color="auto"/>
              <w:left w:val="single" w:sz="4" w:space="0" w:color="auto"/>
              <w:bottom w:val="single" w:sz="4" w:space="0" w:color="000000"/>
              <w:right w:val="single" w:sz="8" w:space="0" w:color="FFFFFF"/>
            </w:tcBorders>
            <w:shd w:val="clear" w:color="auto" w:fill="1F497D" w:themeFill="text2"/>
            <w:vAlign w:val="center"/>
            <w:hideMark/>
          </w:tcPr>
          <w:p w:rsidR="00E155EE" w:rsidRDefault="00E155EE">
            <w:pPr>
              <w:pStyle w:val="TableHeader"/>
            </w:pPr>
          </w:p>
        </w:tc>
        <w:tc>
          <w:tcPr>
            <w:tcW w:w="1184" w:type="dxa"/>
            <w:tcBorders>
              <w:top w:val="single" w:sz="4" w:space="0" w:color="FFFFFF" w:themeColor="background1"/>
              <w:left w:val="nil"/>
              <w:right w:val="single" w:sz="8" w:space="0" w:color="FFFFFF"/>
            </w:tcBorders>
            <w:shd w:val="clear" w:color="auto" w:fill="1F497D" w:themeFill="text2"/>
            <w:vAlign w:val="center"/>
            <w:hideMark/>
          </w:tcPr>
          <w:p w:rsidR="00E155EE" w:rsidRPr="00D87D43" w:rsidRDefault="00E155EE" w:rsidP="00052A56">
            <w:pPr>
              <w:pStyle w:val="TableHeader"/>
            </w:pPr>
            <w:r w:rsidRPr="00D87D43">
              <w:t>Reference Load</w:t>
            </w:r>
          </w:p>
          <w:p w:rsidR="00E155EE" w:rsidRDefault="00E155EE" w:rsidP="00E155EE">
            <w:pPr>
              <w:pStyle w:val="TableHeader"/>
            </w:pPr>
            <w:r w:rsidRPr="00D87D43">
              <w:rPr>
                <w:rFonts w:eastAsia="Times New Roman" w:cs="Arial"/>
                <w:bCs/>
                <w:color w:val="FFFFFF"/>
                <w:sz w:val="18"/>
                <w:szCs w:val="18"/>
              </w:rPr>
              <w:t>2-6 PM (MW)</w:t>
            </w:r>
          </w:p>
        </w:tc>
        <w:tc>
          <w:tcPr>
            <w:tcW w:w="880" w:type="dxa"/>
            <w:tcBorders>
              <w:top w:val="single" w:sz="4" w:space="0" w:color="FFFFFF" w:themeColor="background1"/>
              <w:left w:val="nil"/>
              <w:right w:val="single" w:sz="8" w:space="0" w:color="FFFFFF"/>
            </w:tcBorders>
            <w:shd w:val="clear" w:color="auto" w:fill="1F497D" w:themeFill="text2"/>
            <w:vAlign w:val="center"/>
            <w:hideMark/>
          </w:tcPr>
          <w:p w:rsidR="00E155EE" w:rsidRPr="00D87D43" w:rsidRDefault="00E155EE" w:rsidP="00052A56">
            <w:pPr>
              <w:pStyle w:val="TableHeader"/>
            </w:pPr>
            <w:r w:rsidRPr="00D87D43">
              <w:t>Load Impact</w:t>
            </w:r>
          </w:p>
          <w:p w:rsidR="00E155EE" w:rsidRDefault="00E155EE" w:rsidP="00E155EE">
            <w:pPr>
              <w:pStyle w:val="TableHeader"/>
            </w:pPr>
            <w:r w:rsidRPr="00D87D43">
              <w:rPr>
                <w:rFonts w:eastAsia="Times New Roman" w:cs="Arial"/>
                <w:bCs/>
                <w:color w:val="FFFFFF"/>
                <w:sz w:val="18"/>
                <w:szCs w:val="18"/>
              </w:rPr>
              <w:t>2-6 PM (MW)</w:t>
            </w:r>
          </w:p>
        </w:tc>
        <w:tc>
          <w:tcPr>
            <w:tcW w:w="960" w:type="dxa"/>
            <w:tcBorders>
              <w:top w:val="single" w:sz="4" w:space="0" w:color="FFFFFF" w:themeColor="background1"/>
              <w:left w:val="single" w:sz="8" w:space="0" w:color="FFFFFF"/>
              <w:bottom w:val="single" w:sz="4" w:space="0" w:color="000000"/>
              <w:right w:val="single" w:sz="8" w:space="0" w:color="FFFFFF"/>
            </w:tcBorders>
            <w:shd w:val="clear" w:color="auto" w:fill="1F497D" w:themeFill="text2"/>
            <w:vAlign w:val="center"/>
            <w:hideMark/>
          </w:tcPr>
          <w:p w:rsidR="00E155EE" w:rsidRDefault="00E155EE">
            <w:pPr>
              <w:pStyle w:val="TableHeader"/>
            </w:pPr>
            <w:r w:rsidRPr="00D87D43">
              <w:t>% Impact</w:t>
            </w:r>
          </w:p>
        </w:tc>
        <w:tc>
          <w:tcPr>
            <w:tcW w:w="1184" w:type="dxa"/>
            <w:tcBorders>
              <w:top w:val="single" w:sz="4" w:space="0" w:color="FFFFFF" w:themeColor="background1"/>
              <w:left w:val="nil"/>
              <w:right w:val="single" w:sz="8" w:space="0" w:color="FFFFFF"/>
            </w:tcBorders>
            <w:shd w:val="clear" w:color="auto" w:fill="1F497D" w:themeFill="text2"/>
            <w:vAlign w:val="center"/>
            <w:hideMark/>
          </w:tcPr>
          <w:p w:rsidR="00E155EE" w:rsidRPr="00D87D43" w:rsidRDefault="00E155EE" w:rsidP="00052A56">
            <w:pPr>
              <w:pStyle w:val="TableHeader"/>
            </w:pPr>
            <w:r w:rsidRPr="00D87D43">
              <w:t>Reference Load</w:t>
            </w:r>
          </w:p>
          <w:p w:rsidR="00E155EE" w:rsidRDefault="00E155EE" w:rsidP="00E155EE">
            <w:pPr>
              <w:pStyle w:val="TableHeader"/>
            </w:pPr>
            <w:r w:rsidRPr="00D87D43">
              <w:rPr>
                <w:rFonts w:eastAsia="Times New Roman" w:cs="Arial"/>
                <w:bCs/>
                <w:color w:val="FFFFFF"/>
                <w:sz w:val="18"/>
                <w:szCs w:val="18"/>
              </w:rPr>
              <w:t>2-6 PM (MW)</w:t>
            </w:r>
          </w:p>
        </w:tc>
        <w:tc>
          <w:tcPr>
            <w:tcW w:w="960" w:type="dxa"/>
            <w:tcBorders>
              <w:top w:val="single" w:sz="4" w:space="0" w:color="FFFFFF" w:themeColor="background1"/>
              <w:left w:val="nil"/>
              <w:right w:val="single" w:sz="8" w:space="0" w:color="FFFFFF"/>
            </w:tcBorders>
            <w:shd w:val="clear" w:color="auto" w:fill="1F497D" w:themeFill="text2"/>
            <w:vAlign w:val="center"/>
            <w:hideMark/>
          </w:tcPr>
          <w:p w:rsidR="00E155EE" w:rsidRPr="00D87D43" w:rsidRDefault="00E155EE" w:rsidP="00052A56">
            <w:pPr>
              <w:pStyle w:val="TableHeader"/>
            </w:pPr>
            <w:r w:rsidRPr="00D87D43">
              <w:t>Load Impact</w:t>
            </w:r>
          </w:p>
          <w:p w:rsidR="00E155EE" w:rsidRDefault="00E155EE" w:rsidP="00E155EE">
            <w:pPr>
              <w:pStyle w:val="TableHeader"/>
            </w:pPr>
            <w:r w:rsidRPr="00D87D43">
              <w:rPr>
                <w:rFonts w:eastAsia="Times New Roman" w:cs="Arial"/>
                <w:bCs/>
                <w:color w:val="FFFFFF"/>
                <w:sz w:val="18"/>
                <w:szCs w:val="18"/>
              </w:rPr>
              <w:t>2-6 PM (MW)</w:t>
            </w:r>
          </w:p>
        </w:tc>
        <w:tc>
          <w:tcPr>
            <w:tcW w:w="960" w:type="dxa"/>
            <w:tcBorders>
              <w:top w:val="single" w:sz="4" w:space="0" w:color="FFFFFF" w:themeColor="background1"/>
              <w:left w:val="single" w:sz="8" w:space="0" w:color="FFFFFF"/>
              <w:bottom w:val="single" w:sz="4" w:space="0" w:color="000000"/>
              <w:right w:val="single" w:sz="8" w:space="0" w:color="FFFFFF"/>
            </w:tcBorders>
            <w:shd w:val="clear" w:color="auto" w:fill="1F497D" w:themeFill="text2"/>
            <w:vAlign w:val="center"/>
            <w:hideMark/>
          </w:tcPr>
          <w:p w:rsidR="00E155EE" w:rsidRDefault="00E155EE">
            <w:pPr>
              <w:pStyle w:val="TableHeader"/>
            </w:pPr>
            <w:r w:rsidRPr="00D87D43">
              <w:t>% Impact</w:t>
            </w:r>
          </w:p>
        </w:tc>
        <w:tc>
          <w:tcPr>
            <w:tcW w:w="1184" w:type="dxa"/>
            <w:tcBorders>
              <w:top w:val="single" w:sz="4" w:space="0" w:color="FFFFFF" w:themeColor="background1"/>
              <w:left w:val="nil"/>
              <w:right w:val="single" w:sz="8" w:space="0" w:color="FFFFFF"/>
            </w:tcBorders>
            <w:shd w:val="clear" w:color="auto" w:fill="1F497D" w:themeFill="text2"/>
            <w:vAlign w:val="center"/>
            <w:hideMark/>
          </w:tcPr>
          <w:p w:rsidR="00E155EE" w:rsidRPr="00D87D43" w:rsidRDefault="00E155EE" w:rsidP="00052A56">
            <w:pPr>
              <w:pStyle w:val="TableHeader"/>
            </w:pPr>
            <w:r w:rsidRPr="00D87D43">
              <w:t>Reference Load</w:t>
            </w:r>
          </w:p>
          <w:p w:rsidR="00E155EE" w:rsidRDefault="00CE74BE" w:rsidP="00E155EE">
            <w:pPr>
              <w:pStyle w:val="TableHeader"/>
            </w:pPr>
            <w:r>
              <w:rPr>
                <w:rFonts w:eastAsia="Times New Roman" w:cs="Arial"/>
                <w:bCs/>
                <w:color w:val="FFFFFF"/>
                <w:sz w:val="18"/>
                <w:szCs w:val="18"/>
              </w:rPr>
              <w:t>11</w:t>
            </w:r>
            <w:r w:rsidR="00E155EE" w:rsidRPr="00D87D43">
              <w:rPr>
                <w:rFonts w:eastAsia="Times New Roman" w:cs="Arial"/>
                <w:bCs/>
                <w:color w:val="FFFFFF"/>
                <w:sz w:val="18"/>
                <w:szCs w:val="18"/>
              </w:rPr>
              <w:t>-6 PM (MW)</w:t>
            </w:r>
          </w:p>
        </w:tc>
        <w:tc>
          <w:tcPr>
            <w:tcW w:w="960" w:type="dxa"/>
            <w:tcBorders>
              <w:top w:val="single" w:sz="4" w:space="0" w:color="FFFFFF" w:themeColor="background1"/>
              <w:left w:val="nil"/>
              <w:right w:val="single" w:sz="8" w:space="0" w:color="FFFFFF"/>
            </w:tcBorders>
            <w:shd w:val="clear" w:color="auto" w:fill="1F497D" w:themeFill="text2"/>
            <w:vAlign w:val="center"/>
            <w:hideMark/>
          </w:tcPr>
          <w:p w:rsidR="00E155EE" w:rsidRPr="00D87D43" w:rsidRDefault="00E155EE" w:rsidP="00052A56">
            <w:pPr>
              <w:pStyle w:val="TableHeader"/>
            </w:pPr>
            <w:r w:rsidRPr="00D87D43">
              <w:t>Load Impact</w:t>
            </w:r>
          </w:p>
          <w:p w:rsidR="00E155EE" w:rsidRDefault="00CE74BE" w:rsidP="00E155EE">
            <w:pPr>
              <w:pStyle w:val="TableHeader"/>
            </w:pPr>
            <w:r>
              <w:rPr>
                <w:rFonts w:eastAsia="Times New Roman" w:cs="Arial"/>
                <w:bCs/>
                <w:color w:val="FFFFFF"/>
                <w:sz w:val="18"/>
                <w:szCs w:val="18"/>
              </w:rPr>
              <w:t>11-</w:t>
            </w:r>
            <w:r w:rsidR="00E155EE" w:rsidRPr="00D87D43">
              <w:rPr>
                <w:rFonts w:eastAsia="Times New Roman" w:cs="Arial"/>
                <w:bCs/>
                <w:color w:val="FFFFFF"/>
                <w:sz w:val="18"/>
                <w:szCs w:val="18"/>
              </w:rPr>
              <w:t>6 PM (MW)</w:t>
            </w:r>
          </w:p>
        </w:tc>
        <w:tc>
          <w:tcPr>
            <w:tcW w:w="960" w:type="dxa"/>
            <w:tcBorders>
              <w:top w:val="single" w:sz="4" w:space="0" w:color="FFFFFF" w:themeColor="background1"/>
              <w:left w:val="single" w:sz="8" w:space="0" w:color="FFFFFF"/>
              <w:bottom w:val="single" w:sz="4" w:space="0" w:color="000000"/>
              <w:right w:val="single" w:sz="4" w:space="0" w:color="auto"/>
            </w:tcBorders>
            <w:shd w:val="clear" w:color="auto" w:fill="1F497D" w:themeFill="text2"/>
            <w:vAlign w:val="center"/>
            <w:hideMark/>
          </w:tcPr>
          <w:p w:rsidR="00E155EE" w:rsidRDefault="00E155EE">
            <w:pPr>
              <w:pStyle w:val="TableHeader"/>
            </w:pPr>
            <w:r w:rsidRPr="00D87D43">
              <w:t>% Impact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6/21/2011</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470.4</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26.7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625.6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33.9</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5.4%</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7/5/2011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460.1</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27.5</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6.0%</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656.8</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36.7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5.6%</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7/19/2011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611.9</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35.6</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5.8%</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7/29/2011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424.3</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26.2</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6.2%</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8/1/2011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620.3</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36.4</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5.9%</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8/3/2011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621.7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36.1</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5.8%</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8/12/2011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571.3</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32.7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8/16/2011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599.4</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33.6</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5.6%</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8/18/2011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604.5</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34.0</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5.6%</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8/23/2011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487.8</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29.0</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5.9%</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622.5</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34.6</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5.6%</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8/26/2011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614.8</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36.6</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6.0%</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8/27/2011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269.1</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16.9</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6.3%</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8/29/2011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464.9</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27.2</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5.9%</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9/2/2011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465.4</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28.8</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6.2%</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9/6/2011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483.3</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27.7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664.2</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36.6</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5.5%</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9/7/2011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494.6</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28.7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5.8%</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358.8</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18.6</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5.2%</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9/20/2011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508.6</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28.3</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5.6%</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300"/>
          <w:jc w:val="center"/>
        </w:trPr>
        <w:tc>
          <w:tcPr>
            <w:tcW w:w="1106" w:type="dxa"/>
            <w:tcBorders>
              <w:top w:val="nil"/>
              <w:left w:val="single" w:sz="4" w:space="0" w:color="auto"/>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pPr>
            <w:r w:rsidRPr="00D87D43">
              <w:t>9/23/2011</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572.3</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32.7</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r w:rsidR="00D87D43" w:rsidRPr="00D87D43" w:rsidTr="00E155EE">
        <w:trPr>
          <w:trHeight w:val="600"/>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rsidR="00D87D43" w:rsidRPr="00D87D43" w:rsidRDefault="00D87D43" w:rsidP="00052A56">
            <w:pPr>
              <w:pStyle w:val="TableText"/>
              <w:jc w:val="center"/>
              <w:rPr>
                <w:rFonts w:ascii="Calibri" w:hAnsi="Calibri" w:cs="Calibri"/>
              </w:rPr>
            </w:pPr>
            <w:r w:rsidRPr="00D87D43">
              <w:rPr>
                <w:rFonts w:ascii="Calibri" w:hAnsi="Calibri" w:cs="Calibri"/>
              </w:rPr>
              <w:t>Average Event</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473.4</w:t>
            </w:r>
          </w:p>
        </w:tc>
        <w:tc>
          <w:tcPr>
            <w:tcW w:w="88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27.8</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5.9%</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615.4</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35.0</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5.7%</w:t>
            </w:r>
          </w:p>
        </w:tc>
        <w:tc>
          <w:tcPr>
            <w:tcW w:w="1184"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c>
          <w:tcPr>
            <w:tcW w:w="960" w:type="dxa"/>
            <w:tcBorders>
              <w:top w:val="nil"/>
              <w:left w:val="nil"/>
              <w:bottom w:val="single" w:sz="4" w:space="0" w:color="auto"/>
              <w:right w:val="single" w:sz="4" w:space="0" w:color="auto"/>
            </w:tcBorders>
            <w:shd w:val="clear" w:color="auto" w:fill="auto"/>
            <w:noWrap/>
            <w:vAlign w:val="center"/>
            <w:hideMark/>
          </w:tcPr>
          <w:p w:rsidR="00D87D43" w:rsidRPr="00D87D43" w:rsidRDefault="00D87D43" w:rsidP="00052A56">
            <w:pPr>
              <w:pStyle w:val="TableText"/>
              <w:jc w:val="center"/>
              <w:rPr>
                <w:szCs w:val="18"/>
              </w:rPr>
            </w:pPr>
            <w:r w:rsidRPr="00D87D43">
              <w:rPr>
                <w:szCs w:val="18"/>
              </w:rPr>
              <w:t>-</w:t>
            </w:r>
          </w:p>
        </w:tc>
      </w:tr>
    </w:tbl>
    <w:p w:rsidR="00E155EE" w:rsidRDefault="00E155EE" w:rsidP="005C465D">
      <w:pPr>
        <w:pStyle w:val="BodyParaAfterTableFigure"/>
      </w:pPr>
      <w:r w:rsidRPr="00E05739">
        <w:t>Enrollment for each utility varie</w:t>
      </w:r>
      <w:r w:rsidR="00D03296">
        <w:t>d</w:t>
      </w:r>
      <w:r w:rsidRPr="00E05739">
        <w:t xml:space="preserve"> slightly from event to event</w:t>
      </w:r>
      <w:r w:rsidR="00014131">
        <w:t xml:space="preserve"> and the number of events varied by IOU</w:t>
      </w:r>
      <w:r w:rsidRPr="00E05739">
        <w:t>.  On average, PG&amp;E, SCE</w:t>
      </w:r>
      <w:r>
        <w:t xml:space="preserve"> and SD&amp;GE </w:t>
      </w:r>
      <w:r w:rsidR="00CE74BE">
        <w:t>notified</w:t>
      </w:r>
      <w:r>
        <w:t xml:space="preserve"> roughly 1,750, 3,000 and 1,30</w:t>
      </w:r>
      <w:r w:rsidRPr="00E05739">
        <w:t xml:space="preserve">0 </w:t>
      </w:r>
      <w:r w:rsidR="00CE74BE">
        <w:t>participant</w:t>
      </w:r>
      <w:r w:rsidR="00CE74BE" w:rsidRPr="00E05739">
        <w:t>s</w:t>
      </w:r>
      <w:r w:rsidRPr="00E05739">
        <w:t xml:space="preserve">, respectively, </w:t>
      </w:r>
      <w:r w:rsidR="00CE74BE">
        <w:t>of</w:t>
      </w:r>
      <w:r w:rsidR="00014131">
        <w:t xml:space="preserve"> CPP</w:t>
      </w:r>
      <w:r w:rsidRPr="00E05739">
        <w:t xml:space="preserve"> event days.  PG&amp;E called 9 critical peak events and obtained an average</w:t>
      </w:r>
      <w:r>
        <w:t xml:space="preserve"> </w:t>
      </w:r>
      <w:r w:rsidR="00D03296">
        <w:t xml:space="preserve">peak period </w:t>
      </w:r>
      <w:r>
        <w:t>load reduction</w:t>
      </w:r>
      <w:r w:rsidR="00014131">
        <w:rPr>
          <w:rStyle w:val="FootnoteReference"/>
        </w:rPr>
        <w:footnoteReference w:id="5"/>
      </w:r>
      <w:r>
        <w:t xml:space="preserve"> of 27.8 MW, or 5.9</w:t>
      </w:r>
      <w:r w:rsidRPr="00E05739">
        <w:t>% of the average reference load on event days.  SCE called 12 critical peak events</w:t>
      </w:r>
      <w:r>
        <w:t xml:space="preserve"> and obtained </w:t>
      </w:r>
      <w:r w:rsidRPr="00E05739">
        <w:t xml:space="preserve">an average load reduction of </w:t>
      </w:r>
      <w:r>
        <w:t>35.0</w:t>
      </w:r>
      <w:r w:rsidRPr="00E05739">
        <w:t xml:space="preserve"> MW, </w:t>
      </w:r>
      <w:r>
        <w:t>or 5.7</w:t>
      </w:r>
      <w:r w:rsidRPr="00E05739">
        <w:t>%</w:t>
      </w:r>
      <w:r>
        <w:t xml:space="preserve"> of the average reference load.  </w:t>
      </w:r>
      <w:r w:rsidRPr="002A33E3">
        <w:t>At both utilities, events were only called on summer weekdays</w:t>
      </w:r>
      <w:r>
        <w:t xml:space="preserve">.  </w:t>
      </w:r>
      <w:r w:rsidRPr="002A33E3">
        <w:t>SDG&amp;E</w:t>
      </w:r>
      <w:r w:rsidR="00D03296">
        <w:t xml:space="preserve"> called one of two events on a weekday and the other on a weekend</w:t>
      </w:r>
      <w:r w:rsidRPr="002A33E3">
        <w:t>.  A third event</w:t>
      </w:r>
      <w:r w:rsidR="00D03296">
        <w:t xml:space="preserve"> at SDG&amp;E</w:t>
      </w:r>
      <w:r>
        <w:t xml:space="preserve">, </w:t>
      </w:r>
      <w:r w:rsidRPr="002A33E3">
        <w:t xml:space="preserve">scheduled for September 8, was cancelled </w:t>
      </w:r>
      <w:r>
        <w:t xml:space="preserve">part way through the event period </w:t>
      </w:r>
      <w:r w:rsidRPr="002A33E3">
        <w:t xml:space="preserve">due to a system wide blackout.  Because the two event days at SDG&amp;E </w:t>
      </w:r>
      <w:r>
        <w:t xml:space="preserve">represent different day types, they have not been averaged.  </w:t>
      </w:r>
      <w:r w:rsidRPr="002A33E3">
        <w:t>The approximately 1,300 enrolled acco</w:t>
      </w:r>
      <w:r>
        <w:t xml:space="preserve">unts </w:t>
      </w:r>
      <w:r w:rsidR="00014131">
        <w:t xml:space="preserve">at SDG&amp;E </w:t>
      </w:r>
      <w:r>
        <w:t>provided an average of 16.9 MW (6.3</w:t>
      </w:r>
      <w:r w:rsidRPr="002A33E3">
        <w:t>%) of load reduction on August 27</w:t>
      </w:r>
      <w:r>
        <w:t xml:space="preserve">, the weekend, </w:t>
      </w:r>
      <w:r w:rsidRPr="002A33E3">
        <w:t>an</w:t>
      </w:r>
      <w:r>
        <w:t>d 18.6 MW (5.2</w:t>
      </w:r>
      <w:r w:rsidRPr="002A33E3">
        <w:t>%) of load reduction on September 7</w:t>
      </w:r>
      <w:r>
        <w:t>, the</w:t>
      </w:r>
      <w:r w:rsidR="005C465D">
        <w:t> </w:t>
      </w:r>
      <w:r>
        <w:t>weekday.</w:t>
      </w:r>
    </w:p>
    <w:p w:rsidR="00EE5AAB" w:rsidRDefault="000820BE" w:rsidP="005C465D">
      <w:pPr>
        <w:pStyle w:val="BodyParagraph"/>
        <w:rPr>
          <w:lang w:val="en-CA"/>
        </w:rPr>
      </w:pPr>
      <w:r w:rsidRPr="00E05739">
        <w:lastRenderedPageBreak/>
        <w:t>Several key differences exist in ex post conditions across all three utilities</w:t>
      </w:r>
      <w:r>
        <w:t xml:space="preserve">.  As such, cross utility comparisons of load impacts </w:t>
      </w:r>
      <w:r w:rsidRPr="00E05739">
        <w:t xml:space="preserve">should be made with caution.  Each utility calls </w:t>
      </w:r>
      <w:r w:rsidR="00CE74BE">
        <w:t xml:space="preserve">CPP </w:t>
      </w:r>
      <w:r w:rsidRPr="00E05739">
        <w:t>event days based on the</w:t>
      </w:r>
      <w:r w:rsidR="00CF756B">
        <w:t xml:space="preserve">ir </w:t>
      </w:r>
      <w:r w:rsidR="00D03296">
        <w:t xml:space="preserve">own </w:t>
      </w:r>
      <w:r w:rsidR="00CF756B">
        <w:t>protocols, which include</w:t>
      </w:r>
      <w:r w:rsidRPr="00E05739">
        <w:t xml:space="preserve"> </w:t>
      </w:r>
      <w:r w:rsidR="00CF756B">
        <w:t xml:space="preserve">forecasted </w:t>
      </w:r>
      <w:r w:rsidRPr="00E05739">
        <w:t xml:space="preserve">conditions on their </w:t>
      </w:r>
      <w:r w:rsidR="00CF756B">
        <w:t xml:space="preserve">electrical </w:t>
      </w:r>
      <w:r w:rsidRPr="00E05739">
        <w:t xml:space="preserve">system.  Due to the climatic diversity in California, the </w:t>
      </w:r>
      <w:r w:rsidR="00CF756B">
        <w:t xml:space="preserve">electrical </w:t>
      </w:r>
      <w:r w:rsidRPr="00E05739">
        <w:t xml:space="preserve">system load patterns across utilities are not always coincident, particularly for Northern and Southern California.  For example, PG&amp;E's system peaked on </w:t>
      </w:r>
      <w:r>
        <w:t>June 21, 2011</w:t>
      </w:r>
      <w:r w:rsidRPr="00E05739">
        <w:t xml:space="preserve"> while SCE</w:t>
      </w:r>
      <w:r>
        <w:t>’s</w:t>
      </w:r>
      <w:r w:rsidRPr="00E05739">
        <w:t xml:space="preserve"> and SDG&amp;E's </w:t>
      </w:r>
      <w:r>
        <w:t xml:space="preserve">systems </w:t>
      </w:r>
      <w:r w:rsidRPr="00E05739">
        <w:t>peaked on</w:t>
      </w:r>
      <w:r>
        <w:t xml:space="preserve"> September 7, 2011</w:t>
      </w:r>
      <w:r w:rsidRPr="00E05739">
        <w:t xml:space="preserve">.  Another key difference in ex post results is event duration.  SDG&amp;E uses a longer event window, 11 AM to 6 PM, than PG&amp;E or SCE, which have a 2 PM to 6 PM window.  Another key difference is the </w:t>
      </w:r>
      <w:r w:rsidR="00786D4D">
        <w:t xml:space="preserve">CPP </w:t>
      </w:r>
      <w:r w:rsidRPr="00E05739">
        <w:t xml:space="preserve">rate </w:t>
      </w:r>
      <w:r w:rsidR="00786D4D">
        <w:t xml:space="preserve">design </w:t>
      </w:r>
      <w:r w:rsidRPr="00E05739">
        <w:t xml:space="preserve">itself.  </w:t>
      </w:r>
      <w:r w:rsidR="00786D4D">
        <w:rPr>
          <w:lang w:val="en-CA"/>
        </w:rPr>
        <w:t>T</w:t>
      </w:r>
      <w:r w:rsidRPr="00E05739">
        <w:rPr>
          <w:lang w:val="en-CA"/>
        </w:rPr>
        <w:t xml:space="preserve">here are many differences in the details of the tariffs and the implementation processes across the three utilities.  Although the basic </w:t>
      </w:r>
      <w:r w:rsidRPr="00E05739">
        <w:t>structure</w:t>
      </w:r>
      <w:r w:rsidRPr="00E05739">
        <w:rPr>
          <w:lang w:val="en-CA"/>
        </w:rPr>
        <w:t xml:space="preserve"> of the rates is similar, price levels themselves are fairly</w:t>
      </w:r>
      <w:r w:rsidR="00345A24">
        <w:rPr>
          <w:lang w:val="en-CA"/>
        </w:rPr>
        <w:t> </w:t>
      </w:r>
      <w:r w:rsidRPr="00E05739">
        <w:rPr>
          <w:lang w:val="en-CA"/>
        </w:rPr>
        <w:t xml:space="preserve">different. </w:t>
      </w:r>
    </w:p>
    <w:p w:rsidR="000C3991" w:rsidRDefault="005C7DAF" w:rsidP="005C465D">
      <w:pPr>
        <w:pStyle w:val="BodyParagraph"/>
      </w:pPr>
      <w:r>
        <w:t>Table 1-2 compares the average 2010 CPP event with the average 2011 CPP event for each utility.  The aggregate load impacts for the average event at PG&amp;E and SCE are larger in 2011 than 2010 by approximately 5 MW at each utility.  Further, the percent impacts on the average event day are noticeably larger</w:t>
      </w:r>
      <w:r w:rsidR="00786D4D">
        <w:t xml:space="preserve"> for PG&amp;E and SCE as well, but not so for SDG&amp;E</w:t>
      </w:r>
      <w:r>
        <w:t>.  In 2010</w:t>
      </w:r>
      <w:r w:rsidR="0027628B">
        <w:t>,</w:t>
      </w:r>
      <w:r>
        <w:t xml:space="preserve"> the percent impacts on</w:t>
      </w:r>
      <w:r w:rsidR="00227B1B">
        <w:t xml:space="preserve"> the average event day were 3.9% and 2.9</w:t>
      </w:r>
      <w:r>
        <w:t>% at PG&amp;E and SCE, respectively.  In 2011</w:t>
      </w:r>
      <w:r w:rsidR="000820BE">
        <w:t>,</w:t>
      </w:r>
      <w:r>
        <w:t xml:space="preserve"> the percent impacts on th</w:t>
      </w:r>
      <w:r w:rsidR="00227B1B">
        <w:t>e average event day grew to 5.9% and 5.7</w:t>
      </w:r>
      <w:r>
        <w:t>% at PG&amp;E and SCE, respectively.  At SDG&amp;E the percent impacts on the</w:t>
      </w:r>
      <w:r w:rsidR="00227B1B">
        <w:t xml:space="preserve"> average event day in 2010 (5.3</w:t>
      </w:r>
      <w:r>
        <w:t>%) closely match</w:t>
      </w:r>
      <w:r w:rsidR="000820BE">
        <w:t>ed</w:t>
      </w:r>
      <w:r>
        <w:t xml:space="preserve"> the percent impacts observed for the</w:t>
      </w:r>
      <w:r w:rsidR="00227B1B">
        <w:t xml:space="preserve"> one weekday event in 2011 (5.2</w:t>
      </w:r>
      <w:r>
        <w:t xml:space="preserve">%).  The aggregate </w:t>
      </w:r>
      <w:r w:rsidR="005D33DC">
        <w:t xml:space="preserve">SDG&amp;E </w:t>
      </w:r>
      <w:r>
        <w:t>load impacts between the two years differ by a nominal amount</w:t>
      </w:r>
      <w:r w:rsidR="000820BE">
        <w:t>,</w:t>
      </w:r>
      <w:r>
        <w:t xml:space="preserve"> as do the reference loads.  </w:t>
      </w:r>
    </w:p>
    <w:p w:rsidR="005C7DAF" w:rsidRDefault="005C7DAF" w:rsidP="005C465D">
      <w:pPr>
        <w:pStyle w:val="TableFigureCaption"/>
        <w:rPr>
          <w:vertAlign w:val="superscript"/>
        </w:rPr>
      </w:pPr>
      <w:r>
        <w:t>Table 1-2:</w:t>
      </w:r>
      <w:r w:rsidR="005C465D">
        <w:t xml:space="preserve"> </w:t>
      </w:r>
      <w:r>
        <w:t>Summary of 2010 and 2011 Statewide CPP Impacts</w:t>
      </w:r>
      <w:r>
        <w:br/>
        <w:t>Average Event Day</w:t>
      </w:r>
      <w:r>
        <w:rPr>
          <w:vertAlign w:val="superscript"/>
        </w:rPr>
        <w:t>*</w:t>
      </w:r>
    </w:p>
    <w:tbl>
      <w:tblPr>
        <w:tblW w:w="8820" w:type="dxa"/>
        <w:tblInd w:w="93" w:type="dxa"/>
        <w:tblLook w:val="04A0"/>
      </w:tblPr>
      <w:tblGrid>
        <w:gridCol w:w="960"/>
        <w:gridCol w:w="880"/>
        <w:gridCol w:w="972"/>
        <w:gridCol w:w="1439"/>
        <w:gridCol w:w="1184"/>
        <w:gridCol w:w="1060"/>
        <w:gridCol w:w="1220"/>
        <w:gridCol w:w="1428"/>
      </w:tblGrid>
      <w:tr w:rsidR="00227B1B" w:rsidRPr="00227B1B" w:rsidTr="00FB5727">
        <w:trPr>
          <w:trHeight w:val="900"/>
        </w:trPr>
        <w:tc>
          <w:tcPr>
            <w:tcW w:w="960" w:type="dxa"/>
            <w:tcBorders>
              <w:top w:val="single" w:sz="4" w:space="0" w:color="auto"/>
              <w:left w:val="single" w:sz="4" w:space="0" w:color="auto"/>
              <w:bottom w:val="single" w:sz="4" w:space="0" w:color="auto"/>
              <w:right w:val="single" w:sz="4" w:space="0" w:color="FFFFFF"/>
            </w:tcBorders>
            <w:shd w:val="clear" w:color="000000" w:fill="1F497D" w:themeFill="text2"/>
            <w:noWrap/>
            <w:vAlign w:val="bottom"/>
            <w:hideMark/>
          </w:tcPr>
          <w:p w:rsidR="00227B1B" w:rsidRPr="00227B1B" w:rsidRDefault="00227B1B" w:rsidP="00227B1B">
            <w:pPr>
              <w:spacing w:after="0" w:line="240" w:lineRule="auto"/>
              <w:rPr>
                <w:rFonts w:ascii="Arial" w:eastAsia="Times New Roman" w:hAnsi="Arial" w:cs="Arial"/>
                <w:b/>
                <w:bCs/>
                <w:color w:val="FFFFFF"/>
                <w:sz w:val="20"/>
                <w:szCs w:val="20"/>
              </w:rPr>
            </w:pPr>
            <w:r w:rsidRPr="00227B1B">
              <w:rPr>
                <w:rFonts w:ascii="Arial" w:eastAsia="Times New Roman" w:hAnsi="Arial" w:cs="Arial"/>
                <w:b/>
                <w:bCs/>
                <w:color w:val="FFFFFF"/>
                <w:sz w:val="20"/>
                <w:szCs w:val="20"/>
              </w:rPr>
              <w:t> </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227B1B" w:rsidRPr="00227B1B" w:rsidRDefault="00227B1B" w:rsidP="00052A56">
            <w:pPr>
              <w:pStyle w:val="TableHeader"/>
            </w:pPr>
            <w:r w:rsidRPr="00227B1B">
              <w:t>Year</w:t>
            </w:r>
          </w:p>
        </w:tc>
        <w:tc>
          <w:tcPr>
            <w:tcW w:w="960" w:type="dxa"/>
            <w:tcBorders>
              <w:top w:val="single" w:sz="4" w:space="0" w:color="auto"/>
              <w:left w:val="nil"/>
              <w:bottom w:val="single" w:sz="4" w:space="0" w:color="auto"/>
              <w:right w:val="single" w:sz="4" w:space="0" w:color="FFFFFF"/>
            </w:tcBorders>
            <w:shd w:val="clear" w:color="000000" w:fill="1F497D" w:themeFill="text2"/>
            <w:vAlign w:val="center"/>
            <w:hideMark/>
          </w:tcPr>
          <w:p w:rsidR="00227B1B" w:rsidRPr="00227B1B" w:rsidRDefault="00227B1B" w:rsidP="00052A56">
            <w:pPr>
              <w:pStyle w:val="TableHeader"/>
            </w:pPr>
            <w:r w:rsidRPr="00227B1B">
              <w:t>Number of Events Called</w:t>
            </w:r>
          </w:p>
        </w:tc>
        <w:tc>
          <w:tcPr>
            <w:tcW w:w="1380" w:type="dxa"/>
            <w:tcBorders>
              <w:top w:val="single" w:sz="4" w:space="0" w:color="auto"/>
              <w:left w:val="nil"/>
              <w:bottom w:val="single" w:sz="4" w:space="0" w:color="auto"/>
              <w:right w:val="single" w:sz="4" w:space="0" w:color="FFFFFF"/>
            </w:tcBorders>
            <w:shd w:val="clear" w:color="000000" w:fill="1F497D" w:themeFill="text2"/>
            <w:vAlign w:val="center"/>
            <w:hideMark/>
          </w:tcPr>
          <w:p w:rsidR="00227B1B" w:rsidRPr="00227B1B" w:rsidRDefault="00227B1B" w:rsidP="00052A56">
            <w:pPr>
              <w:pStyle w:val="TableHeader"/>
            </w:pPr>
            <w:r w:rsidRPr="00227B1B">
              <w:t>Approximate Customer Count</w:t>
            </w:r>
          </w:p>
        </w:tc>
        <w:tc>
          <w:tcPr>
            <w:tcW w:w="1060" w:type="dxa"/>
            <w:tcBorders>
              <w:top w:val="single" w:sz="4" w:space="0" w:color="auto"/>
              <w:left w:val="nil"/>
              <w:bottom w:val="single" w:sz="4" w:space="0" w:color="auto"/>
              <w:right w:val="single" w:sz="4" w:space="0" w:color="FFFFFF"/>
            </w:tcBorders>
            <w:shd w:val="clear" w:color="000000" w:fill="1F497D" w:themeFill="text2"/>
            <w:vAlign w:val="center"/>
            <w:hideMark/>
          </w:tcPr>
          <w:p w:rsidR="00227B1B" w:rsidRPr="00227B1B" w:rsidRDefault="00227B1B" w:rsidP="00052A56">
            <w:pPr>
              <w:pStyle w:val="TableHeader"/>
            </w:pPr>
            <w:r w:rsidRPr="00227B1B">
              <w:t xml:space="preserve">Reference Load (MW) </w:t>
            </w:r>
          </w:p>
        </w:tc>
        <w:tc>
          <w:tcPr>
            <w:tcW w:w="1060" w:type="dxa"/>
            <w:tcBorders>
              <w:top w:val="single" w:sz="4" w:space="0" w:color="auto"/>
              <w:left w:val="nil"/>
              <w:bottom w:val="single" w:sz="4" w:space="0" w:color="auto"/>
              <w:right w:val="single" w:sz="4" w:space="0" w:color="FFFFFF"/>
            </w:tcBorders>
            <w:shd w:val="clear" w:color="000000" w:fill="1F497D" w:themeFill="text2"/>
            <w:vAlign w:val="center"/>
            <w:hideMark/>
          </w:tcPr>
          <w:p w:rsidR="00227B1B" w:rsidRPr="00227B1B" w:rsidRDefault="00227B1B" w:rsidP="00052A56">
            <w:pPr>
              <w:pStyle w:val="TableHeader"/>
            </w:pPr>
            <w:r w:rsidRPr="00227B1B">
              <w:t xml:space="preserve">Load Impact (MW) </w:t>
            </w:r>
          </w:p>
        </w:tc>
        <w:tc>
          <w:tcPr>
            <w:tcW w:w="1220" w:type="dxa"/>
            <w:tcBorders>
              <w:top w:val="single" w:sz="4" w:space="0" w:color="auto"/>
              <w:left w:val="nil"/>
              <w:bottom w:val="single" w:sz="4" w:space="0" w:color="auto"/>
              <w:right w:val="single" w:sz="4" w:space="0" w:color="FFFFFF"/>
            </w:tcBorders>
            <w:shd w:val="clear" w:color="000000" w:fill="1F497D" w:themeFill="text2"/>
            <w:vAlign w:val="center"/>
            <w:hideMark/>
          </w:tcPr>
          <w:p w:rsidR="00227B1B" w:rsidRPr="00227B1B" w:rsidRDefault="00227B1B" w:rsidP="00052A56">
            <w:pPr>
              <w:pStyle w:val="TableHeader"/>
            </w:pPr>
            <w:r w:rsidRPr="00227B1B">
              <w:t xml:space="preserve">Percent Impact (%) </w:t>
            </w:r>
          </w:p>
        </w:tc>
        <w:tc>
          <w:tcPr>
            <w:tcW w:w="1300" w:type="dxa"/>
            <w:tcBorders>
              <w:top w:val="single" w:sz="4" w:space="0" w:color="auto"/>
              <w:left w:val="nil"/>
              <w:bottom w:val="single" w:sz="4" w:space="0" w:color="auto"/>
              <w:right w:val="single" w:sz="4" w:space="0" w:color="auto"/>
            </w:tcBorders>
            <w:shd w:val="clear" w:color="000000" w:fill="1F497D" w:themeFill="text2"/>
            <w:vAlign w:val="center"/>
            <w:hideMark/>
          </w:tcPr>
          <w:p w:rsidR="00227B1B" w:rsidRPr="00227B1B" w:rsidRDefault="00227B1B" w:rsidP="00052A56">
            <w:pPr>
              <w:pStyle w:val="TableHeader"/>
            </w:pPr>
            <w:r w:rsidRPr="00227B1B">
              <w:t xml:space="preserve">Temperature (°F) </w:t>
            </w:r>
          </w:p>
        </w:tc>
      </w:tr>
      <w:tr w:rsidR="00227B1B" w:rsidRPr="00227B1B" w:rsidTr="00FB5727">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227B1B" w:rsidRPr="00E155EE" w:rsidRDefault="00227B1B" w:rsidP="00052A56">
            <w:pPr>
              <w:pStyle w:val="TableHeader"/>
              <w:rPr>
                <w:color w:val="000000" w:themeColor="text1"/>
              </w:rPr>
            </w:pPr>
            <w:r w:rsidRPr="00E155EE">
              <w:rPr>
                <w:color w:val="000000" w:themeColor="text1"/>
              </w:rPr>
              <w:t>PG&amp;E</w:t>
            </w:r>
          </w:p>
        </w:tc>
        <w:tc>
          <w:tcPr>
            <w:tcW w:w="8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2010</w:t>
            </w:r>
          </w:p>
        </w:tc>
        <w:tc>
          <w:tcPr>
            <w:tcW w:w="9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9</w:t>
            </w:r>
          </w:p>
        </w:tc>
        <w:tc>
          <w:tcPr>
            <w:tcW w:w="13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1,650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592.0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23.0</w:t>
            </w:r>
          </w:p>
        </w:tc>
        <w:tc>
          <w:tcPr>
            <w:tcW w:w="122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3.9%</w:t>
            </w:r>
          </w:p>
        </w:tc>
        <w:tc>
          <w:tcPr>
            <w:tcW w:w="130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90.2</w:t>
            </w:r>
          </w:p>
        </w:tc>
      </w:tr>
      <w:tr w:rsidR="00227B1B" w:rsidRPr="00227B1B" w:rsidTr="00E155EE">
        <w:trPr>
          <w:trHeight w:val="300"/>
        </w:trPr>
        <w:tc>
          <w:tcPr>
            <w:tcW w:w="960" w:type="dxa"/>
            <w:vMerge/>
            <w:tcBorders>
              <w:top w:val="single" w:sz="4" w:space="0" w:color="FFFFFF"/>
              <w:left w:val="single" w:sz="4" w:space="0" w:color="auto"/>
              <w:bottom w:val="single" w:sz="4" w:space="0" w:color="000000"/>
              <w:right w:val="single" w:sz="4" w:space="0" w:color="auto"/>
            </w:tcBorders>
            <w:shd w:val="clear" w:color="auto" w:fill="FFFFFF" w:themeFill="background1"/>
            <w:vAlign w:val="center"/>
            <w:hideMark/>
          </w:tcPr>
          <w:p w:rsidR="00227B1B" w:rsidRPr="00E155EE" w:rsidRDefault="00227B1B" w:rsidP="00052A56">
            <w:pPr>
              <w:pStyle w:val="TableHeader"/>
              <w:rPr>
                <w:color w:val="000000" w:themeColor="text1"/>
              </w:rPr>
            </w:pPr>
          </w:p>
        </w:tc>
        <w:tc>
          <w:tcPr>
            <w:tcW w:w="8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2011</w:t>
            </w:r>
          </w:p>
        </w:tc>
        <w:tc>
          <w:tcPr>
            <w:tcW w:w="9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9</w:t>
            </w:r>
          </w:p>
        </w:tc>
        <w:tc>
          <w:tcPr>
            <w:tcW w:w="13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1,750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473.4</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27.8</w:t>
            </w:r>
          </w:p>
        </w:tc>
        <w:tc>
          <w:tcPr>
            <w:tcW w:w="122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5.9%</w:t>
            </w:r>
          </w:p>
        </w:tc>
        <w:tc>
          <w:tcPr>
            <w:tcW w:w="130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88.1</w:t>
            </w:r>
          </w:p>
        </w:tc>
      </w:tr>
      <w:tr w:rsidR="00227B1B" w:rsidRPr="00227B1B" w:rsidTr="00E155EE">
        <w:trPr>
          <w:trHeight w:val="300"/>
        </w:trPr>
        <w:tc>
          <w:tcPr>
            <w:tcW w:w="960" w:type="dxa"/>
            <w:vMerge w:val="restart"/>
            <w:tcBorders>
              <w:top w:val="single" w:sz="4" w:space="0" w:color="FFFFFF" w:themeColor="background1"/>
              <w:left w:val="single" w:sz="4" w:space="0" w:color="auto"/>
              <w:bottom w:val="single" w:sz="4" w:space="0" w:color="000000"/>
              <w:right w:val="single" w:sz="4" w:space="0" w:color="auto"/>
            </w:tcBorders>
            <w:shd w:val="clear" w:color="auto" w:fill="FFFFFF" w:themeFill="background1"/>
            <w:noWrap/>
            <w:vAlign w:val="center"/>
            <w:hideMark/>
          </w:tcPr>
          <w:p w:rsidR="00227B1B" w:rsidRPr="00E155EE" w:rsidRDefault="00227B1B" w:rsidP="00052A56">
            <w:pPr>
              <w:pStyle w:val="TableHeader"/>
              <w:rPr>
                <w:color w:val="000000" w:themeColor="text1"/>
              </w:rPr>
            </w:pPr>
            <w:r w:rsidRPr="00E155EE">
              <w:rPr>
                <w:color w:val="000000" w:themeColor="text1"/>
              </w:rPr>
              <w:t>SCE</w:t>
            </w:r>
          </w:p>
        </w:tc>
        <w:tc>
          <w:tcPr>
            <w:tcW w:w="8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2010</w:t>
            </w:r>
          </w:p>
        </w:tc>
        <w:tc>
          <w:tcPr>
            <w:tcW w:w="9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12</w:t>
            </w:r>
          </w:p>
        </w:tc>
        <w:tc>
          <w:tcPr>
            <w:tcW w:w="13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4,100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1077.2</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30.7</w:t>
            </w:r>
          </w:p>
        </w:tc>
        <w:tc>
          <w:tcPr>
            <w:tcW w:w="122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2.9%</w:t>
            </w:r>
          </w:p>
        </w:tc>
        <w:tc>
          <w:tcPr>
            <w:tcW w:w="130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84.7</w:t>
            </w:r>
          </w:p>
        </w:tc>
      </w:tr>
      <w:tr w:rsidR="00227B1B" w:rsidRPr="00227B1B" w:rsidTr="00E155EE">
        <w:trPr>
          <w:trHeight w:val="300"/>
        </w:trPr>
        <w:tc>
          <w:tcPr>
            <w:tcW w:w="960" w:type="dxa"/>
            <w:vMerge/>
            <w:tcBorders>
              <w:top w:val="single" w:sz="4" w:space="0" w:color="FFFFFF"/>
              <w:left w:val="single" w:sz="4" w:space="0" w:color="auto"/>
              <w:bottom w:val="single" w:sz="4" w:space="0" w:color="000000"/>
              <w:right w:val="single" w:sz="4" w:space="0" w:color="auto"/>
            </w:tcBorders>
            <w:shd w:val="clear" w:color="auto" w:fill="FFFFFF" w:themeFill="background1"/>
            <w:vAlign w:val="center"/>
            <w:hideMark/>
          </w:tcPr>
          <w:p w:rsidR="00227B1B" w:rsidRPr="00E155EE" w:rsidRDefault="00227B1B" w:rsidP="00052A56">
            <w:pPr>
              <w:pStyle w:val="TableHeader"/>
              <w:rPr>
                <w:color w:val="000000" w:themeColor="text1"/>
              </w:rPr>
            </w:pPr>
          </w:p>
        </w:tc>
        <w:tc>
          <w:tcPr>
            <w:tcW w:w="8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2011</w:t>
            </w:r>
          </w:p>
        </w:tc>
        <w:tc>
          <w:tcPr>
            <w:tcW w:w="9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12</w:t>
            </w:r>
          </w:p>
        </w:tc>
        <w:tc>
          <w:tcPr>
            <w:tcW w:w="13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3,000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615.4</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35.0</w:t>
            </w:r>
          </w:p>
        </w:tc>
        <w:tc>
          <w:tcPr>
            <w:tcW w:w="122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5.7%</w:t>
            </w:r>
          </w:p>
        </w:tc>
        <w:tc>
          <w:tcPr>
            <w:tcW w:w="130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84.7</w:t>
            </w:r>
          </w:p>
        </w:tc>
      </w:tr>
      <w:tr w:rsidR="00227B1B" w:rsidRPr="00227B1B" w:rsidTr="00E155EE">
        <w:trPr>
          <w:trHeight w:val="300"/>
        </w:trPr>
        <w:tc>
          <w:tcPr>
            <w:tcW w:w="960" w:type="dxa"/>
            <w:vMerge w:val="restart"/>
            <w:tcBorders>
              <w:top w:val="single" w:sz="4" w:space="0" w:color="FFFFFF" w:themeColor="background1"/>
              <w:left w:val="single" w:sz="4" w:space="0" w:color="auto"/>
              <w:bottom w:val="single" w:sz="4" w:space="0" w:color="000000"/>
              <w:right w:val="single" w:sz="4" w:space="0" w:color="auto"/>
            </w:tcBorders>
            <w:shd w:val="clear" w:color="auto" w:fill="FFFFFF" w:themeFill="background1"/>
            <w:noWrap/>
            <w:vAlign w:val="center"/>
            <w:hideMark/>
          </w:tcPr>
          <w:p w:rsidR="00227B1B" w:rsidRPr="00E155EE" w:rsidRDefault="00227B1B" w:rsidP="00052A56">
            <w:pPr>
              <w:pStyle w:val="TableHeader"/>
              <w:rPr>
                <w:color w:val="000000" w:themeColor="text1"/>
              </w:rPr>
            </w:pPr>
            <w:r w:rsidRPr="00E155EE">
              <w:rPr>
                <w:color w:val="000000" w:themeColor="text1"/>
              </w:rPr>
              <w:t>SDG&amp;E</w:t>
            </w:r>
          </w:p>
        </w:tc>
        <w:tc>
          <w:tcPr>
            <w:tcW w:w="8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2010</w:t>
            </w:r>
          </w:p>
        </w:tc>
        <w:tc>
          <w:tcPr>
            <w:tcW w:w="9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4</w:t>
            </w:r>
          </w:p>
        </w:tc>
        <w:tc>
          <w:tcPr>
            <w:tcW w:w="13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1,350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356.8</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18.8</w:t>
            </w:r>
          </w:p>
        </w:tc>
        <w:tc>
          <w:tcPr>
            <w:tcW w:w="122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5.3%</w:t>
            </w:r>
          </w:p>
        </w:tc>
        <w:tc>
          <w:tcPr>
            <w:tcW w:w="130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81.3</w:t>
            </w:r>
          </w:p>
        </w:tc>
      </w:tr>
      <w:tr w:rsidR="00227B1B" w:rsidRPr="00227B1B" w:rsidTr="00E155EE">
        <w:trPr>
          <w:trHeight w:val="300"/>
        </w:trPr>
        <w:tc>
          <w:tcPr>
            <w:tcW w:w="960" w:type="dxa"/>
            <w:vMerge/>
            <w:tcBorders>
              <w:top w:val="single" w:sz="4" w:space="0" w:color="FFFFFF"/>
              <w:left w:val="single" w:sz="4" w:space="0" w:color="auto"/>
              <w:bottom w:val="single" w:sz="4" w:space="0" w:color="000000"/>
              <w:right w:val="single" w:sz="4" w:space="0" w:color="auto"/>
            </w:tcBorders>
            <w:shd w:val="clear" w:color="auto" w:fill="FFFFFF" w:themeFill="background1"/>
            <w:vAlign w:val="center"/>
            <w:hideMark/>
          </w:tcPr>
          <w:p w:rsidR="00227B1B" w:rsidRPr="00227B1B" w:rsidRDefault="00227B1B" w:rsidP="00227B1B">
            <w:pPr>
              <w:spacing w:after="0" w:line="240" w:lineRule="auto"/>
              <w:rPr>
                <w:rFonts w:ascii="Arial" w:eastAsia="Times New Roman" w:hAnsi="Arial" w:cs="Arial"/>
                <w:b/>
                <w:bCs/>
                <w:color w:val="FFFFFF"/>
                <w:sz w:val="20"/>
                <w:szCs w:val="20"/>
              </w:rPr>
            </w:pPr>
          </w:p>
        </w:tc>
        <w:tc>
          <w:tcPr>
            <w:tcW w:w="8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2011</w:t>
            </w:r>
          </w:p>
        </w:tc>
        <w:tc>
          <w:tcPr>
            <w:tcW w:w="9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2</w:t>
            </w:r>
          </w:p>
        </w:tc>
        <w:tc>
          <w:tcPr>
            <w:tcW w:w="138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1,300</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358.8</w:t>
            </w:r>
          </w:p>
        </w:tc>
        <w:tc>
          <w:tcPr>
            <w:tcW w:w="106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18.6</w:t>
            </w:r>
          </w:p>
        </w:tc>
        <w:tc>
          <w:tcPr>
            <w:tcW w:w="122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5.2%</w:t>
            </w:r>
          </w:p>
        </w:tc>
        <w:tc>
          <w:tcPr>
            <w:tcW w:w="1300" w:type="dxa"/>
            <w:tcBorders>
              <w:top w:val="nil"/>
              <w:left w:val="nil"/>
              <w:bottom w:val="single" w:sz="4" w:space="0" w:color="auto"/>
              <w:right w:val="single" w:sz="4" w:space="0" w:color="auto"/>
            </w:tcBorders>
            <w:shd w:val="clear" w:color="auto" w:fill="auto"/>
            <w:noWrap/>
            <w:vAlign w:val="center"/>
            <w:hideMark/>
          </w:tcPr>
          <w:p w:rsidR="00227B1B" w:rsidRPr="00227B1B" w:rsidRDefault="00227B1B" w:rsidP="00052A56">
            <w:pPr>
              <w:pStyle w:val="TableText"/>
              <w:jc w:val="center"/>
            </w:pPr>
            <w:r w:rsidRPr="00227B1B">
              <w:t>86.</w:t>
            </w:r>
            <w:r>
              <w:t>2</w:t>
            </w:r>
          </w:p>
        </w:tc>
      </w:tr>
    </w:tbl>
    <w:p w:rsidR="005C7DAF" w:rsidRDefault="005C7DAF" w:rsidP="005C465D">
      <w:pPr>
        <w:pStyle w:val="Footnote"/>
      </w:pPr>
      <w:r>
        <w:t xml:space="preserve"> *For SDG&amp;E the average event day in 2011 is </w:t>
      </w:r>
      <w:r w:rsidRPr="005C465D">
        <w:t>the</w:t>
      </w:r>
      <w:r>
        <w:t xml:space="preserve"> weekday event on September 7.</w:t>
      </w:r>
    </w:p>
    <w:p w:rsidR="0076615D" w:rsidRDefault="000820BE" w:rsidP="005C465D">
      <w:pPr>
        <w:pStyle w:val="BodyParaAfterTableFigure"/>
      </w:pPr>
      <w:r>
        <w:t xml:space="preserve">Statewide, from 2009 to 2010, the number of CPP participants increased from approximately 2,700 to 7,100 customers.  </w:t>
      </w:r>
      <w:r w:rsidR="00401DED">
        <w:t>By summer 2011</w:t>
      </w:r>
      <w:r w:rsidR="00D03296">
        <w:t>,</w:t>
      </w:r>
      <w:r w:rsidR="00401DED">
        <w:t xml:space="preserve"> bill protection expired for PG&amp;E and SCE and </w:t>
      </w:r>
      <w:r>
        <w:t xml:space="preserve">statewide enrollment in CPP during the 2011 summer was approximately 6,050 accounts.  With fewer participants, the event day load absent DR – the reference load – decreased from 2,027 MW in 2010 to about 1,500 MW in 2011.  However, in spite of this </w:t>
      </w:r>
      <w:r w:rsidR="00786D4D">
        <w:t xml:space="preserve">drop </w:t>
      </w:r>
      <w:r>
        <w:t xml:space="preserve">in enrollment, aggregate </w:t>
      </w:r>
      <w:r w:rsidR="00786D4D">
        <w:t xml:space="preserve">statewide CPP </w:t>
      </w:r>
      <w:r>
        <w:t xml:space="preserve">load impacts increased from </w:t>
      </w:r>
      <w:r w:rsidR="008F3F0A">
        <w:t xml:space="preserve">72.5 MW in </w:t>
      </w:r>
      <w:r>
        <w:t xml:space="preserve">2010 to </w:t>
      </w:r>
      <w:r w:rsidR="008F3F0A">
        <w:t xml:space="preserve">81.4 MW in </w:t>
      </w:r>
      <w:r>
        <w:t>2011</w:t>
      </w:r>
      <w:r w:rsidR="008F3F0A">
        <w:t xml:space="preserve">.  </w:t>
      </w:r>
    </w:p>
    <w:p w:rsidR="00401DED" w:rsidRDefault="00401DED" w:rsidP="005C465D">
      <w:pPr>
        <w:pStyle w:val="BodyParagraph"/>
      </w:pPr>
      <w:r>
        <w:t>Differences</w:t>
      </w:r>
      <w:r w:rsidR="00EE5AAB">
        <w:t xml:space="preserve"> in load reductions</w:t>
      </w:r>
      <w:r>
        <w:t xml:space="preserve"> across years </w:t>
      </w:r>
      <w:r w:rsidR="00593358">
        <w:t xml:space="preserve">can </w:t>
      </w:r>
      <w:r w:rsidR="00D03296">
        <w:t xml:space="preserve">be due in part </w:t>
      </w:r>
      <w:r w:rsidR="00EE5AAB">
        <w:t xml:space="preserve">to </w:t>
      </w:r>
      <w:r>
        <w:t xml:space="preserve">differences in the participant mix.  Approximately </w:t>
      </w:r>
      <w:r w:rsidRPr="008F3F0A">
        <w:t>1</w:t>
      </w:r>
      <w:r>
        <w:t>,</w:t>
      </w:r>
      <w:r w:rsidRPr="008F3F0A">
        <w:t>800</w:t>
      </w:r>
      <w:r>
        <w:t xml:space="preserve"> SCE </w:t>
      </w:r>
      <w:r w:rsidR="00593358">
        <w:t xml:space="preserve">service accounts </w:t>
      </w:r>
      <w:r>
        <w:t xml:space="preserve">migrated off CPP between 2010 and 2011.  The attrition </w:t>
      </w:r>
      <w:r>
        <w:lastRenderedPageBreak/>
        <w:t>was somewhat offset by enrollment of an additional 750 accounts, out of which approximately 400 were voluntary small and medium accounts.  The customer mix also changed substantially at PG&amp;E, although net enrollment did not change much.  While PG&amp;E had approximately 1,650 accounts for the average 2010</w:t>
      </w:r>
      <w:r w:rsidR="005D33DC">
        <w:t xml:space="preserve"> event</w:t>
      </w:r>
      <w:r>
        <w:t xml:space="preserve">, toward the end of the summer over 1,800 accounts were enrolled in CPP rates.  </w:t>
      </w:r>
      <w:r w:rsidR="0076615D">
        <w:t>Roughly 480 of those accounts either opted out or closed before the 2011 summer,</w:t>
      </w:r>
      <w:r w:rsidR="00794A5C">
        <w:t xml:space="preserve"> mostly from the Offices and Schools business sectors</w:t>
      </w:r>
      <w:r w:rsidR="0076615D">
        <w:t>.</w:t>
      </w:r>
      <w:r w:rsidR="00794A5C">
        <w:t xml:space="preserve">  </w:t>
      </w:r>
      <w:r w:rsidR="0076615D">
        <w:t xml:space="preserve">The attrition </w:t>
      </w:r>
      <w:r w:rsidR="00CF756B">
        <w:t xml:space="preserve">at PG&amp;E </w:t>
      </w:r>
      <w:r w:rsidR="0076615D">
        <w:t xml:space="preserve">was offset by </w:t>
      </w:r>
      <w:r w:rsidR="00D03296">
        <w:t xml:space="preserve">the </w:t>
      </w:r>
      <w:r w:rsidR="00794A5C">
        <w:t>addition of approximately 400 customers, the bulk of which came from the Agricultural, Water</w:t>
      </w:r>
      <w:r w:rsidR="00D03296">
        <w:t>,</w:t>
      </w:r>
      <w:r w:rsidR="00794A5C">
        <w:t xml:space="preserve"> Transportation and Manufacturing sectors, </w:t>
      </w:r>
      <w:r w:rsidR="002A5ABE" w:rsidRPr="002A5ABE">
        <w:t>which historically have provided larger than average percent reductions.</w:t>
      </w:r>
      <w:r w:rsidR="00794A5C">
        <w:t xml:space="preserve"> </w:t>
      </w:r>
      <w:r w:rsidR="0076615D">
        <w:t xml:space="preserve"> </w:t>
      </w:r>
    </w:p>
    <w:p w:rsidR="000C3991" w:rsidRDefault="000820BE" w:rsidP="005C465D">
      <w:pPr>
        <w:pStyle w:val="BodyParagraph"/>
      </w:pPr>
      <w:r>
        <w:t>Load impacts</w:t>
      </w:r>
      <w:r w:rsidR="00794A5C">
        <w:t xml:space="preserve"> and enrollment</w:t>
      </w:r>
      <w:r>
        <w:t xml:space="preserve"> at SDG&amp;E remained relatively stable from 2010 to 2011.  However, because there was only one weekday event at SDG&amp;E, the cross-year comparison </w:t>
      </w:r>
      <w:r w:rsidR="00593358">
        <w:t xml:space="preserve">of impacts </w:t>
      </w:r>
      <w:r>
        <w:t>is weaker.  Detailed changes in enrollment, reference load and load impacts for each utility are presented later in the report, as is a more detailed discussion of impact differences between 2010 and</w:t>
      </w:r>
      <w:r w:rsidR="005C465D">
        <w:t> </w:t>
      </w:r>
      <w:r>
        <w:t xml:space="preserve">2011. </w:t>
      </w:r>
    </w:p>
    <w:p w:rsidR="008C3CFB" w:rsidRPr="001B59E5" w:rsidRDefault="008C3CFB" w:rsidP="008C3CFB">
      <w:pPr>
        <w:pStyle w:val="Heading2"/>
        <w:ind w:left="540" w:hanging="540"/>
      </w:pPr>
      <w:bookmarkStart w:id="37" w:name="_Toc289177990"/>
      <w:bookmarkStart w:id="38" w:name="_Toc326072092"/>
      <w:r w:rsidRPr="001B59E5">
        <w:t>Ex Ante Load Impact Summary</w:t>
      </w:r>
      <w:bookmarkEnd w:id="37"/>
      <w:bookmarkEnd w:id="38"/>
    </w:p>
    <w:p w:rsidR="00890B1A" w:rsidRDefault="00890B1A" w:rsidP="008C3CFB">
      <w:pPr>
        <w:pStyle w:val="BodyParagraph"/>
      </w:pPr>
      <w:r>
        <w:t>Ex ante impacts reflect the load reductions capability of the program under a standard set of 1-in-2 and 1-in-10 weather year conditions and factor in expected changes in enrollment and known upcoming policy or rate changes.</w:t>
      </w:r>
      <w:r w:rsidRPr="005C465D">
        <w:t xml:space="preserve">  </w:t>
      </w:r>
    </w:p>
    <w:p w:rsidR="008C3CFB" w:rsidRPr="001B59E5" w:rsidRDefault="008C3CFB" w:rsidP="008C3CFB">
      <w:pPr>
        <w:pStyle w:val="BodyParagraph"/>
      </w:pPr>
      <w:r w:rsidRPr="001B59E5">
        <w:t xml:space="preserve">Within the next </w:t>
      </w:r>
      <w:r w:rsidR="001B59E5">
        <w:t>2</w:t>
      </w:r>
      <w:r w:rsidRPr="001B59E5">
        <w:t xml:space="preserve"> years, an additional 220,000 medium and 1,000,000 small non-residential accounts are scheduled to default onto CPP across California.  Small C&amp;I and agricultural accounts are not included in the ex ante load impacts because there is no empirical data on customer enrollment and impacts under default CPP.  SCE medium C&amp;I impacts are not included in this year's report because they lack data on medium customer price response under default conditions.  SCE submitted medium C&amp;I impact estimates under voluntary CPP with their smart meter application and plans to rely on those estimates until empirical data on price response under default conditions become available for their customers.   </w:t>
      </w:r>
    </w:p>
    <w:p w:rsidR="008C3CFB" w:rsidRPr="001B59E5" w:rsidRDefault="008C3CFB" w:rsidP="008C3CFB">
      <w:pPr>
        <w:pStyle w:val="BodyParagraph"/>
      </w:pPr>
      <w:r w:rsidRPr="001B59E5">
        <w:t xml:space="preserve">For customers already enrolled in CPP, the ex ante impacts are reliable as long as there is a sufficiently long history of events under different weather conditions, including extreme ones.  The primary source of uncertainty in ex ante impacts arises from program changes.  These include growth in program participants, changes in program rules or tariff design and policy shifts.  </w:t>
      </w:r>
    </w:p>
    <w:p w:rsidR="008C3CFB" w:rsidRPr="001B59E5" w:rsidRDefault="008C3CFB" w:rsidP="008C3CFB">
      <w:pPr>
        <w:pStyle w:val="BodyParagraph"/>
      </w:pPr>
      <w:r w:rsidRPr="001B59E5">
        <w:t xml:space="preserve">For large customers, uncertainty in ex ante load impacts is relatively small because most of them have already been defaulted onto CPP.  We now know what initial year </w:t>
      </w:r>
      <w:r w:rsidR="001B59E5">
        <w:t xml:space="preserve">and second year </w:t>
      </w:r>
      <w:r w:rsidRPr="001B59E5">
        <w:t>retention rates were, how much load reduc</w:t>
      </w:r>
      <w:r w:rsidR="001B59E5">
        <w:t>tion</w:t>
      </w:r>
      <w:r w:rsidRPr="001B59E5">
        <w:t xml:space="preserve"> they provided during events and what types of customers are more price responsive.  For medium customers there is a growing body of evidence regarding the likelihood they remain on default CPP and their price responsiveness when defaulted.  The uncertainty associated with medium customer participation rates and load impacts, however, is larger than it is for the large customer population.  To obtain a larger and more diverse sample, customers that were slightly above the large-customer threshold were used as a proxy for medium customers.  Customers with average hourly demands below 100 kW across the year were combined with medium customers to produce ex ante impacts.  The results were weighted to account for differences in industry mix and/or geographic location and scaled for the medium customer population.  </w:t>
      </w:r>
    </w:p>
    <w:p w:rsidR="008C3CFB" w:rsidRPr="0091024A" w:rsidRDefault="008C3CFB" w:rsidP="008C3CFB">
      <w:pPr>
        <w:pStyle w:val="BodyParagraph"/>
      </w:pPr>
      <w:r w:rsidRPr="0091024A">
        <w:lastRenderedPageBreak/>
        <w:t>Table 1-2 summarizes the statewide ex ante load impacts for the August monthly peak day under normal (1-in-2) weather year conditions for both large and medium C&amp;I cus</w:t>
      </w:r>
      <w:r w:rsidR="0091024A">
        <w:t xml:space="preserve">tomers.  </w:t>
      </w:r>
      <w:r w:rsidR="006A379C">
        <w:t xml:space="preserve">It summarizes the load impacts across the common event period of 2 PM to 6 PM, though in practice each utility has a unique event window.  </w:t>
      </w:r>
      <w:r w:rsidR="0091024A">
        <w:t>For 2012</w:t>
      </w:r>
      <w:r w:rsidRPr="0091024A">
        <w:t xml:space="preserve">, large customer enrollment statewide is projected to </w:t>
      </w:r>
      <w:r w:rsidR="006A0A3A">
        <w:t>be</w:t>
      </w:r>
      <w:r w:rsidR="0091024A">
        <w:t xml:space="preserve"> </w:t>
      </w:r>
      <w:r w:rsidR="004166E4">
        <w:t>5,800</w:t>
      </w:r>
      <w:r w:rsidR="0091024A">
        <w:t xml:space="preserve"> in 201</w:t>
      </w:r>
      <w:r w:rsidR="006A0A3A">
        <w:t>2</w:t>
      </w:r>
      <w:r w:rsidRPr="0091024A">
        <w:t>.</w:t>
      </w:r>
      <w:r w:rsidR="004166E4">
        <w:t xml:space="preserve">  Thereafter, enrollment will increase with 6,600 accounts forecast to be enrolled by 2022.  </w:t>
      </w:r>
      <w:r w:rsidRPr="0091024A">
        <w:t xml:space="preserve">The enrollment increases both because of general population growth and because </w:t>
      </w:r>
      <w:r w:rsidR="0091024A">
        <w:t>utilities</w:t>
      </w:r>
      <w:r w:rsidRPr="0091024A">
        <w:t xml:space="preserve"> will default additional large customers when they have had interval data available for 12 months. </w:t>
      </w:r>
    </w:p>
    <w:p w:rsidR="008C3CFB" w:rsidRDefault="008C3CFB" w:rsidP="008C3CFB">
      <w:pPr>
        <w:pStyle w:val="TableFigureCaption"/>
      </w:pPr>
      <w:r w:rsidRPr="006C4858">
        <w:t>Table 1-2</w:t>
      </w:r>
      <w:proofErr w:type="gramStart"/>
      <w:r w:rsidRPr="006C4858">
        <w:t>:</w:t>
      </w:r>
      <w:proofErr w:type="gramEnd"/>
      <w:r w:rsidRPr="006C4858">
        <w:br/>
        <w:t>Summary of Ex Ante Statewide Load Impact</w:t>
      </w:r>
      <w:r w:rsidR="006A379C">
        <w:t>s</w:t>
      </w:r>
      <w:r w:rsidRPr="006C4858">
        <w:t xml:space="preserve"> by Forecast Year</w:t>
      </w:r>
      <w:r w:rsidR="006A379C">
        <w:t xml:space="preserve"> (Portfolio)</w:t>
      </w:r>
      <w:r w:rsidRPr="006C4858">
        <w:br/>
      </w:r>
      <w:r w:rsidRPr="00204CD1">
        <w:t>August System Peak Day, 1-in-2 Weather Year Conditions, Event Window from 2 to 6 PM</w:t>
      </w:r>
    </w:p>
    <w:tbl>
      <w:tblPr>
        <w:tblW w:w="5000" w:type="pct"/>
        <w:jc w:val="center"/>
        <w:tblLook w:val="04A0"/>
      </w:tblPr>
      <w:tblGrid>
        <w:gridCol w:w="1194"/>
        <w:gridCol w:w="1170"/>
        <w:gridCol w:w="1588"/>
        <w:gridCol w:w="1400"/>
        <w:gridCol w:w="1387"/>
        <w:gridCol w:w="1425"/>
        <w:gridCol w:w="1412"/>
      </w:tblGrid>
      <w:tr w:rsidR="00AF6A30" w:rsidRPr="00AF6A30" w:rsidTr="00AF6A30">
        <w:trPr>
          <w:trHeight w:val="735"/>
          <w:jc w:val="center"/>
        </w:trPr>
        <w:tc>
          <w:tcPr>
            <w:tcW w:w="623" w:type="pct"/>
            <w:vMerge w:val="restart"/>
            <w:tcBorders>
              <w:top w:val="single" w:sz="4" w:space="0" w:color="auto"/>
              <w:left w:val="single" w:sz="4" w:space="0" w:color="auto"/>
              <w:bottom w:val="single" w:sz="4" w:space="0" w:color="000000"/>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Weather Year</w:t>
            </w:r>
          </w:p>
        </w:tc>
        <w:tc>
          <w:tcPr>
            <w:tcW w:w="611" w:type="pct"/>
            <w:vMerge w:val="restart"/>
            <w:tcBorders>
              <w:top w:val="single" w:sz="4" w:space="0" w:color="auto"/>
              <w:left w:val="single" w:sz="4" w:space="0" w:color="FFFFFF"/>
              <w:bottom w:val="single" w:sz="4" w:space="0" w:color="000000"/>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Year</w:t>
            </w:r>
          </w:p>
        </w:tc>
        <w:tc>
          <w:tcPr>
            <w:tcW w:w="829" w:type="pct"/>
            <w:vMerge w:val="restart"/>
            <w:tcBorders>
              <w:top w:val="single" w:sz="4" w:space="0" w:color="auto"/>
              <w:left w:val="single" w:sz="4" w:space="0" w:color="FFFFFF"/>
              <w:bottom w:val="single" w:sz="4" w:space="0" w:color="000000"/>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Enrolled Accts (Forecast)</w:t>
            </w:r>
            <w:r w:rsidRPr="00AF6A30">
              <w:rPr>
                <w:rFonts w:ascii="Arial" w:eastAsia="Times New Roman" w:hAnsi="Arial" w:cs="Arial"/>
                <w:b/>
                <w:bCs/>
                <w:color w:val="FFFFFF"/>
                <w:sz w:val="18"/>
                <w:szCs w:val="18"/>
                <w:vertAlign w:val="superscript"/>
              </w:rPr>
              <w:t>[1]</w:t>
            </w:r>
          </w:p>
        </w:tc>
        <w:tc>
          <w:tcPr>
            <w:tcW w:w="731" w:type="pct"/>
            <w:tcBorders>
              <w:top w:val="single" w:sz="4" w:space="0" w:color="auto"/>
              <w:left w:val="nil"/>
              <w:bottom w:val="nil"/>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Reference Load</w:t>
            </w:r>
          </w:p>
        </w:tc>
        <w:tc>
          <w:tcPr>
            <w:tcW w:w="724" w:type="pct"/>
            <w:tcBorders>
              <w:top w:val="single" w:sz="4" w:space="0" w:color="auto"/>
              <w:left w:val="nil"/>
              <w:bottom w:val="nil"/>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Estimated Load with DR</w:t>
            </w:r>
          </w:p>
        </w:tc>
        <w:tc>
          <w:tcPr>
            <w:tcW w:w="744" w:type="pct"/>
            <w:tcBorders>
              <w:top w:val="single" w:sz="4" w:space="0" w:color="auto"/>
              <w:left w:val="nil"/>
              <w:bottom w:val="nil"/>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Aggregate Load impact</w:t>
            </w:r>
          </w:p>
        </w:tc>
        <w:tc>
          <w:tcPr>
            <w:tcW w:w="737" w:type="pct"/>
            <w:vMerge w:val="restart"/>
            <w:tcBorders>
              <w:top w:val="single" w:sz="4" w:space="0" w:color="auto"/>
              <w:left w:val="single" w:sz="4" w:space="0" w:color="FFFFFF"/>
              <w:bottom w:val="single" w:sz="4" w:space="0" w:color="000000"/>
              <w:right w:val="single" w:sz="4" w:space="0" w:color="auto"/>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 Load Reduction</w:t>
            </w:r>
          </w:p>
        </w:tc>
      </w:tr>
      <w:tr w:rsidR="00AF6A30" w:rsidRPr="00AF6A30" w:rsidTr="00AF6A30">
        <w:trPr>
          <w:trHeight w:val="300"/>
          <w:jc w:val="center"/>
        </w:trPr>
        <w:tc>
          <w:tcPr>
            <w:tcW w:w="623" w:type="pct"/>
            <w:vMerge/>
            <w:tcBorders>
              <w:top w:val="single" w:sz="4" w:space="0" w:color="auto"/>
              <w:left w:val="single" w:sz="4" w:space="0" w:color="auto"/>
              <w:bottom w:val="single" w:sz="4" w:space="0" w:color="000000"/>
              <w:right w:val="single" w:sz="4" w:space="0" w:color="FFFFFF"/>
            </w:tcBorders>
            <w:vAlign w:val="center"/>
            <w:hideMark/>
          </w:tcPr>
          <w:p w:rsidR="00AF6A30" w:rsidRPr="00AF6A30" w:rsidRDefault="00AF6A30" w:rsidP="00AF6A30">
            <w:pPr>
              <w:spacing w:after="0" w:line="240" w:lineRule="auto"/>
              <w:rPr>
                <w:rFonts w:ascii="Arial" w:eastAsia="Times New Roman" w:hAnsi="Arial" w:cs="Arial"/>
                <w:b/>
                <w:bCs/>
                <w:color w:val="FFFFFF"/>
                <w:sz w:val="18"/>
                <w:szCs w:val="18"/>
              </w:rPr>
            </w:pPr>
          </w:p>
        </w:tc>
        <w:tc>
          <w:tcPr>
            <w:tcW w:w="611" w:type="pct"/>
            <w:vMerge/>
            <w:tcBorders>
              <w:top w:val="single" w:sz="4" w:space="0" w:color="auto"/>
              <w:left w:val="single" w:sz="4" w:space="0" w:color="FFFFFF"/>
              <w:bottom w:val="single" w:sz="4" w:space="0" w:color="000000"/>
              <w:right w:val="single" w:sz="4" w:space="0" w:color="FFFFFF"/>
            </w:tcBorders>
            <w:vAlign w:val="center"/>
            <w:hideMark/>
          </w:tcPr>
          <w:p w:rsidR="00AF6A30" w:rsidRPr="00AF6A30" w:rsidRDefault="00AF6A30" w:rsidP="00AF6A30">
            <w:pPr>
              <w:spacing w:after="0" w:line="240" w:lineRule="auto"/>
              <w:rPr>
                <w:rFonts w:ascii="Arial" w:eastAsia="Times New Roman" w:hAnsi="Arial" w:cs="Arial"/>
                <w:b/>
                <w:bCs/>
                <w:color w:val="FFFFFF"/>
                <w:sz w:val="18"/>
                <w:szCs w:val="18"/>
              </w:rPr>
            </w:pPr>
          </w:p>
        </w:tc>
        <w:tc>
          <w:tcPr>
            <w:tcW w:w="829" w:type="pct"/>
            <w:vMerge/>
            <w:tcBorders>
              <w:top w:val="single" w:sz="4" w:space="0" w:color="auto"/>
              <w:left w:val="single" w:sz="4" w:space="0" w:color="FFFFFF"/>
              <w:bottom w:val="single" w:sz="4" w:space="0" w:color="000000"/>
              <w:right w:val="single" w:sz="4" w:space="0" w:color="FFFFFF"/>
            </w:tcBorders>
            <w:vAlign w:val="center"/>
            <w:hideMark/>
          </w:tcPr>
          <w:p w:rsidR="00AF6A30" w:rsidRPr="00AF6A30" w:rsidRDefault="00AF6A30" w:rsidP="00AF6A30">
            <w:pPr>
              <w:spacing w:after="0" w:line="240" w:lineRule="auto"/>
              <w:rPr>
                <w:rFonts w:ascii="Arial" w:eastAsia="Times New Roman" w:hAnsi="Arial" w:cs="Arial"/>
                <w:b/>
                <w:bCs/>
                <w:color w:val="FFFFFF"/>
                <w:sz w:val="18"/>
                <w:szCs w:val="18"/>
              </w:rPr>
            </w:pPr>
          </w:p>
        </w:tc>
        <w:tc>
          <w:tcPr>
            <w:tcW w:w="731" w:type="pct"/>
            <w:tcBorders>
              <w:top w:val="nil"/>
              <w:left w:val="nil"/>
              <w:bottom w:val="single" w:sz="4" w:space="0" w:color="auto"/>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MW</w:t>
            </w:r>
          </w:p>
        </w:tc>
        <w:tc>
          <w:tcPr>
            <w:tcW w:w="724" w:type="pct"/>
            <w:tcBorders>
              <w:top w:val="nil"/>
              <w:left w:val="nil"/>
              <w:bottom w:val="single" w:sz="4" w:space="0" w:color="auto"/>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MW</w:t>
            </w:r>
          </w:p>
        </w:tc>
        <w:tc>
          <w:tcPr>
            <w:tcW w:w="744" w:type="pct"/>
            <w:tcBorders>
              <w:top w:val="nil"/>
              <w:left w:val="nil"/>
              <w:bottom w:val="single" w:sz="4" w:space="0" w:color="auto"/>
              <w:right w:val="single" w:sz="4" w:space="0" w:color="FFFFFF"/>
            </w:tcBorders>
            <w:shd w:val="clear" w:color="000000" w:fill="1F497D"/>
            <w:vAlign w:val="bottom"/>
            <w:hideMark/>
          </w:tcPr>
          <w:p w:rsidR="00AF6A30" w:rsidRPr="00AF6A30" w:rsidRDefault="00AF6A30" w:rsidP="00AF6A30">
            <w:pPr>
              <w:spacing w:after="0" w:line="240" w:lineRule="auto"/>
              <w:jc w:val="center"/>
              <w:rPr>
                <w:rFonts w:ascii="Arial" w:eastAsia="Times New Roman" w:hAnsi="Arial" w:cs="Arial"/>
                <w:b/>
                <w:bCs/>
                <w:color w:val="FFFFFF"/>
                <w:sz w:val="18"/>
                <w:szCs w:val="18"/>
              </w:rPr>
            </w:pPr>
            <w:r w:rsidRPr="00AF6A30">
              <w:rPr>
                <w:rFonts w:ascii="Arial" w:eastAsia="Times New Roman" w:hAnsi="Arial" w:cs="Arial"/>
                <w:b/>
                <w:bCs/>
                <w:color w:val="FFFFFF"/>
                <w:sz w:val="18"/>
                <w:szCs w:val="18"/>
              </w:rPr>
              <w:t>MW</w:t>
            </w:r>
          </w:p>
        </w:tc>
        <w:tc>
          <w:tcPr>
            <w:tcW w:w="737" w:type="pct"/>
            <w:vMerge/>
            <w:tcBorders>
              <w:top w:val="single" w:sz="4" w:space="0" w:color="auto"/>
              <w:left w:val="single" w:sz="4" w:space="0" w:color="FFFFFF"/>
              <w:bottom w:val="single" w:sz="4" w:space="0" w:color="000000"/>
              <w:right w:val="single" w:sz="4" w:space="0" w:color="auto"/>
            </w:tcBorders>
            <w:vAlign w:val="center"/>
            <w:hideMark/>
          </w:tcPr>
          <w:p w:rsidR="00AF6A30" w:rsidRPr="00AF6A30" w:rsidRDefault="00AF6A30" w:rsidP="00AF6A30">
            <w:pPr>
              <w:spacing w:after="0" w:line="240" w:lineRule="auto"/>
              <w:rPr>
                <w:rFonts w:ascii="Arial" w:eastAsia="Times New Roman" w:hAnsi="Arial" w:cs="Arial"/>
                <w:b/>
                <w:bCs/>
                <w:color w:val="FFFFFF"/>
                <w:sz w:val="18"/>
                <w:szCs w:val="18"/>
              </w:rPr>
            </w:pPr>
          </w:p>
        </w:tc>
      </w:tr>
      <w:tr w:rsidR="00AF6A30" w:rsidRPr="00AF6A30" w:rsidTr="00AF6A30">
        <w:trPr>
          <w:trHeight w:val="300"/>
          <w:jc w:val="center"/>
        </w:trPr>
        <w:tc>
          <w:tcPr>
            <w:tcW w:w="623" w:type="pct"/>
            <w:vMerge w:val="restart"/>
            <w:tcBorders>
              <w:top w:val="nil"/>
              <w:left w:val="single" w:sz="4" w:space="0" w:color="auto"/>
              <w:bottom w:val="single" w:sz="4" w:space="0" w:color="auto"/>
              <w:right w:val="single" w:sz="4" w:space="0" w:color="auto"/>
            </w:tcBorders>
            <w:shd w:val="clear" w:color="auto" w:fill="auto"/>
            <w:vAlign w:val="center"/>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 xml:space="preserve">Large C&amp;I  </w:t>
            </w: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2012</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5,832</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1,498.4</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1,427.4</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71.0</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4.7%</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2013</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6,188</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1,608.5</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1,530.7</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77.9</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4.8%</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2014</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6,464</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1,691.0</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1,607.7</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83.3</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2015</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6,513</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1,704.5</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1,620.3</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84.1</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2016</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6,527</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1,708.3</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1,624.1</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84.2</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2017</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6,542</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1,712.5</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1,628.2</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84.3</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2018</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6,557</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1,717.0</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1,632.6</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84.4</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2019</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6,573</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1,721.8</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1,637.3</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84.5</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2020</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6,590</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1,726.8</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1,642.2</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84.7</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2021</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6,607</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1,732.1</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1,647.3</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84.8</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2022</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6,624</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1,737.4</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1,652.5</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84.9</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w:t>
            </w:r>
          </w:p>
        </w:tc>
      </w:tr>
      <w:tr w:rsidR="00AF6A30" w:rsidRPr="00AF6A30" w:rsidTr="00AF6A30">
        <w:trPr>
          <w:trHeight w:val="300"/>
          <w:jc w:val="center"/>
        </w:trPr>
        <w:tc>
          <w:tcPr>
            <w:tcW w:w="623" w:type="pct"/>
            <w:vMerge w:val="restart"/>
            <w:tcBorders>
              <w:top w:val="nil"/>
              <w:left w:val="single" w:sz="4" w:space="0" w:color="auto"/>
              <w:bottom w:val="single" w:sz="4" w:space="0" w:color="auto"/>
              <w:right w:val="single" w:sz="4" w:space="0" w:color="auto"/>
            </w:tcBorders>
            <w:shd w:val="clear" w:color="auto" w:fill="auto"/>
            <w:vAlign w:val="center"/>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 xml:space="preserve">Medium C&amp;I </w:t>
            </w:r>
            <w:r w:rsidRPr="00AF6A30">
              <w:rPr>
                <w:rFonts w:ascii="Arial" w:eastAsia="Times New Roman" w:hAnsi="Arial" w:cs="Arial"/>
                <w:color w:val="000000"/>
                <w:sz w:val="18"/>
                <w:szCs w:val="18"/>
                <w:vertAlign w:val="superscript"/>
              </w:rPr>
              <w:t>[1]</w:t>
            </w:r>
            <w:r w:rsidRPr="00AF6A30">
              <w:rPr>
                <w:rFonts w:ascii="Arial" w:eastAsia="Times New Roman" w:hAnsi="Arial" w:cs="Arial"/>
                <w:color w:val="000000"/>
                <w:sz w:val="18"/>
                <w:szCs w:val="18"/>
              </w:rPr>
              <w:t xml:space="preserve">              </w:t>
            </w: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2012</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194</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7.1</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6.5</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0.5</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7.6%</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2013</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196</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7.3</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6.8</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0.5</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7.4%</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2014</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9,709</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332.2</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309.9</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22.3</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6.7%</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2015</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19,387</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685.8</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636.6</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49.2</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7.2%</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2016</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31,254</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1153.5</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1080.4</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73.1</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6.3%</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2017</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37,029</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1387.3</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1302.5</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84.9</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6.1%</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2018</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35,828</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1338.2</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1255.7</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82.5</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6.2%</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2019</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36,166</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1350.7</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1267.4</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83.3</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6.2%</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2020</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36,506</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1363.3</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1279.2</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84.0</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6.2%</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2021</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36,839</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1375.5</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1290.7</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84.8</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6.2%</w:t>
            </w:r>
          </w:p>
        </w:tc>
      </w:tr>
      <w:tr w:rsidR="00AF6A30" w:rsidRPr="00AF6A30" w:rsidTr="00AF6A30">
        <w:trPr>
          <w:trHeight w:val="300"/>
          <w:jc w:val="center"/>
        </w:trPr>
        <w:tc>
          <w:tcPr>
            <w:tcW w:w="623" w:type="pct"/>
            <w:vMerge/>
            <w:tcBorders>
              <w:top w:val="nil"/>
              <w:left w:val="single" w:sz="4" w:space="0" w:color="auto"/>
              <w:bottom w:val="single" w:sz="4" w:space="0" w:color="auto"/>
              <w:right w:val="single" w:sz="4" w:space="0" w:color="auto"/>
            </w:tcBorders>
            <w:vAlign w:val="center"/>
            <w:hideMark/>
          </w:tcPr>
          <w:p w:rsidR="00AF6A30" w:rsidRPr="00AF6A30" w:rsidRDefault="00AF6A30" w:rsidP="00AF6A30">
            <w:pPr>
              <w:spacing w:after="0" w:line="240" w:lineRule="auto"/>
              <w:rPr>
                <w:rFonts w:ascii="Arial" w:eastAsia="Times New Roman" w:hAnsi="Arial" w:cs="Arial"/>
                <w:color w:val="000000"/>
                <w:sz w:val="18"/>
                <w:szCs w:val="18"/>
              </w:rPr>
            </w:pPr>
          </w:p>
        </w:tc>
        <w:tc>
          <w:tcPr>
            <w:tcW w:w="61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2022</w:t>
            </w:r>
          </w:p>
        </w:tc>
        <w:tc>
          <w:tcPr>
            <w:tcW w:w="829"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37,161</w:t>
            </w:r>
          </w:p>
        </w:tc>
        <w:tc>
          <w:tcPr>
            <w:tcW w:w="731"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1387.4</w:t>
            </w:r>
          </w:p>
        </w:tc>
        <w:tc>
          <w:tcPr>
            <w:tcW w:w="72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1301.9</w:t>
            </w:r>
          </w:p>
        </w:tc>
        <w:tc>
          <w:tcPr>
            <w:tcW w:w="744"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85.5</w:t>
            </w:r>
          </w:p>
        </w:tc>
        <w:tc>
          <w:tcPr>
            <w:tcW w:w="737" w:type="pct"/>
            <w:tcBorders>
              <w:top w:val="nil"/>
              <w:left w:val="nil"/>
              <w:bottom w:val="single" w:sz="4" w:space="0" w:color="auto"/>
              <w:right w:val="single" w:sz="4" w:space="0" w:color="auto"/>
            </w:tcBorders>
            <w:shd w:val="clear" w:color="auto" w:fill="auto"/>
            <w:noWrap/>
            <w:vAlign w:val="bottom"/>
            <w:hideMark/>
          </w:tcPr>
          <w:p w:rsidR="00AF6A30" w:rsidRPr="00AF6A30" w:rsidRDefault="00AF6A30" w:rsidP="00AF6A30">
            <w:pPr>
              <w:spacing w:after="0" w:line="240" w:lineRule="auto"/>
              <w:jc w:val="center"/>
              <w:rPr>
                <w:rFonts w:ascii="Arial" w:eastAsia="Times New Roman" w:hAnsi="Arial" w:cs="Arial"/>
                <w:color w:val="000000"/>
                <w:sz w:val="18"/>
                <w:szCs w:val="18"/>
              </w:rPr>
            </w:pPr>
            <w:r w:rsidRPr="00AF6A30">
              <w:rPr>
                <w:rFonts w:ascii="Arial" w:eastAsia="Times New Roman" w:hAnsi="Arial" w:cs="Arial"/>
                <w:color w:val="000000"/>
                <w:sz w:val="18"/>
                <w:szCs w:val="18"/>
              </w:rPr>
              <w:t>6.2%</w:t>
            </w:r>
          </w:p>
        </w:tc>
      </w:tr>
    </w:tbl>
    <w:p w:rsidR="008C3CFB" w:rsidRDefault="006A1F25" w:rsidP="005C465D">
      <w:pPr>
        <w:pStyle w:val="BodyParagraph"/>
      </w:pPr>
      <w:r w:rsidRPr="006A1F25">
        <w:rPr>
          <w:rFonts w:ascii="Arial" w:hAnsi="Arial" w:cs="Arial"/>
          <w:szCs w:val="18"/>
        </w:rPr>
        <w:t>1] Does not include SCE medium accounts</w:t>
      </w:r>
    </w:p>
    <w:p w:rsidR="006A379C" w:rsidRDefault="006A379C" w:rsidP="00890B1A">
      <w:pPr>
        <w:pStyle w:val="BodyParagraph"/>
      </w:pPr>
      <w:r w:rsidRPr="0091024A">
        <w:t>Commensurate with the enrollment growth, load impacts</w:t>
      </w:r>
      <w:r>
        <w:t xml:space="preserve"> are estimated to grow from 71.0</w:t>
      </w:r>
      <w:r w:rsidRPr="0091024A">
        <w:t xml:space="preserve"> MW</w:t>
      </w:r>
      <w:r>
        <w:t xml:space="preserve"> in 2012</w:t>
      </w:r>
      <w:r w:rsidRPr="0091024A">
        <w:t xml:space="preserve"> to </w:t>
      </w:r>
      <w:r>
        <w:t>84</w:t>
      </w:r>
      <w:r w:rsidRPr="00204CD1">
        <w:t>.</w:t>
      </w:r>
      <w:r>
        <w:t>9</w:t>
      </w:r>
      <w:r w:rsidRPr="00204CD1">
        <w:t xml:space="preserve"> MW for the large C&amp;I accounts.</w:t>
      </w:r>
      <w:r>
        <w:t xml:space="preserve">   The large customer ex-ante impacts produced last year for 2012 are nearly identical, 71.3 MW</w:t>
      </w:r>
      <w:proofErr w:type="gramStart"/>
      <w:r>
        <w:t>,  to</w:t>
      </w:r>
      <w:proofErr w:type="gramEnd"/>
      <w:r>
        <w:t xml:space="preserve"> this year’s projections, 71.0 MW.   Despite the similarity, PG&amp;E’s and SCE’s program underwent non-trivial shifts in their customer mix as first year bill protection expired.  The remaining customers were slightly smaller, but delivered larger percent load </w:t>
      </w:r>
      <w:r>
        <w:lastRenderedPageBreak/>
        <w:t xml:space="preserve">reductions.  </w:t>
      </w:r>
      <w:proofErr w:type="gramStart"/>
      <w:r>
        <w:t>Compared to last year’s projections, ex-ante aggregate impacts increased by roughly 14% in 2014-2022.</w:t>
      </w:r>
      <w:proofErr w:type="gramEnd"/>
      <w:r>
        <w:t xml:space="preserve">  The difference reflects the improved performance observed in PG&amp;E and SCE large customers during the second year of CPP participation.</w:t>
      </w:r>
    </w:p>
    <w:p w:rsidR="00890B1A" w:rsidRPr="001B59E5" w:rsidRDefault="00890B1A" w:rsidP="00890B1A">
      <w:pPr>
        <w:pStyle w:val="BodyParagraph"/>
      </w:pPr>
      <w:r w:rsidRPr="004166E4">
        <w:t>With the introduction of default CPP in the medium C&amp;I sector, enrollment for PG&amp;E and SDG&amp;E is pro</w:t>
      </w:r>
      <w:r>
        <w:t>jected to peak in 2022</w:t>
      </w:r>
      <w:r w:rsidRPr="004166E4">
        <w:t xml:space="preserve"> at approximately 37,200</w:t>
      </w:r>
      <w:r>
        <w:t xml:space="preserve"> accounts.  </w:t>
      </w:r>
      <w:r w:rsidRPr="004166E4">
        <w:t>Once default CPP is fully in place, these cus</w:t>
      </w:r>
      <w:r>
        <w:t xml:space="preserve">tomers are projected to deliver 85.5 MW of demand response.  </w:t>
      </w:r>
      <w:r w:rsidRPr="004166E4">
        <w:t>Overall, medium C&amp;I customers are projected to deliver higher percent impacts than large C&amp;I accounts.  While large customers produce</w:t>
      </w:r>
      <w:r>
        <w:t xml:space="preserve"> average load reductions of 4.9%</w:t>
      </w:r>
      <w:r w:rsidRPr="004166E4">
        <w:t>, medium accounts are projected to provide load reductio</w:t>
      </w:r>
      <w:r>
        <w:t>ns of 6.2</w:t>
      </w:r>
      <w:r w:rsidRPr="004166E4">
        <w:t>%</w:t>
      </w:r>
      <w:r>
        <w:t xml:space="preserve"> when the programs reach maturity</w:t>
      </w:r>
      <w:r w:rsidRPr="004166E4">
        <w:t xml:space="preserve">.  There are </w:t>
      </w:r>
      <w:r w:rsidR="006A379C">
        <w:t>three</w:t>
      </w:r>
      <w:r w:rsidRPr="004166E4">
        <w:t xml:space="preserve"> primary reasons for the difference.  </w:t>
      </w:r>
      <w:r w:rsidRPr="00204CD1">
        <w:t>First, large customers with demands less than 100 kW were used as a proxy for med</w:t>
      </w:r>
      <w:r>
        <w:t>ium customers and these were one of the</w:t>
      </w:r>
      <w:r w:rsidRPr="00204CD1">
        <w:t xml:space="preserve"> most price responsive segment</w:t>
      </w:r>
      <w:r>
        <w:t>s</w:t>
      </w:r>
      <w:r w:rsidRPr="00204CD1">
        <w:t xml:space="preserve"> in 2011.  </w:t>
      </w:r>
      <w:r>
        <w:t>Second</w:t>
      </w:r>
      <w:r w:rsidRPr="004166E4">
        <w:t xml:space="preserve">, SDG&amp;E is providing technology that automates load response – thermostats with two way communication – to medium customers as part of its transition to default CPP.  </w:t>
      </w:r>
      <w:r w:rsidR="006A379C">
        <w:t xml:space="preserve">Third, many of the best performers </w:t>
      </w:r>
      <w:r w:rsidR="004612CA">
        <w:t>among large CPP customers</w:t>
      </w:r>
      <w:r w:rsidR="006A379C">
        <w:t xml:space="preserve"> are dually enrolled in other DR programs.  To avoid double counting those reductions are attributed to other programs</w:t>
      </w:r>
      <w:r w:rsidR="004612CA">
        <w:t>, reducing the CPP portfolio impacts</w:t>
      </w:r>
      <w:r w:rsidR="006A379C">
        <w:t xml:space="preserve">.  With medium customers the overlap with </w:t>
      </w:r>
      <w:r w:rsidR="004612CA">
        <w:t xml:space="preserve">other programs is smaller.  </w:t>
      </w:r>
    </w:p>
    <w:p w:rsidR="001929FC" w:rsidRDefault="00B0336D" w:rsidP="005C465D">
      <w:pPr>
        <w:pStyle w:val="Heading2"/>
      </w:pPr>
      <w:bookmarkStart w:id="39" w:name="_Toc326072093"/>
      <w:r>
        <w:t>Report Organization</w:t>
      </w:r>
      <w:bookmarkEnd w:id="39"/>
    </w:p>
    <w:p w:rsidR="001D1869" w:rsidRDefault="00B0336D" w:rsidP="005C465D">
      <w:pPr>
        <w:pStyle w:val="BodyParagraph"/>
      </w:pPr>
      <w:r w:rsidRPr="00425FD3">
        <w:t>The remainder of this document is separated into</w:t>
      </w:r>
      <w:r w:rsidR="004612CA">
        <w:t xml:space="preserve"> nine</w:t>
      </w:r>
      <w:r w:rsidRPr="00425FD3">
        <w:t xml:space="preserve"> sections</w:t>
      </w:r>
      <w:r w:rsidR="000820BE">
        <w:t xml:space="preserve"> and five appendices</w:t>
      </w:r>
      <w:r w:rsidRPr="00425FD3">
        <w:t xml:space="preserve">.  Section 2 </w:t>
      </w:r>
      <w:r w:rsidR="000820BE">
        <w:t xml:space="preserve">summarizes </w:t>
      </w:r>
      <w:r w:rsidRPr="00425FD3">
        <w:t>the program details</w:t>
      </w:r>
      <w:r w:rsidR="000820BE">
        <w:t xml:space="preserve"> for each tariff</w:t>
      </w:r>
      <w:r w:rsidRPr="00425FD3">
        <w:t>.  Despite many similarities</w:t>
      </w:r>
      <w:r w:rsidR="00593358">
        <w:t xml:space="preserve"> in design</w:t>
      </w:r>
      <w:r w:rsidRPr="00425FD3">
        <w:t>, each utility’s default CPP and opt-out TOU rates</w:t>
      </w:r>
      <w:r w:rsidR="005D33DC">
        <w:t xml:space="preserve"> have</w:t>
      </w:r>
      <w:r w:rsidRPr="00425FD3">
        <w:t xml:space="preserve"> different</w:t>
      </w:r>
      <w:r w:rsidR="00593358">
        <w:t xml:space="preserve"> </w:t>
      </w:r>
      <w:r w:rsidR="005D33DC">
        <w:t>rate blocks</w:t>
      </w:r>
      <w:r w:rsidR="00CF756B">
        <w:t xml:space="preserve">, credits and </w:t>
      </w:r>
      <w:r w:rsidR="005D33DC">
        <w:t xml:space="preserve">consumption and demand </w:t>
      </w:r>
      <w:r w:rsidR="00CF756B">
        <w:t>charges</w:t>
      </w:r>
      <w:r w:rsidRPr="00425FD3">
        <w:t xml:space="preserve">.  Section 3 discusses the methodology employed to estimate </w:t>
      </w:r>
      <w:r w:rsidR="004612CA">
        <w:t xml:space="preserve">ex post </w:t>
      </w:r>
      <w:r w:rsidRPr="00425FD3">
        <w:t>load impacts</w:t>
      </w:r>
      <w:r w:rsidR="004612CA">
        <w:t xml:space="preserve"> and develop ex ante impact estimates</w:t>
      </w:r>
      <w:r w:rsidRPr="00425FD3">
        <w:t>.  PG&amp;E’s ex post results are presented in Section 4, SCE’s in Se</w:t>
      </w:r>
      <w:r w:rsidR="006B2D3F">
        <w:t xml:space="preserve">ction 5 and SDG&amp;E’s in Section </w:t>
      </w:r>
      <w:r w:rsidR="00331ECA">
        <w:t>6</w:t>
      </w:r>
      <w:r w:rsidR="0071272B">
        <w:t xml:space="preserve">. </w:t>
      </w:r>
      <w:r w:rsidR="004612CA">
        <w:t xml:space="preserve"> Section 7 through Section 9 presents the ex ante results for PG&amp;E, SCE and SDG&amp;E, respectively. </w:t>
      </w:r>
      <w:r w:rsidR="0071272B">
        <w:t xml:space="preserve"> </w:t>
      </w:r>
      <w:r w:rsidRPr="00425FD3">
        <w:t xml:space="preserve">Appendix A contains a detailed explanation of the validation tests conducted by FSC to ensure reliable results and Appendices B through D </w:t>
      </w:r>
      <w:proofErr w:type="gramStart"/>
      <w:r w:rsidRPr="00425FD3">
        <w:t>contain</w:t>
      </w:r>
      <w:proofErr w:type="gramEnd"/>
      <w:r w:rsidRPr="00425FD3">
        <w:t xml:space="preserve"> regression model validation</w:t>
      </w:r>
      <w:r w:rsidR="009B3D43">
        <w:t>s</w:t>
      </w:r>
      <w:r w:rsidRPr="00425FD3">
        <w:t xml:space="preserve"> for each utility.</w:t>
      </w:r>
      <w:r w:rsidR="0071272B">
        <w:t xml:space="preserve">  Appendix E highlights important issues surrounding limitations of the regression method.  </w:t>
      </w:r>
      <w:r w:rsidRPr="00425FD3">
        <w:t xml:space="preserve">Draft electronic ex post tables that provide the hourly load impacts for individual event days and across population segments are included with this </w:t>
      </w:r>
      <w:r w:rsidR="0071272B">
        <w:t>report</w:t>
      </w:r>
      <w:r w:rsidRPr="00425FD3">
        <w:t xml:space="preserve">.  </w:t>
      </w:r>
      <w:r w:rsidR="006720A1">
        <w:br w:type="page"/>
      </w:r>
    </w:p>
    <w:p w:rsidR="00AD099E" w:rsidRDefault="00AD099E" w:rsidP="005C465D">
      <w:pPr>
        <w:pStyle w:val="Heading1"/>
      </w:pPr>
      <w:bookmarkStart w:id="40" w:name="_Toc326072094"/>
      <w:r>
        <w:lastRenderedPageBreak/>
        <w:t>CPP Program Details</w:t>
      </w:r>
      <w:bookmarkEnd w:id="40"/>
    </w:p>
    <w:p w:rsidR="00AD099E" w:rsidRDefault="00AD099E" w:rsidP="005C465D">
      <w:pPr>
        <w:pStyle w:val="BodyBeforeBullet"/>
      </w:pPr>
      <w:r>
        <w:t xml:space="preserve">In 2009 the CPUC issued </w:t>
      </w:r>
      <w:r w:rsidR="00593358">
        <w:t xml:space="preserve">general </w:t>
      </w:r>
      <w:r>
        <w:t xml:space="preserve">guidelines for rate design for dynamic pricing </w:t>
      </w:r>
      <w:r w:rsidR="000C3991" w:rsidRPr="000C3991">
        <w:t>(</w:t>
      </w:r>
      <w:r w:rsidR="000820BE">
        <w:t>CPUC d</w:t>
      </w:r>
      <w:r w:rsidR="000C3991" w:rsidRPr="000C3991">
        <w:t>ecision 10-02-032.)</w:t>
      </w:r>
      <w:r>
        <w:t xml:space="preserve">  The decision standardized several key elements of rate design in California for investor owned utilities:</w:t>
      </w:r>
    </w:p>
    <w:p w:rsidR="00AD099E" w:rsidRPr="005C465D" w:rsidRDefault="00AD099E" w:rsidP="005C465D">
      <w:pPr>
        <w:pStyle w:val="Bullets"/>
      </w:pPr>
      <w:r w:rsidRPr="005C465D">
        <w:t>The default tariff for large, medium and small commercial and industrial customers is to be a dynamic pricing tariff;</w:t>
      </w:r>
    </w:p>
    <w:p w:rsidR="00AD099E" w:rsidRDefault="00AD099E" w:rsidP="005C465D">
      <w:pPr>
        <w:pStyle w:val="Bullets"/>
      </w:pPr>
      <w:r>
        <w:t xml:space="preserve">Default rates </w:t>
      </w:r>
      <w:r w:rsidR="007E5AB1">
        <w:t xml:space="preserve">will </w:t>
      </w:r>
      <w:r>
        <w:t>include a high price during peak periods on a limited number of critical event days and time of use rates on non-event days;</w:t>
      </w:r>
    </w:p>
    <w:p w:rsidR="00AD099E" w:rsidRDefault="00AD099E" w:rsidP="005C465D">
      <w:pPr>
        <w:pStyle w:val="Bullets"/>
      </w:pPr>
      <w:r>
        <w:t xml:space="preserve">The opt-out tariff for all non-residential default customers should be a time varying rate – in other words, there should no longer be a </w:t>
      </w:r>
      <w:r w:rsidR="00227B1B">
        <w:t>flat</w:t>
      </w:r>
      <w:r>
        <w:t xml:space="preserve"> rate option for non-residential customers once the default schedule is completed;</w:t>
      </w:r>
    </w:p>
    <w:p w:rsidR="00AD099E" w:rsidRDefault="00AD099E" w:rsidP="005C465D">
      <w:pPr>
        <w:pStyle w:val="Bullets"/>
      </w:pPr>
      <w:r w:rsidRPr="00FE02DB">
        <w:t xml:space="preserve">The critical peak price should represent the </w:t>
      </w:r>
      <w:r>
        <w:t>c</w:t>
      </w:r>
      <w:r w:rsidRPr="00FE02DB">
        <w:t xml:space="preserve">ost of capacity used to meet peak energy needs plus the marginal cost of energy </w:t>
      </w:r>
      <w:r>
        <w:t>– in essence, all capacity value should be allocated to peak period hours on critical event days; and</w:t>
      </w:r>
    </w:p>
    <w:p w:rsidR="00AD099E" w:rsidRDefault="00AD099E" w:rsidP="005C465D">
      <w:pPr>
        <w:pStyle w:val="BulletLast"/>
      </w:pPr>
      <w:r>
        <w:t>The utilities should offer first year bill protection to customers defaulted onto dynamic rates.</w:t>
      </w:r>
    </w:p>
    <w:p w:rsidR="00AD099E" w:rsidRDefault="00AD099E" w:rsidP="005C465D">
      <w:pPr>
        <w:pStyle w:val="BodyParagraph"/>
      </w:pPr>
      <w:r>
        <w:t xml:space="preserve">The </w:t>
      </w:r>
      <w:r w:rsidR="000820BE">
        <w:t xml:space="preserve">dynamic pricing </w:t>
      </w:r>
      <w:r>
        <w:t xml:space="preserve">decision also covered several other elements of rate design.  It standardized default tariffs, opt-out tariffs and several components of the default process.  </w:t>
      </w:r>
      <w:r w:rsidR="000820BE">
        <w:t xml:space="preserve">It also established a schedule for </w:t>
      </w:r>
      <w:r>
        <w:t>implementation of dynamic pricing</w:t>
      </w:r>
      <w:r w:rsidR="000820BE">
        <w:t xml:space="preserve"> for each utility.  </w:t>
      </w:r>
      <w:r>
        <w:t xml:space="preserve">  </w:t>
      </w:r>
    </w:p>
    <w:p w:rsidR="00AD099E" w:rsidRDefault="00AD099E" w:rsidP="005C465D">
      <w:pPr>
        <w:pStyle w:val="BodyBeforeBullet"/>
        <w:rPr>
          <w:lang w:val="en-CA"/>
        </w:rPr>
      </w:pPr>
      <w:r>
        <w:rPr>
          <w:lang w:val="en-CA"/>
        </w:rPr>
        <w:t>PG&amp;E, SCE and SDG&amp;E have developed CPP tariff</w:t>
      </w:r>
      <w:r w:rsidRPr="00C030E8">
        <w:rPr>
          <w:lang w:val="en-CA"/>
        </w:rPr>
        <w:t>s</w:t>
      </w:r>
      <w:r>
        <w:rPr>
          <w:lang w:val="en-CA"/>
        </w:rPr>
        <w:t xml:space="preserve"> that adhere to the broad principles outlined in the CPUC Decision.  However, many </w:t>
      </w:r>
      <w:r w:rsidRPr="00C030E8">
        <w:rPr>
          <w:lang w:val="en-CA"/>
        </w:rPr>
        <w:t xml:space="preserve">details </w:t>
      </w:r>
      <w:r w:rsidR="00593358">
        <w:rPr>
          <w:lang w:val="en-CA"/>
        </w:rPr>
        <w:t xml:space="preserve">of the CPP tariff </w:t>
      </w:r>
      <w:r>
        <w:rPr>
          <w:lang w:val="en-CA"/>
        </w:rPr>
        <w:t>vary across the utilities.  Among the important differences are:</w:t>
      </w:r>
    </w:p>
    <w:p w:rsidR="001929FC" w:rsidRDefault="00AD099E" w:rsidP="005C465D">
      <w:pPr>
        <w:pStyle w:val="Bullets"/>
      </w:pPr>
      <w:r>
        <w:rPr>
          <w:lang w:val="en-CA"/>
        </w:rPr>
        <w:t xml:space="preserve">The </w:t>
      </w:r>
      <w:r w:rsidR="006833FB">
        <w:rPr>
          <w:lang w:val="en-CA"/>
        </w:rPr>
        <w:t>rate design window schedule for each IOU</w:t>
      </w:r>
      <w:r>
        <w:rPr>
          <w:lang w:val="en-CA"/>
        </w:rPr>
        <w:t xml:space="preserve"> </w:t>
      </w:r>
      <w:r w:rsidR="00247222">
        <w:rPr>
          <w:lang w:val="en-CA"/>
        </w:rPr>
        <w:t>caused</w:t>
      </w:r>
      <w:r w:rsidR="00143F0C">
        <w:rPr>
          <w:lang w:val="en-CA"/>
        </w:rPr>
        <w:t xml:space="preserve"> the CPP rate</w:t>
      </w:r>
      <w:r w:rsidR="00247222">
        <w:rPr>
          <w:lang w:val="en-CA"/>
        </w:rPr>
        <w:t>s</w:t>
      </w:r>
      <w:r w:rsidR="00143F0C">
        <w:rPr>
          <w:lang w:val="en-CA"/>
        </w:rPr>
        <w:t xml:space="preserve"> </w:t>
      </w:r>
      <w:r w:rsidR="00247222">
        <w:rPr>
          <w:lang w:val="en-CA"/>
        </w:rPr>
        <w:t>to be</w:t>
      </w:r>
      <w:r w:rsidR="00143F0C">
        <w:rPr>
          <w:lang w:val="en-CA"/>
        </w:rPr>
        <w:t xml:space="preserve"> </w:t>
      </w:r>
      <w:r w:rsidR="00247222">
        <w:rPr>
          <w:lang w:val="en-CA"/>
        </w:rPr>
        <w:t>implemented</w:t>
      </w:r>
      <w:r>
        <w:rPr>
          <w:lang w:val="en-CA"/>
        </w:rPr>
        <w:t xml:space="preserve"> at different times.  </w:t>
      </w:r>
      <w:r w:rsidRPr="00474343">
        <w:t xml:space="preserve">SDG&amp;E </w:t>
      </w:r>
      <w:r>
        <w:t xml:space="preserve">was the first to default customers onto a CPP tariff, </w:t>
      </w:r>
      <w:r w:rsidRPr="00474343">
        <w:t>on May 1, 2008.  SCE began defaulting custome</w:t>
      </w:r>
      <w:r>
        <w:t>rs onto CPP i</w:t>
      </w:r>
      <w:r w:rsidRPr="00474343">
        <w:t>n October 2009</w:t>
      </w:r>
      <w:r>
        <w:t xml:space="preserve">, 18 months later and PG&amp;E began defaulting customers in May 2010. </w:t>
      </w:r>
    </w:p>
    <w:p w:rsidR="001929FC" w:rsidRDefault="00AD099E" w:rsidP="005C465D">
      <w:pPr>
        <w:pStyle w:val="Bullets"/>
      </w:pPr>
      <w:r>
        <w:t xml:space="preserve">SDG&amp;E </w:t>
      </w:r>
      <w:proofErr w:type="gramStart"/>
      <w:r>
        <w:t>defaulted</w:t>
      </w:r>
      <w:proofErr w:type="gramEnd"/>
      <w:r>
        <w:t xml:space="preserve"> customers whose </w:t>
      </w:r>
      <w:r w:rsidR="00227B1B">
        <w:t>max</w:t>
      </w:r>
      <w:r w:rsidR="006833FB">
        <w:t>imum</w:t>
      </w:r>
      <w:r w:rsidR="00227B1B">
        <w:t xml:space="preserve"> </w:t>
      </w:r>
      <w:r>
        <w:t xml:space="preserve">demand </w:t>
      </w:r>
      <w:r w:rsidRPr="00C030E8">
        <w:t>exceed</w:t>
      </w:r>
      <w:r>
        <w:t>ed</w:t>
      </w:r>
      <w:r w:rsidRPr="00C030E8">
        <w:t xml:space="preserve"> 20 kW for </w:t>
      </w:r>
      <w:r>
        <w:t xml:space="preserve">the prior </w:t>
      </w:r>
      <w:r w:rsidRPr="00C030E8">
        <w:t>12 con</w:t>
      </w:r>
      <w:r>
        <w:t xml:space="preserve">secutive months.  PG&amp;E </w:t>
      </w:r>
      <w:proofErr w:type="gramStart"/>
      <w:r>
        <w:t>defaulted</w:t>
      </w:r>
      <w:proofErr w:type="gramEnd"/>
      <w:r>
        <w:t xml:space="preserve"> </w:t>
      </w:r>
      <w:r w:rsidRPr="00C030E8">
        <w:t xml:space="preserve">customers </w:t>
      </w:r>
      <w:r w:rsidR="00227B1B">
        <w:t>with max</w:t>
      </w:r>
      <w:r w:rsidR="00D03296">
        <w:t>imum</w:t>
      </w:r>
      <w:r w:rsidR="00227B1B">
        <w:t xml:space="preserve"> demand that</w:t>
      </w:r>
      <w:r>
        <w:t xml:space="preserve"> </w:t>
      </w:r>
      <w:r w:rsidRPr="00C030E8">
        <w:t>exceed</w:t>
      </w:r>
      <w:r>
        <w:t>ed</w:t>
      </w:r>
      <w:r w:rsidRPr="00C030E8">
        <w:t xml:space="preserve"> 200 </w:t>
      </w:r>
      <w:r>
        <w:t>kW for 3 consecutive months in the past year</w:t>
      </w:r>
      <w:r w:rsidRPr="00C030E8">
        <w:t xml:space="preserve">.  </w:t>
      </w:r>
      <w:r>
        <w:t xml:space="preserve">In addition, PG&amp;E transitioned approximately 110 small customers who voluntarily enrolled on </w:t>
      </w:r>
      <w:proofErr w:type="spellStart"/>
      <w:r>
        <w:t>SmartRate</w:t>
      </w:r>
      <w:proofErr w:type="spellEnd"/>
      <w:r>
        <w:t xml:space="preserve">, a pure CPP tariff, to the new CPP/TOU tariff.  </w:t>
      </w:r>
      <w:r w:rsidRPr="00C030E8">
        <w:t>S</w:t>
      </w:r>
      <w:r>
        <w:t>CE required</w:t>
      </w:r>
      <w:r w:rsidRPr="00C030E8">
        <w:t xml:space="preserve"> only that a customer’s “monthly Maximum Demand </w:t>
      </w:r>
      <w:r>
        <w:t xml:space="preserve">exceed </w:t>
      </w:r>
      <w:r w:rsidRPr="00C030E8">
        <w:t>200 kW.</w:t>
      </w:r>
      <w:r>
        <w:t>”</w:t>
      </w:r>
      <w:r w:rsidRPr="00C030E8">
        <w:t xml:space="preserve"> </w:t>
      </w:r>
    </w:p>
    <w:p w:rsidR="001929FC" w:rsidRDefault="00AD099E" w:rsidP="005C465D">
      <w:pPr>
        <w:pStyle w:val="Bullets"/>
      </w:pPr>
      <w:r w:rsidRPr="00C030E8">
        <w:t>At SDG&amp;</w:t>
      </w:r>
      <w:r>
        <w:t>E</w:t>
      </w:r>
      <w:r w:rsidRPr="00C030E8">
        <w:t xml:space="preserve"> customers </w:t>
      </w:r>
      <w:r>
        <w:t>are</w:t>
      </w:r>
      <w:r w:rsidRPr="00C030E8">
        <w:t xml:space="preserve"> locked into the </w:t>
      </w:r>
      <w:r>
        <w:t xml:space="preserve">CPP </w:t>
      </w:r>
      <w:r w:rsidRPr="00C030E8">
        <w:t xml:space="preserve">rate for </w:t>
      </w:r>
      <w:r>
        <w:t>a full year</w:t>
      </w:r>
      <w:r w:rsidR="00E22860">
        <w:t xml:space="preserve"> if they do not opt out prior to going on the rate</w:t>
      </w:r>
      <w:r w:rsidRPr="00C030E8">
        <w:t>, while at PG&amp;E and SCE, cust</w:t>
      </w:r>
      <w:r>
        <w:t xml:space="preserve">omers can opt out at </w:t>
      </w:r>
      <w:r w:rsidRPr="00C030E8">
        <w:t>anytime</w:t>
      </w:r>
      <w:r>
        <w:t>, but they forfeit bill protection if they do so during the first year.</w:t>
      </w:r>
    </w:p>
    <w:p w:rsidR="001929FC" w:rsidRDefault="00AD099E" w:rsidP="005C465D">
      <w:pPr>
        <w:pStyle w:val="Bullets"/>
      </w:pPr>
      <w:r w:rsidRPr="00C030E8">
        <w:t xml:space="preserve">SCE and PG&amp;E </w:t>
      </w:r>
      <w:r w:rsidR="00D03296">
        <w:t xml:space="preserve">have </w:t>
      </w:r>
      <w:r w:rsidRPr="00C030E8">
        <w:t>the same event hours</w:t>
      </w:r>
      <w:r w:rsidR="00D03296">
        <w:t>,</w:t>
      </w:r>
      <w:r w:rsidRPr="00C030E8">
        <w:t xml:space="preserve"> 2 </w:t>
      </w:r>
      <w:r>
        <w:t>PM</w:t>
      </w:r>
      <w:r w:rsidRPr="00C030E8">
        <w:t xml:space="preserve"> to 6 </w:t>
      </w:r>
      <w:r>
        <w:t xml:space="preserve">PM, although </w:t>
      </w:r>
      <w:r w:rsidR="005D33DC">
        <w:t>a small number of</w:t>
      </w:r>
      <w:r>
        <w:t xml:space="preserve"> customers in PG&amp;E’s service territory have </w:t>
      </w:r>
      <w:r w:rsidR="005D33DC">
        <w:t>elected</w:t>
      </w:r>
      <w:r>
        <w:t xml:space="preserve"> a 12 PM to 6 PM event window with reduced credits and CPP charges</w:t>
      </w:r>
      <w:r w:rsidRPr="00C030E8">
        <w:t xml:space="preserve">.  </w:t>
      </w:r>
      <w:r>
        <w:t>SCE and PG&amp;E</w:t>
      </w:r>
      <w:r w:rsidRPr="00C030E8">
        <w:t xml:space="preserve"> also share the same TOU peak period hours</w:t>
      </w:r>
      <w:r w:rsidR="00D03296">
        <w:t>,</w:t>
      </w:r>
      <w:r w:rsidRPr="00C030E8">
        <w:t xml:space="preserve"> 12 </w:t>
      </w:r>
      <w:r>
        <w:t>PM</w:t>
      </w:r>
      <w:r w:rsidRPr="00C030E8">
        <w:t xml:space="preserve"> to 6 </w:t>
      </w:r>
      <w:r>
        <w:t>PM</w:t>
      </w:r>
      <w:r w:rsidRPr="00C030E8">
        <w:t xml:space="preserve">, Monday through </w:t>
      </w:r>
      <w:r>
        <w:t>Friday.  For SDG&amp;E, both the CPP</w:t>
      </w:r>
      <w:r w:rsidRPr="00C030E8">
        <w:t xml:space="preserve"> event period hours and TOU peak period hours are </w:t>
      </w:r>
      <w:r>
        <w:t xml:space="preserve">from </w:t>
      </w:r>
      <w:r w:rsidRPr="00C030E8">
        <w:t xml:space="preserve">11 </w:t>
      </w:r>
      <w:r>
        <w:t>AM</w:t>
      </w:r>
      <w:r w:rsidRPr="00C030E8">
        <w:t xml:space="preserve"> to 6</w:t>
      </w:r>
      <w:r>
        <w:t> PM</w:t>
      </w:r>
      <w:r w:rsidRPr="00C030E8">
        <w:t xml:space="preserve">. </w:t>
      </w:r>
    </w:p>
    <w:p w:rsidR="001D1869" w:rsidRDefault="00AD099E" w:rsidP="005C465D">
      <w:pPr>
        <w:pStyle w:val="Bullets"/>
      </w:pPr>
      <w:r>
        <w:t>PG&amp;E and SDG&amp;E can</w:t>
      </w:r>
      <w:r w:rsidRPr="00C030E8">
        <w:t xml:space="preserve"> call </w:t>
      </w:r>
      <w:r w:rsidR="006833FB">
        <w:t xml:space="preserve">CPP </w:t>
      </w:r>
      <w:r w:rsidRPr="00C030E8">
        <w:t>events year-round and on any day of the week</w:t>
      </w:r>
      <w:r>
        <w:t>, while SCE only calls events on non-holiday summer weekdays</w:t>
      </w:r>
      <w:r w:rsidRPr="00C030E8">
        <w:t>.  PG&amp;E and SCE are committed to a minimum of</w:t>
      </w:r>
      <w:r>
        <w:t xml:space="preserve"> 9 events and a maximum of 15</w:t>
      </w:r>
      <w:r w:rsidRPr="00C030E8">
        <w:t xml:space="preserve"> events each year.  SDG&amp;E is committed to a maximum of 18 </w:t>
      </w:r>
      <w:r w:rsidR="006833FB">
        <w:t xml:space="preserve">events </w:t>
      </w:r>
      <w:r>
        <w:t>with</w:t>
      </w:r>
      <w:r w:rsidRPr="00C030E8">
        <w:t xml:space="preserve"> no minimum.  </w:t>
      </w:r>
    </w:p>
    <w:p w:rsidR="00AD099E" w:rsidRDefault="00AD099E" w:rsidP="005C465D">
      <w:pPr>
        <w:pStyle w:val="Bullets"/>
        <w:keepNext/>
      </w:pPr>
      <w:r w:rsidRPr="00C030E8">
        <w:lastRenderedPageBreak/>
        <w:t xml:space="preserve">PG&amp;E attempts to notify customers via phone, email, pager or text by 2 </w:t>
      </w:r>
      <w:r>
        <w:t>PM</w:t>
      </w:r>
      <w:r w:rsidRPr="00C030E8">
        <w:t xml:space="preserve"> on the day before the event, while SCE and SDG&amp;E attempt to notify </w:t>
      </w:r>
      <w:r>
        <w:t>customers by 3 PM</w:t>
      </w:r>
      <w:r w:rsidRPr="00C030E8">
        <w:t xml:space="preserve"> the day before.  </w:t>
      </w:r>
    </w:p>
    <w:p w:rsidR="005D33DC" w:rsidRDefault="00DF469F" w:rsidP="005C465D">
      <w:pPr>
        <w:pStyle w:val="BulletLast"/>
      </w:pPr>
      <w:r>
        <w:t>PG&amp;E and SDG&amp;E offer customers the ability to insure part o</w:t>
      </w:r>
      <w:r w:rsidR="00D03296">
        <w:t>r</w:t>
      </w:r>
      <w:r>
        <w:t xml:space="preserve"> all of their demand against higher CPP prices – a feature known as a Capacity Reservation Level – while SCE has not yet implemented this feature.</w:t>
      </w:r>
      <w:r w:rsidR="005D33DC" w:rsidRPr="00C030E8">
        <w:t xml:space="preserve">  </w:t>
      </w:r>
    </w:p>
    <w:p w:rsidR="00AD099E" w:rsidRDefault="00AD099E" w:rsidP="005C465D">
      <w:pPr>
        <w:pStyle w:val="BodyParagraph"/>
      </w:pPr>
      <w:r>
        <w:t xml:space="preserve">The default </w:t>
      </w:r>
      <w:r w:rsidR="006833FB">
        <w:t xml:space="preserve">enrollment </w:t>
      </w:r>
      <w:r>
        <w:t>process differed significantly across utilities.  At PG&amp;E</w:t>
      </w:r>
      <w:r w:rsidR="00867BEC">
        <w:t>,</w:t>
      </w:r>
      <w:r>
        <w:t xml:space="preserve"> more than 5,000 accounts were scheduled to be defaulted onto CPP, but the majority of them migrated to </w:t>
      </w:r>
      <w:r w:rsidR="00227B1B">
        <w:t>a</w:t>
      </w:r>
      <w:r>
        <w:t xml:space="preserve"> TOU rate before being placed on the CPP tariff.  By the end of the 2011 summer, approximately 1,750 </w:t>
      </w:r>
      <w:r w:rsidR="006833FB">
        <w:t xml:space="preserve">PG&amp;E </w:t>
      </w:r>
      <w:r>
        <w:t>accounts remained on default CPP.  At SCE</w:t>
      </w:r>
      <w:r w:rsidR="00E22860">
        <w:t>,</w:t>
      </w:r>
      <w:r>
        <w:t xml:space="preserve"> most of </w:t>
      </w:r>
      <w:r w:rsidR="00E22860">
        <w:t xml:space="preserve">the </w:t>
      </w:r>
      <w:r>
        <w:t xml:space="preserve">8,000 eligible accounts were placed on default CPP in the fall of 2009, but </w:t>
      </w:r>
      <w:r w:rsidR="00FF3901">
        <w:t xml:space="preserve">nearly </w:t>
      </w:r>
      <w:r>
        <w:t xml:space="preserve">half of them </w:t>
      </w:r>
      <w:r w:rsidR="006833FB">
        <w:t xml:space="preserve">opted out </w:t>
      </w:r>
      <w:r w:rsidR="00227B1B">
        <w:t>to TOU</w:t>
      </w:r>
      <w:r>
        <w:t xml:space="preserve"> before the first summer period.  By the end of the 2011 summer, roughly 3,000 accounts remained on default CPP.  By the end of 2011 SDG&amp;E had almost 1,300 accounts, or roughly 60% of eligible customers</w:t>
      </w:r>
      <w:r w:rsidR="00E22860">
        <w:t>,</w:t>
      </w:r>
      <w:r>
        <w:t xml:space="preserve"> on CPP.  As indicated above, if a customer does not opt out within 45 days of being eligible for default CPP at SDG&amp;E, they must stay on the rate for at least 12 months, whereas at PG&amp;E and SCE customers can opt out at any time.  </w:t>
      </w:r>
    </w:p>
    <w:p w:rsidR="00AD099E" w:rsidRPr="00130AF1" w:rsidRDefault="00AD099E" w:rsidP="005C465D">
      <w:pPr>
        <w:pStyle w:val="BodyParagraph"/>
      </w:pPr>
      <w:r>
        <w:t>A</w:t>
      </w:r>
      <w:r w:rsidRPr="00C030E8">
        <w:t xml:space="preserve">ll three utilities offered </w:t>
      </w:r>
      <w:r>
        <w:t xml:space="preserve">customers bill comparisons between the CPP and opt-out TOU tariffs.  In addition, SCE compared the CPP and opt-out TOU rates to each customer’s historical tariff.  SCE customers transitioned to default CPP at the same time </w:t>
      </w:r>
      <w:r w:rsidR="00867BEC">
        <w:t xml:space="preserve">that </w:t>
      </w:r>
      <w:r>
        <w:t xml:space="preserve">a 3.1% rate reduction was being implemented for large customers. </w:t>
      </w:r>
    </w:p>
    <w:p w:rsidR="00DF254E" w:rsidRDefault="00724997" w:rsidP="005C465D">
      <w:pPr>
        <w:pStyle w:val="BodyParagraph"/>
      </w:pPr>
      <w:r>
        <w:t xml:space="preserve">Table 2-1 provides </w:t>
      </w:r>
      <w:r w:rsidR="00AD099E">
        <w:t xml:space="preserve">examples of </w:t>
      </w:r>
      <w:r w:rsidR="00E22860">
        <w:t xml:space="preserve">the </w:t>
      </w:r>
      <w:r w:rsidR="006833FB">
        <w:t xml:space="preserve">default </w:t>
      </w:r>
      <w:r w:rsidR="00AD099E">
        <w:t xml:space="preserve">CPP and opt-out TOU rates at each utility. </w:t>
      </w:r>
      <w:r w:rsidR="00DF469F">
        <w:t xml:space="preserve"> There are </w:t>
      </w:r>
      <w:r w:rsidR="00867BEC">
        <w:t>different</w:t>
      </w:r>
      <w:r w:rsidR="00DF469F">
        <w:t xml:space="preserve"> version</w:t>
      </w:r>
      <w:r w:rsidR="00867BEC">
        <w:t>s</w:t>
      </w:r>
      <w:r w:rsidR="00DF469F">
        <w:t xml:space="preserve"> of CPP rates at each utility</w:t>
      </w:r>
      <w:r w:rsidR="00867BEC">
        <w:t xml:space="preserve">, which </w:t>
      </w:r>
      <w:r w:rsidR="00DF469F">
        <w:t xml:space="preserve">vary </w:t>
      </w:r>
      <w:r w:rsidR="00867BEC">
        <w:t xml:space="preserve">with </w:t>
      </w:r>
      <w:r w:rsidR="00DF469F">
        <w:t>customer size, service voltage level and time period.</w:t>
      </w:r>
      <w:r w:rsidR="00AD099E">
        <w:t xml:space="preserve"> The </w:t>
      </w:r>
      <w:r w:rsidR="00AD099E" w:rsidRPr="00B17CAA">
        <w:t>rate components</w:t>
      </w:r>
      <w:r w:rsidR="006833FB">
        <w:t>, credits</w:t>
      </w:r>
      <w:r w:rsidR="00AD099E" w:rsidRPr="00B17CAA">
        <w:t xml:space="preserve"> and charges</w:t>
      </w:r>
      <w:r w:rsidR="00AD099E">
        <w:t xml:space="preserve"> vary significantly across utilities.  It should also be noted that seasonal definitions also differ.  </w:t>
      </w:r>
      <w:r w:rsidR="00AD099E" w:rsidRPr="00B17CAA">
        <w:t>PG&amp;E define</w:t>
      </w:r>
      <w:r w:rsidR="00AD099E">
        <w:t>s summer as the period from May through October</w:t>
      </w:r>
      <w:r w:rsidR="00AD099E" w:rsidRPr="00B17CAA">
        <w:t xml:space="preserve"> while</w:t>
      </w:r>
      <w:r w:rsidR="00AD099E">
        <w:t xml:space="preserve"> SDG&amp;E defines summer as May</w:t>
      </w:r>
      <w:r w:rsidR="00AD099E" w:rsidRPr="00B17CAA">
        <w:t xml:space="preserve"> </w:t>
      </w:r>
      <w:r w:rsidR="00AD099E">
        <w:t>through September and SCE defines summer as June through September.</w:t>
      </w:r>
      <w:r w:rsidR="00DF254E">
        <w:t xml:space="preserve"> </w:t>
      </w:r>
      <w:r w:rsidR="00867BEC">
        <w:t xml:space="preserve"> </w:t>
      </w:r>
      <w:r w:rsidR="00FF3901">
        <w:t>At all three utilities,</w:t>
      </w:r>
      <w:r w:rsidR="00FF3901" w:rsidRPr="00B17CAA">
        <w:t xml:space="preserve"> peak period </w:t>
      </w:r>
      <w:r w:rsidR="006833FB">
        <w:t xml:space="preserve">energy </w:t>
      </w:r>
      <w:r w:rsidR="00FF3901" w:rsidRPr="00B17CAA">
        <w:t xml:space="preserve">prices </w:t>
      </w:r>
      <w:r w:rsidR="00FF3901">
        <w:t>increase</w:t>
      </w:r>
      <w:r w:rsidR="00FF3901" w:rsidRPr="00B17CAA">
        <w:t xml:space="preserve"> on critical</w:t>
      </w:r>
      <w:r w:rsidR="00FF3901">
        <w:t xml:space="preserve"> peak days relative to the</w:t>
      </w:r>
      <w:r w:rsidR="00FB5727">
        <w:t> </w:t>
      </w:r>
      <w:r w:rsidR="00FF3901">
        <w:t xml:space="preserve">opt-out TOU </w:t>
      </w:r>
      <w:r w:rsidR="00FF3901" w:rsidRPr="00B17CAA">
        <w:t>tariff</w:t>
      </w:r>
      <w:r w:rsidR="00FF3901">
        <w:t xml:space="preserve"> and there are </w:t>
      </w:r>
      <w:r w:rsidR="00DF254E">
        <w:t>rate credits</w:t>
      </w:r>
      <w:r w:rsidR="00FF3901" w:rsidRPr="00B17CAA">
        <w:t xml:space="preserve"> during non-event days</w:t>
      </w:r>
      <w:r w:rsidR="00FF3901">
        <w:t>,</w:t>
      </w:r>
      <w:r w:rsidR="00FF3901" w:rsidRPr="00B17CAA">
        <w:t xml:space="preserve"> which must be </w:t>
      </w:r>
      <w:r w:rsidR="00FF3901">
        <w:t>considered in the</w:t>
      </w:r>
      <w:r w:rsidR="00FB5727">
        <w:t> </w:t>
      </w:r>
      <w:r w:rsidR="00FF3901" w:rsidRPr="00B17CAA">
        <w:t xml:space="preserve">analysis.  </w:t>
      </w:r>
    </w:p>
    <w:p w:rsidR="00AD099E" w:rsidRDefault="00DF469F" w:rsidP="005C465D">
      <w:pPr>
        <w:pStyle w:val="BodyParagraph"/>
      </w:pPr>
      <w:r w:rsidRPr="00C030E8">
        <w:t xml:space="preserve">The </w:t>
      </w:r>
      <w:r w:rsidR="002B7402">
        <w:t>critical peak price is typically an</w:t>
      </w:r>
      <w:r w:rsidRPr="00C030E8">
        <w:t xml:space="preserve"> adder</w:t>
      </w:r>
      <w:r w:rsidR="002B7402">
        <w:t>, in effect during CPP hours, and</w:t>
      </w:r>
      <w:r w:rsidRPr="00C030E8">
        <w:t xml:space="preserve"> varies from </w:t>
      </w:r>
      <w:r>
        <w:t xml:space="preserve">a low of </w:t>
      </w:r>
      <w:r w:rsidRPr="00C030E8">
        <w:t>$0.90/kWh for PG&amp;E A-10 customers to $1.0</w:t>
      </w:r>
      <w:r>
        <w:t>6</w:t>
      </w:r>
      <w:r w:rsidRPr="00C030E8">
        <w:t xml:space="preserve">/kWh for SDG&amp;E customers, to $1.20/kWh for PG&amp;E E-19 and E-20 customers, to </w:t>
      </w:r>
      <w:r>
        <w:t xml:space="preserve">a high of </w:t>
      </w:r>
      <w:r w:rsidRPr="00C030E8">
        <w:t>$1.36/kWh for SCE customers</w:t>
      </w:r>
      <w:r>
        <w:t>.</w:t>
      </w:r>
      <w:r w:rsidRPr="00C030E8">
        <w:t xml:space="preserve"> </w:t>
      </w:r>
      <w:r w:rsidR="002B7402">
        <w:t xml:space="preserve"> The CPP credits take the form of reduced demand charges</w:t>
      </w:r>
      <w:r w:rsidR="00B8425E">
        <w:t xml:space="preserve"> ($/kW)</w:t>
      </w:r>
      <w:r w:rsidR="002B7402">
        <w:t>, reduced consumption charges</w:t>
      </w:r>
      <w:r w:rsidR="00B8425E">
        <w:t xml:space="preserve"> ($/kWh),</w:t>
      </w:r>
      <w:r w:rsidR="002B7402">
        <w:t xml:space="preserve"> or both.  </w:t>
      </w:r>
      <w:r w:rsidR="00867BEC">
        <w:t>At</w:t>
      </w:r>
      <w:r w:rsidR="002B7402">
        <w:t xml:space="preserve"> all utilities, customers on CPP experience lower on peak demand credits that vary substantially across </w:t>
      </w:r>
      <w:r w:rsidR="00867BEC">
        <w:t>tariffs</w:t>
      </w:r>
      <w:r>
        <w:t>,</w:t>
      </w:r>
      <w:r w:rsidR="00B8425E">
        <w:t xml:space="preserve"> ranging </w:t>
      </w:r>
      <w:r>
        <w:t>from $2.11</w:t>
      </w:r>
      <w:r w:rsidRPr="00C030E8">
        <w:t>/kW for PG&amp;E A-10 customers, to about $</w:t>
      </w:r>
      <w:r>
        <w:t>5-</w:t>
      </w:r>
      <w:r w:rsidRPr="00C030E8">
        <w:t xml:space="preserve">6/kW for PG&amp;E E-19 and E-20 and SDG&amp;E </w:t>
      </w:r>
      <w:r>
        <w:t>customers, to $12.20</w:t>
      </w:r>
      <w:r w:rsidRPr="00C030E8">
        <w:t>/kW for SCE customers</w:t>
      </w:r>
      <w:r>
        <w:t xml:space="preserve"> on TOU-8.  </w:t>
      </w:r>
      <w:r w:rsidRPr="00C030E8">
        <w:t>PG&amp;E also has a</w:t>
      </w:r>
      <w:r>
        <w:t xml:space="preserve"> small</w:t>
      </w:r>
      <w:r w:rsidRPr="00C030E8">
        <w:t xml:space="preserve"> ene</w:t>
      </w:r>
      <w:r>
        <w:t xml:space="preserve">rgy credit for non-event periods as does SDG&amp;E.  </w:t>
      </w:r>
      <w:r w:rsidRPr="00C030E8">
        <w:t xml:space="preserve">SCE does not have a peak-time energy credit.  </w:t>
      </w:r>
      <w:r w:rsidRPr="00BA6F0C">
        <w:t>SDG&amp;E’s peak energy and demand credits come in the form of a difference between the</w:t>
      </w:r>
      <w:r>
        <w:t xml:space="preserve"> energy and demand</w:t>
      </w:r>
      <w:r w:rsidRPr="00BA6F0C">
        <w:t xml:space="preserve"> rate</w:t>
      </w:r>
      <w:r>
        <w:t>s</w:t>
      </w:r>
      <w:r w:rsidRPr="00BA6F0C">
        <w:t xml:space="preserve"> that CPP customers pay and</w:t>
      </w:r>
      <w:r>
        <w:t xml:space="preserve"> energy and demand</w:t>
      </w:r>
      <w:r w:rsidRPr="00BA6F0C">
        <w:t xml:space="preserve"> rate</w:t>
      </w:r>
      <w:r>
        <w:t>s</w:t>
      </w:r>
      <w:r w:rsidRPr="00BA6F0C">
        <w:t xml:space="preserve"> under the </w:t>
      </w:r>
      <w:r>
        <w:t>otherwise applicable tariff (</w:t>
      </w:r>
      <w:r w:rsidRPr="00BA6F0C">
        <w:t>OAT</w:t>
      </w:r>
      <w:r>
        <w:t>)</w:t>
      </w:r>
      <w:r w:rsidRPr="00BA6F0C">
        <w:t xml:space="preserve">, </w:t>
      </w:r>
      <w:r>
        <w:t>rather than as explicit credits.  The summer on</w:t>
      </w:r>
      <w:r w:rsidR="00593DA5">
        <w:t>-</w:t>
      </w:r>
      <w:r>
        <w:t xml:space="preserve">peak demand credit is $5.21 and the energy credits are under $0.01. </w:t>
      </w:r>
      <w:r w:rsidRPr="00BA6F0C">
        <w:t xml:space="preserve"> The </w:t>
      </w:r>
      <w:r>
        <w:t>impact</w:t>
      </w:r>
      <w:r w:rsidRPr="00BA6F0C">
        <w:t xml:space="preserve"> on customer bills is the same as </w:t>
      </w:r>
      <w:r>
        <w:t xml:space="preserve">that of </w:t>
      </w:r>
      <w:r w:rsidRPr="00BA6F0C">
        <w:t>a</w:t>
      </w:r>
      <w:r>
        <w:t>n explicit</w:t>
      </w:r>
      <w:r w:rsidRPr="00BA6F0C">
        <w:t xml:space="preserve"> credit.</w:t>
      </w:r>
    </w:p>
    <w:p w:rsidR="00AD099E" w:rsidRDefault="00AD099E" w:rsidP="005C465D">
      <w:pPr>
        <w:pStyle w:val="TableFigureCaption"/>
      </w:pPr>
      <w:r w:rsidRPr="00287E0A">
        <w:lastRenderedPageBreak/>
        <w:t>Table 2-1:</w:t>
      </w:r>
      <w:r w:rsidR="005C465D">
        <w:t xml:space="preserve"> </w:t>
      </w:r>
      <w:r>
        <w:t xml:space="preserve">Example Default </w:t>
      </w:r>
      <w:r w:rsidRPr="00287E0A">
        <w:t>CPP Rates at PG&amp;E, SCE &amp; S</w:t>
      </w:r>
      <w:r>
        <w:t>D</w:t>
      </w:r>
      <w:r w:rsidRPr="00287E0A">
        <w:t>G&amp;E</w:t>
      </w:r>
      <w:r>
        <w:rPr>
          <w:rStyle w:val="FootnoteReference"/>
        </w:rPr>
        <w:footnoteReference w:id="6"/>
      </w:r>
    </w:p>
    <w:tbl>
      <w:tblPr>
        <w:tblW w:w="9920" w:type="dxa"/>
        <w:jc w:val="center"/>
        <w:tblInd w:w="94" w:type="dxa"/>
        <w:tblLook w:val="04A0"/>
      </w:tblPr>
      <w:tblGrid>
        <w:gridCol w:w="983"/>
        <w:gridCol w:w="1327"/>
        <w:gridCol w:w="2384"/>
        <w:gridCol w:w="1699"/>
        <w:gridCol w:w="1181"/>
        <w:gridCol w:w="1170"/>
        <w:gridCol w:w="1176"/>
      </w:tblGrid>
      <w:tr w:rsidR="00586C11" w:rsidRPr="00DD690A" w:rsidTr="000577B8">
        <w:trPr>
          <w:trHeight w:val="300"/>
          <w:jc w:val="center"/>
        </w:trPr>
        <w:tc>
          <w:tcPr>
            <w:tcW w:w="983" w:type="dxa"/>
            <w:vMerge w:val="restart"/>
            <w:tcBorders>
              <w:top w:val="single" w:sz="4" w:space="0" w:color="auto"/>
              <w:left w:val="single" w:sz="4" w:space="0" w:color="auto"/>
              <w:bottom w:val="single" w:sz="4" w:space="0" w:color="000000"/>
              <w:right w:val="single" w:sz="4" w:space="0" w:color="FFFFFF"/>
            </w:tcBorders>
            <w:shd w:val="clear" w:color="auto" w:fill="1F497D" w:themeFill="text2"/>
            <w:noWrap/>
            <w:vAlign w:val="center"/>
            <w:hideMark/>
          </w:tcPr>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 Season</w:t>
            </w:r>
          </w:p>
        </w:tc>
        <w:tc>
          <w:tcPr>
            <w:tcW w:w="1327" w:type="dxa"/>
            <w:vMerge w:val="restart"/>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TOU/CPP Component</w:t>
            </w:r>
          </w:p>
        </w:tc>
        <w:tc>
          <w:tcPr>
            <w:tcW w:w="2384" w:type="dxa"/>
            <w:vMerge w:val="restart"/>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 Type of Charge/Credit</w:t>
            </w:r>
          </w:p>
        </w:tc>
        <w:tc>
          <w:tcPr>
            <w:tcW w:w="1699" w:type="dxa"/>
            <w:vMerge w:val="restart"/>
            <w:tcBorders>
              <w:top w:val="single" w:sz="4" w:space="0" w:color="auto"/>
              <w:left w:val="single" w:sz="4" w:space="0" w:color="FFFFFF"/>
              <w:bottom w:val="single" w:sz="4" w:space="0" w:color="000000"/>
              <w:right w:val="single" w:sz="4" w:space="0" w:color="FFFFFF"/>
            </w:tcBorders>
            <w:shd w:val="clear" w:color="auto" w:fill="1F497D" w:themeFill="text2"/>
            <w:noWrap/>
            <w:vAlign w:val="center"/>
            <w:hideMark/>
          </w:tcPr>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 Period</w:t>
            </w:r>
          </w:p>
        </w:tc>
        <w:tc>
          <w:tcPr>
            <w:tcW w:w="3527" w:type="dxa"/>
            <w:gridSpan w:val="3"/>
            <w:tcBorders>
              <w:top w:val="single" w:sz="4" w:space="0" w:color="auto"/>
              <w:left w:val="nil"/>
              <w:bottom w:val="single" w:sz="4" w:space="0" w:color="FFFFFF"/>
              <w:right w:val="single" w:sz="4" w:space="0" w:color="000000"/>
            </w:tcBorders>
            <w:shd w:val="clear" w:color="auto" w:fill="1F497D" w:themeFill="text2"/>
            <w:noWrap/>
            <w:vAlign w:val="center"/>
            <w:hideMark/>
          </w:tcPr>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Rate</w:t>
            </w:r>
          </w:p>
        </w:tc>
      </w:tr>
      <w:tr w:rsidR="00586C11" w:rsidRPr="00DD690A" w:rsidTr="000577B8">
        <w:trPr>
          <w:trHeight w:val="510"/>
          <w:jc w:val="center"/>
        </w:trPr>
        <w:tc>
          <w:tcPr>
            <w:tcW w:w="983" w:type="dxa"/>
            <w:vMerge/>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586C11" w:rsidRPr="00292B1C" w:rsidRDefault="00586C11" w:rsidP="00586C11">
            <w:pPr>
              <w:spacing w:after="0" w:line="240" w:lineRule="auto"/>
              <w:rPr>
                <w:rFonts w:ascii="Arial" w:eastAsia="Times New Roman" w:hAnsi="Arial" w:cs="Arial"/>
                <w:b/>
                <w:bCs/>
                <w:color w:val="FFFFFF"/>
                <w:sz w:val="18"/>
                <w:szCs w:val="18"/>
              </w:rPr>
            </w:pPr>
          </w:p>
        </w:tc>
        <w:tc>
          <w:tcPr>
            <w:tcW w:w="1327" w:type="dxa"/>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586C11" w:rsidRPr="00292B1C" w:rsidRDefault="00586C11" w:rsidP="00586C11">
            <w:pPr>
              <w:spacing w:after="0" w:line="240" w:lineRule="auto"/>
              <w:rPr>
                <w:rFonts w:ascii="Arial" w:eastAsia="Times New Roman" w:hAnsi="Arial" w:cs="Arial"/>
                <w:b/>
                <w:bCs/>
                <w:color w:val="FFFFFF"/>
                <w:sz w:val="18"/>
                <w:szCs w:val="18"/>
              </w:rPr>
            </w:pPr>
          </w:p>
        </w:tc>
        <w:tc>
          <w:tcPr>
            <w:tcW w:w="2384" w:type="dxa"/>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586C11" w:rsidRPr="00292B1C" w:rsidRDefault="00586C11" w:rsidP="00586C11">
            <w:pPr>
              <w:spacing w:after="0" w:line="240" w:lineRule="auto"/>
              <w:rPr>
                <w:rFonts w:ascii="Arial" w:eastAsia="Times New Roman" w:hAnsi="Arial" w:cs="Arial"/>
                <w:b/>
                <w:bCs/>
                <w:color w:val="FFFFFF"/>
                <w:sz w:val="18"/>
                <w:szCs w:val="18"/>
              </w:rPr>
            </w:pPr>
          </w:p>
        </w:tc>
        <w:tc>
          <w:tcPr>
            <w:tcW w:w="1699" w:type="dxa"/>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586C11" w:rsidRPr="00292B1C" w:rsidRDefault="00586C11" w:rsidP="00586C11">
            <w:pPr>
              <w:spacing w:after="0" w:line="240" w:lineRule="auto"/>
              <w:rPr>
                <w:rFonts w:ascii="Arial" w:eastAsia="Times New Roman" w:hAnsi="Arial" w:cs="Arial"/>
                <w:b/>
                <w:bCs/>
                <w:color w:val="FFFFFF"/>
                <w:sz w:val="18"/>
                <w:szCs w:val="18"/>
              </w:rPr>
            </w:pPr>
          </w:p>
        </w:tc>
        <w:tc>
          <w:tcPr>
            <w:tcW w:w="1181" w:type="dxa"/>
            <w:tcBorders>
              <w:top w:val="nil"/>
              <w:left w:val="nil"/>
              <w:bottom w:val="single" w:sz="4" w:space="0" w:color="auto"/>
              <w:right w:val="single" w:sz="4" w:space="0" w:color="FFFFFF"/>
            </w:tcBorders>
            <w:shd w:val="clear" w:color="auto" w:fill="1F497D" w:themeFill="text2"/>
            <w:vAlign w:val="center"/>
            <w:hideMark/>
          </w:tcPr>
          <w:p w:rsidR="00867BE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PG&amp; E</w:t>
            </w:r>
          </w:p>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E-19</w:t>
            </w:r>
          </w:p>
        </w:tc>
        <w:tc>
          <w:tcPr>
            <w:tcW w:w="1170" w:type="dxa"/>
            <w:tcBorders>
              <w:top w:val="nil"/>
              <w:left w:val="nil"/>
              <w:bottom w:val="single" w:sz="4" w:space="0" w:color="auto"/>
              <w:right w:val="single" w:sz="4" w:space="0" w:color="FFFFFF"/>
            </w:tcBorders>
            <w:shd w:val="clear" w:color="auto" w:fill="1F497D" w:themeFill="text2"/>
            <w:vAlign w:val="center"/>
            <w:hideMark/>
          </w:tcPr>
          <w:p w:rsidR="00867BE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 xml:space="preserve">SCE </w:t>
            </w:r>
          </w:p>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GS-3</w:t>
            </w:r>
          </w:p>
        </w:tc>
        <w:tc>
          <w:tcPr>
            <w:tcW w:w="1176" w:type="dxa"/>
            <w:tcBorders>
              <w:top w:val="nil"/>
              <w:left w:val="nil"/>
              <w:bottom w:val="single" w:sz="4" w:space="0" w:color="auto"/>
              <w:right w:val="single" w:sz="4" w:space="0" w:color="auto"/>
            </w:tcBorders>
            <w:shd w:val="clear" w:color="auto" w:fill="1F497D" w:themeFill="text2"/>
            <w:vAlign w:val="center"/>
            <w:hideMark/>
          </w:tcPr>
          <w:p w:rsidR="00586C11" w:rsidRPr="00292B1C" w:rsidRDefault="00586C11" w:rsidP="00586C11">
            <w:pPr>
              <w:spacing w:after="0" w:line="240" w:lineRule="auto"/>
              <w:jc w:val="center"/>
              <w:rPr>
                <w:rFonts w:ascii="Arial" w:eastAsia="Times New Roman" w:hAnsi="Arial" w:cs="Arial"/>
                <w:b/>
                <w:bCs/>
                <w:color w:val="FFFFFF"/>
                <w:sz w:val="18"/>
                <w:szCs w:val="18"/>
              </w:rPr>
            </w:pPr>
            <w:r w:rsidRPr="00292B1C">
              <w:rPr>
                <w:rFonts w:ascii="Arial" w:eastAsia="Times New Roman" w:hAnsi="Arial" w:cs="Arial"/>
                <w:b/>
                <w:bCs/>
                <w:color w:val="FFFFFF"/>
                <w:sz w:val="18"/>
                <w:szCs w:val="18"/>
              </w:rPr>
              <w:t>SDG&amp;E   AL-TOU</w:t>
            </w:r>
          </w:p>
        </w:tc>
      </w:tr>
      <w:tr w:rsidR="00586C11" w:rsidRPr="00DD690A" w:rsidTr="00292B1C">
        <w:trPr>
          <w:trHeight w:val="54"/>
          <w:jc w:val="center"/>
        </w:trPr>
        <w:tc>
          <w:tcPr>
            <w:tcW w:w="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Summer</w:t>
            </w:r>
          </w:p>
        </w:tc>
        <w:tc>
          <w:tcPr>
            <w:tcW w:w="1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TOU Component</w:t>
            </w: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Energy Rates </w:t>
            </w:r>
            <w:r w:rsidR="00292B1C" w:rsidRPr="00292B1C">
              <w:rPr>
                <w:rFonts w:ascii="Arial" w:eastAsia="Times New Roman" w:hAnsi="Arial" w:cs="Arial"/>
                <w:color w:val="000000"/>
                <w:sz w:val="18"/>
                <w:szCs w:val="18"/>
              </w:rPr>
              <w:br/>
            </w:r>
            <w:r w:rsidRPr="00292B1C">
              <w:rPr>
                <w:rFonts w:ascii="Arial" w:eastAsia="Times New Roman" w:hAnsi="Arial" w:cs="Arial"/>
                <w:color w:val="000000"/>
                <w:sz w:val="18"/>
                <w:szCs w:val="18"/>
              </w:rPr>
              <w:t>($'s per kWh)</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$0.13476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$0.12448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$0.09907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$0.09579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$0.09086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$0.07979 </w:t>
            </w:r>
          </w:p>
        </w:tc>
      </w:tr>
      <w:tr w:rsidR="00586C11" w:rsidRPr="00DD690A" w:rsidTr="00292B1C">
        <w:trPr>
          <w:trHeight w:val="170"/>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Off-Peak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$0.07028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$0.06543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$0.05942 </w:t>
            </w:r>
          </w:p>
        </w:tc>
      </w:tr>
      <w:tr w:rsidR="00586C11" w:rsidRPr="00DD690A" w:rsidTr="00292B1C">
        <w:trPr>
          <w:trHeight w:val="13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Demand Charges </w:t>
            </w:r>
            <w:r w:rsidR="00292B1C" w:rsidRPr="00292B1C">
              <w:rPr>
                <w:rFonts w:ascii="Arial" w:eastAsia="Times New Roman" w:hAnsi="Arial" w:cs="Arial"/>
                <w:color w:val="000000"/>
                <w:sz w:val="18"/>
                <w:szCs w:val="18"/>
              </w:rPr>
              <w:br/>
            </w:r>
            <w:r w:rsidRPr="00292B1C">
              <w:rPr>
                <w:rFonts w:ascii="Arial" w:eastAsia="Times New Roman" w:hAnsi="Arial" w:cs="Arial"/>
                <w:color w:val="000000"/>
                <w:sz w:val="18"/>
                <w:szCs w:val="18"/>
              </w:rPr>
              <w:t>($'s per kW)</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$14.70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$12.96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$12.86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$3.43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$3.08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r>
      <w:tr w:rsidR="00586C11" w:rsidRPr="00DD690A" w:rsidTr="00292B1C">
        <w:trPr>
          <w:trHeight w:val="62"/>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Maximum Demand</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$11.85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$13.30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$13.57</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CPP Component</w:t>
            </w: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Energy Charges and Credits ($'s per kWh)</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CPP Event Adder</w:t>
            </w:r>
          </w:p>
        </w:tc>
        <w:tc>
          <w:tcPr>
            <w:tcW w:w="1181" w:type="dxa"/>
            <w:tcBorders>
              <w:top w:val="nil"/>
              <w:left w:val="nil"/>
              <w:bottom w:val="single" w:sz="4" w:space="0" w:color="auto"/>
              <w:right w:val="single" w:sz="4" w:space="0" w:color="auto"/>
            </w:tcBorders>
            <w:shd w:val="clear" w:color="000000" w:fill="FFFFFF"/>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$1.20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$1.36229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$1.06282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 xml:space="preserve">$0.00000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($0.00646)</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 xml:space="preserve">$0.00000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($0.00638)</w:t>
            </w:r>
          </w:p>
        </w:tc>
      </w:tr>
      <w:tr w:rsidR="00586C11" w:rsidRPr="00DD690A" w:rsidTr="00292B1C">
        <w:trPr>
          <w:trHeight w:val="161"/>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Off-Peak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($0.00591)</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Demand Credits </w:t>
            </w:r>
            <w:r w:rsidR="00292B1C" w:rsidRPr="00292B1C">
              <w:rPr>
                <w:rFonts w:ascii="Arial" w:eastAsia="Times New Roman" w:hAnsi="Arial" w:cs="Arial"/>
                <w:color w:val="000000"/>
                <w:sz w:val="18"/>
                <w:szCs w:val="18"/>
              </w:rPr>
              <w:br/>
            </w:r>
            <w:r w:rsidRPr="00292B1C">
              <w:rPr>
                <w:rFonts w:ascii="Arial" w:eastAsia="Times New Roman" w:hAnsi="Arial" w:cs="Arial"/>
                <w:color w:val="000000"/>
                <w:sz w:val="18"/>
                <w:szCs w:val="18"/>
              </w:rPr>
              <w:t>($'s per kW)</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($6.35)</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($11.62)</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($5.21)</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($1.37)</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r>
      <w:tr w:rsidR="00586C11" w:rsidRPr="00DD690A" w:rsidTr="00292B1C">
        <w:trPr>
          <w:trHeight w:val="13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Capacity Reservation Charge ($'s per kW/Month)</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Summer</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$13.05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$6.42 </w:t>
            </w:r>
          </w:p>
        </w:tc>
      </w:tr>
      <w:tr w:rsidR="00586C11" w:rsidRPr="00DD690A" w:rsidTr="00292B1C">
        <w:trPr>
          <w:trHeight w:val="54"/>
          <w:jc w:val="center"/>
        </w:trPr>
        <w:tc>
          <w:tcPr>
            <w:tcW w:w="9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Winter</w:t>
            </w:r>
          </w:p>
        </w:tc>
        <w:tc>
          <w:tcPr>
            <w:tcW w:w="1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TOU Component</w:t>
            </w: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Energy Rates </w:t>
            </w:r>
            <w:r w:rsidR="00292B1C" w:rsidRPr="00292B1C">
              <w:rPr>
                <w:rFonts w:ascii="Arial" w:eastAsia="Times New Roman" w:hAnsi="Arial" w:cs="Arial"/>
                <w:color w:val="000000"/>
                <w:sz w:val="18"/>
                <w:szCs w:val="18"/>
              </w:rPr>
              <w:br/>
            </w:r>
            <w:r w:rsidRPr="00292B1C">
              <w:rPr>
                <w:rFonts w:ascii="Arial" w:eastAsia="Times New Roman" w:hAnsi="Arial" w:cs="Arial"/>
                <w:color w:val="000000"/>
                <w:sz w:val="18"/>
                <w:szCs w:val="18"/>
              </w:rPr>
              <w:t>($'s per kWh)</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$0.09320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$0.09063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$0.06987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$0.08491 </w:t>
            </w:r>
          </w:p>
        </w:tc>
      </w:tr>
      <w:tr w:rsidR="00586C11" w:rsidRPr="00DD690A" w:rsidTr="00292B1C">
        <w:trPr>
          <w:trHeight w:val="80"/>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Off-Peak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$0.07320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$0.05412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$0.06475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Demand Charges </w:t>
            </w:r>
            <w:r w:rsidR="00292B1C" w:rsidRPr="00292B1C">
              <w:rPr>
                <w:rFonts w:ascii="Arial" w:eastAsia="Times New Roman" w:hAnsi="Arial" w:cs="Arial"/>
                <w:color w:val="000000"/>
                <w:sz w:val="18"/>
                <w:szCs w:val="18"/>
              </w:rPr>
              <w:br/>
            </w:r>
            <w:r w:rsidRPr="00292B1C">
              <w:rPr>
                <w:rFonts w:ascii="Arial" w:eastAsia="Times New Roman" w:hAnsi="Arial" w:cs="Arial"/>
                <w:color w:val="000000"/>
                <w:sz w:val="18"/>
                <w:szCs w:val="18"/>
              </w:rPr>
              <w:t>($'s per kW)</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$0.00</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$4.92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$0.21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$0.00</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Maximum Demand</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$11.85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$13.30 </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$13.57</w:t>
            </w:r>
          </w:p>
        </w:tc>
      </w:tr>
      <w:tr w:rsidR="00586C11" w:rsidRPr="00DD690A" w:rsidTr="00292B1C">
        <w:trPr>
          <w:trHeight w:val="98"/>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CPP Component</w:t>
            </w: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Energy Charges and Credits ($'s per kWh)</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CPP Event Adder</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$1.20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$1.06 </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 xml:space="preserve">$0.00000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($0.00646)</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FF0000"/>
                <w:sz w:val="18"/>
                <w:szCs w:val="18"/>
              </w:rPr>
            </w:pPr>
            <w:r w:rsidRPr="00292B1C">
              <w:rPr>
                <w:rFonts w:ascii="Arial" w:eastAsia="Times New Roman" w:hAnsi="Arial" w:cs="Arial"/>
                <w:color w:val="FF0000"/>
                <w:sz w:val="18"/>
                <w:szCs w:val="18"/>
              </w:rPr>
              <w:t xml:space="preserve">$0.00000 </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($0.00638)</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Off-Peak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($0.00591)</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292B1C" w:rsidRDefault="00586C11" w:rsidP="00292B1C">
            <w:pPr>
              <w:spacing w:after="0" w:line="240" w:lineRule="auto"/>
              <w:contextualSpacing/>
              <w:rPr>
                <w:rFonts w:ascii="Arial" w:eastAsia="Times New Roman" w:hAnsi="Arial" w:cs="Arial"/>
                <w:color w:val="000000"/>
                <w:sz w:val="18"/>
                <w:szCs w:val="18"/>
              </w:rPr>
            </w:pPr>
          </w:p>
        </w:tc>
        <w:tc>
          <w:tcPr>
            <w:tcW w:w="238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 xml:space="preserve">Demand Credits </w:t>
            </w:r>
            <w:r w:rsidR="00292B1C" w:rsidRPr="00292B1C">
              <w:rPr>
                <w:rFonts w:ascii="Arial" w:eastAsia="Times New Roman" w:hAnsi="Arial" w:cs="Arial"/>
                <w:color w:val="000000"/>
                <w:sz w:val="18"/>
                <w:szCs w:val="18"/>
              </w:rPr>
              <w:br/>
            </w:r>
            <w:r w:rsidRPr="00292B1C">
              <w:rPr>
                <w:rFonts w:ascii="Arial" w:eastAsia="Times New Roman" w:hAnsi="Arial" w:cs="Arial"/>
                <w:color w:val="000000"/>
                <w:sz w:val="18"/>
                <w:szCs w:val="18"/>
              </w:rPr>
              <w:t>($'s per kW)</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On-Peak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000000"/>
                <w:sz w:val="18"/>
                <w:szCs w:val="18"/>
              </w:rPr>
              <w:t>NA</w:t>
            </w:r>
          </w:p>
        </w:tc>
        <w:tc>
          <w:tcPr>
            <w:tcW w:w="1176" w:type="dxa"/>
            <w:tcBorders>
              <w:top w:val="nil"/>
              <w:left w:val="nil"/>
              <w:bottom w:val="nil"/>
              <w:right w:val="single" w:sz="4" w:space="0" w:color="auto"/>
            </w:tcBorders>
            <w:shd w:val="clear" w:color="auto" w:fill="auto"/>
            <w:noWrap/>
            <w:vAlign w:val="center"/>
            <w:hideMark/>
          </w:tcPr>
          <w:p w:rsidR="00586C11" w:rsidRPr="00292B1C" w:rsidRDefault="00586C11" w:rsidP="00292B1C">
            <w:pPr>
              <w:spacing w:after="0" w:line="240" w:lineRule="auto"/>
              <w:contextualSpacing/>
              <w:jc w:val="center"/>
              <w:rPr>
                <w:rFonts w:ascii="Arial" w:eastAsia="Times New Roman" w:hAnsi="Arial" w:cs="Arial"/>
                <w:color w:val="000000"/>
                <w:sz w:val="18"/>
                <w:szCs w:val="18"/>
              </w:rPr>
            </w:pPr>
            <w:r w:rsidRPr="00292B1C">
              <w:rPr>
                <w:rFonts w:ascii="Arial" w:eastAsia="Times New Roman" w:hAnsi="Arial" w:cs="Arial"/>
                <w:color w:val="FF0000"/>
                <w:sz w:val="18"/>
                <w:szCs w:val="18"/>
              </w:rPr>
              <w:t>($0.17)</w:t>
            </w:r>
          </w:p>
        </w:tc>
      </w:tr>
      <w:tr w:rsidR="00586C11" w:rsidRPr="00DD690A" w:rsidTr="00292B1C">
        <w:trPr>
          <w:trHeight w:val="5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DD690A" w:rsidRDefault="00586C11" w:rsidP="00586C11">
            <w:pPr>
              <w:spacing w:after="0" w:line="240" w:lineRule="auto"/>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DD690A" w:rsidRDefault="00586C11" w:rsidP="00586C11">
            <w:pPr>
              <w:spacing w:after="0" w:line="240" w:lineRule="auto"/>
              <w:rPr>
                <w:rFonts w:ascii="Arial" w:eastAsia="Times New Roman" w:hAnsi="Arial" w:cs="Arial"/>
                <w:color w:val="000000"/>
                <w:sz w:val="18"/>
                <w:szCs w:val="18"/>
              </w:rPr>
            </w:pPr>
          </w:p>
        </w:tc>
        <w:tc>
          <w:tcPr>
            <w:tcW w:w="2384" w:type="dxa"/>
            <w:vMerge/>
            <w:tcBorders>
              <w:top w:val="nil"/>
              <w:left w:val="single" w:sz="4" w:space="0" w:color="auto"/>
              <w:bottom w:val="single" w:sz="4" w:space="0" w:color="000000"/>
              <w:right w:val="single" w:sz="4" w:space="0" w:color="auto"/>
            </w:tcBorders>
            <w:vAlign w:val="center"/>
            <w:hideMark/>
          </w:tcPr>
          <w:p w:rsidR="00586C11" w:rsidRPr="00DD690A" w:rsidRDefault="00586C11" w:rsidP="00586C11">
            <w:pPr>
              <w:spacing w:after="0" w:line="240" w:lineRule="auto"/>
              <w:rPr>
                <w:rFonts w:ascii="Arial" w:eastAsia="Times New Roman" w:hAnsi="Arial" w:cs="Arial"/>
                <w:color w:val="000000"/>
                <w:sz w:val="18"/>
                <w:szCs w:val="18"/>
              </w:rPr>
            </w:pPr>
          </w:p>
        </w:tc>
        <w:tc>
          <w:tcPr>
            <w:tcW w:w="1699" w:type="dxa"/>
            <w:tcBorders>
              <w:top w:val="nil"/>
              <w:left w:val="nil"/>
              <w:bottom w:val="single" w:sz="4" w:space="0" w:color="auto"/>
              <w:right w:val="single" w:sz="4" w:space="0" w:color="auto"/>
            </w:tcBorders>
            <w:shd w:val="clear" w:color="000000" w:fill="FFFFFF"/>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Semi-Peak</w:t>
            </w:r>
          </w:p>
        </w:tc>
        <w:tc>
          <w:tcPr>
            <w:tcW w:w="1181" w:type="dxa"/>
            <w:tcBorders>
              <w:top w:val="nil"/>
              <w:left w:val="nil"/>
              <w:bottom w:val="single" w:sz="4" w:space="0" w:color="auto"/>
              <w:right w:val="single" w:sz="4" w:space="0" w:color="auto"/>
            </w:tcBorders>
            <w:shd w:val="clear" w:color="000000" w:fill="FFFFFF"/>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NA</w:t>
            </w:r>
          </w:p>
        </w:tc>
        <w:tc>
          <w:tcPr>
            <w:tcW w:w="1170" w:type="dxa"/>
            <w:tcBorders>
              <w:top w:val="nil"/>
              <w:left w:val="nil"/>
              <w:bottom w:val="single" w:sz="4" w:space="0" w:color="auto"/>
              <w:right w:val="single" w:sz="4" w:space="0" w:color="auto"/>
            </w:tcBorders>
            <w:shd w:val="clear" w:color="000000" w:fill="FFFFFF"/>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NA</w:t>
            </w:r>
          </w:p>
        </w:tc>
        <w:tc>
          <w:tcPr>
            <w:tcW w:w="1176" w:type="dxa"/>
            <w:tcBorders>
              <w:top w:val="single" w:sz="4" w:space="0" w:color="auto"/>
              <w:left w:val="nil"/>
              <w:bottom w:val="single" w:sz="4" w:space="0" w:color="auto"/>
              <w:right w:val="single" w:sz="4" w:space="0" w:color="auto"/>
            </w:tcBorders>
            <w:shd w:val="clear" w:color="000000" w:fill="FFFFFF"/>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NA</w:t>
            </w:r>
          </w:p>
        </w:tc>
      </w:tr>
      <w:tr w:rsidR="00586C11" w:rsidRPr="00DD690A" w:rsidTr="00292B1C">
        <w:trPr>
          <w:trHeight w:val="134"/>
          <w:jc w:val="center"/>
        </w:trPr>
        <w:tc>
          <w:tcPr>
            <w:tcW w:w="983" w:type="dxa"/>
            <w:vMerge/>
            <w:tcBorders>
              <w:top w:val="nil"/>
              <w:left w:val="single" w:sz="4" w:space="0" w:color="auto"/>
              <w:bottom w:val="single" w:sz="4" w:space="0" w:color="000000"/>
              <w:right w:val="single" w:sz="4" w:space="0" w:color="auto"/>
            </w:tcBorders>
            <w:vAlign w:val="center"/>
            <w:hideMark/>
          </w:tcPr>
          <w:p w:rsidR="00586C11" w:rsidRPr="00DD690A" w:rsidRDefault="00586C11" w:rsidP="00586C11">
            <w:pPr>
              <w:spacing w:after="0" w:line="240" w:lineRule="auto"/>
              <w:rPr>
                <w:rFonts w:ascii="Arial" w:eastAsia="Times New Roman" w:hAnsi="Arial" w:cs="Arial"/>
                <w:color w:val="000000"/>
                <w:sz w:val="18"/>
                <w:szCs w:val="18"/>
              </w:rPr>
            </w:pPr>
          </w:p>
        </w:tc>
        <w:tc>
          <w:tcPr>
            <w:tcW w:w="1327" w:type="dxa"/>
            <w:vMerge/>
            <w:tcBorders>
              <w:top w:val="nil"/>
              <w:left w:val="single" w:sz="4" w:space="0" w:color="auto"/>
              <w:bottom w:val="single" w:sz="4" w:space="0" w:color="000000"/>
              <w:right w:val="single" w:sz="4" w:space="0" w:color="auto"/>
            </w:tcBorders>
            <w:vAlign w:val="center"/>
            <w:hideMark/>
          </w:tcPr>
          <w:p w:rsidR="00586C11" w:rsidRPr="00DD690A" w:rsidRDefault="00586C11" w:rsidP="00586C11">
            <w:pPr>
              <w:spacing w:after="0" w:line="240" w:lineRule="auto"/>
              <w:rPr>
                <w:rFonts w:ascii="Arial" w:eastAsia="Times New Roman" w:hAnsi="Arial" w:cs="Arial"/>
                <w:color w:val="000000"/>
                <w:sz w:val="18"/>
                <w:szCs w:val="18"/>
              </w:rPr>
            </w:pPr>
          </w:p>
        </w:tc>
        <w:tc>
          <w:tcPr>
            <w:tcW w:w="2384" w:type="dxa"/>
            <w:tcBorders>
              <w:top w:val="nil"/>
              <w:left w:val="nil"/>
              <w:bottom w:val="single" w:sz="4" w:space="0" w:color="auto"/>
              <w:right w:val="single" w:sz="4" w:space="0" w:color="auto"/>
            </w:tcBorders>
            <w:shd w:val="clear" w:color="000000" w:fill="FFFFFF"/>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Capacity Reservation Charge ($'s per kW/Month)</w:t>
            </w:r>
          </w:p>
        </w:tc>
        <w:tc>
          <w:tcPr>
            <w:tcW w:w="1699" w:type="dxa"/>
            <w:tcBorders>
              <w:top w:val="nil"/>
              <w:left w:val="nil"/>
              <w:bottom w:val="single" w:sz="4" w:space="0" w:color="auto"/>
              <w:right w:val="single" w:sz="4" w:space="0" w:color="auto"/>
            </w:tcBorders>
            <w:shd w:val="clear" w:color="000000" w:fill="FFFFFF"/>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Winter</w:t>
            </w:r>
          </w:p>
        </w:tc>
        <w:tc>
          <w:tcPr>
            <w:tcW w:w="1181" w:type="dxa"/>
            <w:tcBorders>
              <w:top w:val="nil"/>
              <w:left w:val="nil"/>
              <w:bottom w:val="single" w:sz="4" w:space="0" w:color="auto"/>
              <w:right w:val="single" w:sz="4" w:space="0" w:color="auto"/>
            </w:tcBorders>
            <w:shd w:val="clear" w:color="000000" w:fill="FFFFFF"/>
            <w:noWrap/>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 xml:space="preserve">$1.12 </w:t>
            </w:r>
          </w:p>
        </w:tc>
        <w:tc>
          <w:tcPr>
            <w:tcW w:w="1170" w:type="dxa"/>
            <w:tcBorders>
              <w:top w:val="nil"/>
              <w:left w:val="nil"/>
              <w:bottom w:val="single" w:sz="4" w:space="0" w:color="auto"/>
              <w:right w:val="single" w:sz="4" w:space="0" w:color="auto"/>
            </w:tcBorders>
            <w:shd w:val="clear" w:color="000000" w:fill="FFFFFF"/>
            <w:noWrap/>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NA</w:t>
            </w:r>
          </w:p>
        </w:tc>
        <w:tc>
          <w:tcPr>
            <w:tcW w:w="1176" w:type="dxa"/>
            <w:tcBorders>
              <w:top w:val="nil"/>
              <w:left w:val="nil"/>
              <w:bottom w:val="single" w:sz="4" w:space="0" w:color="auto"/>
              <w:right w:val="single" w:sz="4" w:space="0" w:color="auto"/>
            </w:tcBorders>
            <w:shd w:val="clear" w:color="000000" w:fill="FFFFFF"/>
            <w:noWrap/>
            <w:vAlign w:val="center"/>
            <w:hideMark/>
          </w:tcPr>
          <w:p w:rsidR="00586C11" w:rsidRPr="00DD690A" w:rsidRDefault="00586C11" w:rsidP="00586C11">
            <w:pPr>
              <w:spacing w:after="0" w:line="240" w:lineRule="auto"/>
              <w:jc w:val="center"/>
              <w:rPr>
                <w:rFonts w:ascii="Arial" w:eastAsia="Times New Roman" w:hAnsi="Arial" w:cs="Arial"/>
                <w:color w:val="000000"/>
                <w:sz w:val="18"/>
                <w:szCs w:val="18"/>
              </w:rPr>
            </w:pPr>
            <w:r w:rsidRPr="00DD690A">
              <w:rPr>
                <w:rFonts w:ascii="Arial" w:eastAsia="Times New Roman" w:hAnsi="Arial" w:cs="Arial"/>
                <w:color w:val="000000"/>
                <w:sz w:val="18"/>
                <w:szCs w:val="18"/>
              </w:rPr>
              <w:t>NA</w:t>
            </w:r>
          </w:p>
        </w:tc>
      </w:tr>
    </w:tbl>
    <w:p w:rsidR="00AD099E" w:rsidRPr="00287E0A" w:rsidRDefault="00AD099E" w:rsidP="00292B1C">
      <w:pPr>
        <w:pStyle w:val="Footnote"/>
        <w:rPr>
          <w:b/>
        </w:rPr>
      </w:pPr>
      <w:r>
        <w:rPr>
          <w:b/>
        </w:rPr>
        <w:t>*</w:t>
      </w:r>
      <w:r w:rsidRPr="00BB14A0">
        <w:t xml:space="preserve">NA=Not </w:t>
      </w:r>
      <w:r w:rsidRPr="00292B1C">
        <w:t>Applicable</w:t>
      </w:r>
    </w:p>
    <w:p w:rsidR="006720A1" w:rsidRDefault="00AD099E" w:rsidP="005C465D">
      <w:pPr>
        <w:pStyle w:val="BodyParaAfterTableFigure"/>
      </w:pPr>
      <w:r w:rsidRPr="00C030E8">
        <w:t xml:space="preserve">SDG&amp;E offers capacity reservation (CR) to </w:t>
      </w:r>
      <w:r>
        <w:t>all CPP customers and PG&amp;E offers it to CPP</w:t>
      </w:r>
      <w:r w:rsidRPr="00C030E8">
        <w:t xml:space="preserve"> customers whose underlying TOU rate is E-19 or E-20.</w:t>
      </w:r>
      <w:r w:rsidRPr="00C030E8">
        <w:rPr>
          <w:rStyle w:val="FootnoteReference"/>
          <w:rFonts w:cs="Arial"/>
        </w:rPr>
        <w:footnoteReference w:id="7"/>
      </w:r>
      <w:r w:rsidRPr="00C030E8">
        <w:t xml:space="preserve">  </w:t>
      </w:r>
      <w:r w:rsidR="00DF254E">
        <w:t xml:space="preserve">SCE does not have a capacity reservation charge. </w:t>
      </w:r>
      <w:r w:rsidR="00EE43E6">
        <w:t xml:space="preserve"> </w:t>
      </w:r>
      <w:r w:rsidRPr="00C030E8">
        <w:t xml:space="preserve">Capacity reservation is a type of insurance contract in which </w:t>
      </w:r>
      <w:r>
        <w:t>a</w:t>
      </w:r>
      <w:r w:rsidRPr="00C030E8">
        <w:t xml:space="preserve"> customer pays a fee (measured per kW) to set a level of demand below which </w:t>
      </w:r>
      <w:r w:rsidR="00E22860">
        <w:t xml:space="preserve">it </w:t>
      </w:r>
      <w:r>
        <w:t>will be charged the non-CPP</w:t>
      </w:r>
      <w:r w:rsidRPr="00C030E8">
        <w:t>, TOU price during even</w:t>
      </w:r>
      <w:r>
        <w:t>t periods.  Above the set level</w:t>
      </w:r>
      <w:r w:rsidR="00E22860">
        <w:t>, a</w:t>
      </w:r>
      <w:r w:rsidRPr="00C030E8">
        <w:t xml:space="preserve"> customer will pay </w:t>
      </w:r>
      <w:r>
        <w:t>the normal CPP</w:t>
      </w:r>
      <w:r w:rsidRPr="00C030E8">
        <w:t xml:space="preserve"> price during an event.  </w:t>
      </w:r>
      <w:r w:rsidR="00E22860">
        <w:t>C</w:t>
      </w:r>
      <w:r>
        <w:t>ustomer</w:t>
      </w:r>
      <w:r w:rsidR="00E22860">
        <w:t>s</w:t>
      </w:r>
      <w:r>
        <w:t xml:space="preserve"> </w:t>
      </w:r>
      <w:r w:rsidR="00867BEC">
        <w:lastRenderedPageBreak/>
        <w:t>choosing</w:t>
      </w:r>
      <w:r w:rsidR="00E22860">
        <w:t xml:space="preserve"> this option </w:t>
      </w:r>
      <w:r>
        <w:t>will pay the capacity reservation</w:t>
      </w:r>
      <w:r w:rsidRPr="00C030E8">
        <w:t xml:space="preserve"> fee whether or not </w:t>
      </w:r>
      <w:r>
        <w:t xml:space="preserve">events are called and whether or not </w:t>
      </w:r>
      <w:r w:rsidRPr="00C030E8">
        <w:t xml:space="preserve">they actually reach </w:t>
      </w:r>
      <w:r>
        <w:t>their specified level of demand during an event.  SDG&amp;E charges $6.42</w:t>
      </w:r>
      <w:r w:rsidRPr="00C030E8">
        <w:t xml:space="preserve">/kW </w:t>
      </w:r>
      <w:r>
        <w:t xml:space="preserve">per month </w:t>
      </w:r>
      <w:r w:rsidRPr="00C030E8">
        <w:t xml:space="preserve">for this </w:t>
      </w:r>
      <w:r>
        <w:t>option</w:t>
      </w:r>
      <w:r w:rsidRPr="00C030E8">
        <w:t xml:space="preserve"> and the default level for SDG&amp;E customers is 50% of </w:t>
      </w:r>
      <w:r>
        <w:t>a</w:t>
      </w:r>
      <w:r w:rsidRPr="00C030E8">
        <w:t xml:space="preserve"> customer’s</w:t>
      </w:r>
      <w:r w:rsidR="00223FA9">
        <w:t xml:space="preserve"> average</w:t>
      </w:r>
      <w:r w:rsidRPr="00C030E8">
        <w:t xml:space="preserve"> </w:t>
      </w:r>
      <w:r w:rsidR="00223FA9">
        <w:t>of the</w:t>
      </w:r>
      <w:r w:rsidR="007D0A2C">
        <w:t>ir</w:t>
      </w:r>
      <w:r w:rsidR="00223FA9">
        <w:t xml:space="preserve"> </w:t>
      </w:r>
      <w:r w:rsidR="007D0A2C">
        <w:t xml:space="preserve">monthly </w:t>
      </w:r>
      <w:r w:rsidR="00223FA9">
        <w:t>maximum</w:t>
      </w:r>
      <w:r w:rsidRPr="00C030E8">
        <w:t xml:space="preserve"> demand</w:t>
      </w:r>
      <w:r w:rsidR="007D0A2C">
        <w:t>s</w:t>
      </w:r>
      <w:r w:rsidRPr="00C030E8">
        <w:t xml:space="preserve"> during </w:t>
      </w:r>
      <w:r w:rsidR="00223FA9">
        <w:t>the previous summer</w:t>
      </w:r>
      <w:r w:rsidRPr="00C030E8">
        <w:t xml:space="preserve">.  PG&amp;E also sets the default level to 50% of </w:t>
      </w:r>
      <w:r w:rsidR="007D0A2C">
        <w:t>the same metric</w:t>
      </w:r>
      <w:r w:rsidRPr="00C030E8">
        <w:t xml:space="preserve">, but the </w:t>
      </w:r>
      <w:r>
        <w:t>capacity reservation structure</w:t>
      </w:r>
      <w:r w:rsidRPr="00C030E8">
        <w:t xml:space="preserve"> is different.  For PG&amp;E, E-19 and E</w:t>
      </w:r>
      <w:r>
        <w:t>-20 customers pay capacity reservation charges</w:t>
      </w:r>
      <w:r w:rsidRPr="00C030E8">
        <w:t xml:space="preserve"> according to the peak (during summer) and part-peak (during winter) demand charges </w:t>
      </w:r>
      <w:r>
        <w:t xml:space="preserve">that </w:t>
      </w:r>
      <w:r w:rsidRPr="00C030E8">
        <w:t>they normal</w:t>
      </w:r>
      <w:r>
        <w:t>ly pay during the hours of a CPP</w:t>
      </w:r>
      <w:r w:rsidRPr="00C030E8">
        <w:t xml:space="preserve"> event.  This means that the summer price for </w:t>
      </w:r>
      <w:r w:rsidR="007D0A2C">
        <w:t>capacity reservation</w:t>
      </w:r>
      <w:r w:rsidR="007D0A2C" w:rsidRPr="00C030E8">
        <w:t xml:space="preserve"> </w:t>
      </w:r>
      <w:r w:rsidRPr="00C030E8">
        <w:t>is</w:t>
      </w:r>
      <w:r>
        <w:t xml:space="preserve"> $14.70</w:t>
      </w:r>
      <w:r w:rsidRPr="00C030E8">
        <w:t>/kW and the winter</w:t>
      </w:r>
      <w:r>
        <w:t xml:space="preserve"> price is about $0.21/kW.  Because CPP</w:t>
      </w:r>
      <w:r w:rsidRPr="00C030E8">
        <w:t xml:space="preserve"> events in PG&amp;E’s territory are much more likely </w:t>
      </w:r>
      <w:r w:rsidR="00867BEC">
        <w:t xml:space="preserve">to be called in </w:t>
      </w:r>
      <w:r w:rsidRPr="00C030E8">
        <w:t xml:space="preserve">the summer, it is sensible to charge more for insuring against </w:t>
      </w:r>
      <w:r>
        <w:t>events</w:t>
      </w:r>
      <w:r w:rsidRPr="00C030E8">
        <w:t xml:space="preserve"> during the summe</w:t>
      </w:r>
      <w:r>
        <w:t>r.</w:t>
      </w:r>
    </w:p>
    <w:p w:rsidR="006720A1" w:rsidRDefault="006720A1">
      <w:pPr>
        <w:rPr>
          <w:rFonts w:ascii="Arial" w:hAnsi="Arial"/>
          <w:sz w:val="20"/>
        </w:rPr>
      </w:pPr>
      <w:r>
        <w:br w:type="page"/>
      </w:r>
    </w:p>
    <w:p w:rsidR="0082444E" w:rsidRDefault="0082444E" w:rsidP="005C465D">
      <w:pPr>
        <w:pStyle w:val="Heading1"/>
      </w:pPr>
      <w:bookmarkStart w:id="41" w:name="_Toc326072095"/>
      <w:r>
        <w:lastRenderedPageBreak/>
        <w:t>Methodology</w:t>
      </w:r>
      <w:bookmarkEnd w:id="41"/>
    </w:p>
    <w:p w:rsidR="0082444E" w:rsidRDefault="0082444E" w:rsidP="005C465D">
      <w:pPr>
        <w:pStyle w:val="BodyParagraph"/>
      </w:pPr>
      <w:r>
        <w:t xml:space="preserve">To calculate load reductions for demand response programs, customer’s load patterns in the absence of program participation – the reference load – must be estimated.  Reference loads can be estimated </w:t>
      </w:r>
      <w:r w:rsidRPr="000A294F">
        <w:t>using pre-enrollment data</w:t>
      </w:r>
      <w:r>
        <w:t xml:space="preserve">, </w:t>
      </w:r>
      <w:r w:rsidR="00D52256">
        <w:t xml:space="preserve">by </w:t>
      </w:r>
      <w:r>
        <w:t>observing</w:t>
      </w:r>
      <w:r w:rsidRPr="000A294F">
        <w:t xml:space="preserve"> </w:t>
      </w:r>
      <w:r>
        <w:t xml:space="preserve">differences in </w:t>
      </w:r>
      <w:r w:rsidRPr="000A294F">
        <w:t xml:space="preserve">behavior during </w:t>
      </w:r>
      <w:r>
        <w:t xml:space="preserve">event and </w:t>
      </w:r>
      <w:r w:rsidRPr="000A294F">
        <w:t>non-event d</w:t>
      </w:r>
      <w:r>
        <w:t xml:space="preserve">ays (i.e., a “within subjects” design), </w:t>
      </w:r>
      <w:r w:rsidR="00D52256">
        <w:t xml:space="preserve">by </w:t>
      </w:r>
      <w:r>
        <w:t xml:space="preserve">using an external control group or </w:t>
      </w:r>
      <w:r w:rsidR="00D52256">
        <w:t xml:space="preserve">through </w:t>
      </w:r>
      <w:r>
        <w:t>a combination of the above.  The most rigorous method f</w:t>
      </w:r>
      <w:r w:rsidR="00880163">
        <w:t xml:space="preserve">or impact evaluations is a well </w:t>
      </w:r>
      <w:r>
        <w:t xml:space="preserve">executed experiment with random assignment to control and treatment conditions.  Randomized experiments are rarely feasible for actual programs, particularly when equal treatment is required across all customers as is the case with CPP.  In the absence of a controlled experiment, </w:t>
      </w:r>
      <w:r w:rsidR="002A5ABE" w:rsidRPr="002A5ABE">
        <w:t>the best available method is a function of program characteristics, available data and the ability to incorporate research design elements into the analysis and statistical modeling</w:t>
      </w:r>
      <w:r>
        <w:t>.</w:t>
      </w:r>
      <w:r w:rsidR="000B20BF">
        <w:t xml:space="preserve">  The approach used here is discussed below.</w:t>
      </w:r>
    </w:p>
    <w:p w:rsidR="0082444E" w:rsidRDefault="0082444E" w:rsidP="005C465D">
      <w:pPr>
        <w:pStyle w:val="BodyParagraph"/>
      </w:pPr>
      <w:r>
        <w:t>With CPP tariffs, t</w:t>
      </w:r>
      <w:r w:rsidRPr="009F4670">
        <w:t xml:space="preserve">he </w:t>
      </w:r>
      <w:r>
        <w:t xml:space="preserve">primary </w:t>
      </w:r>
      <w:r w:rsidRPr="009F4670">
        <w:t>in</w:t>
      </w:r>
      <w:r>
        <w:t xml:space="preserve">tervention – </w:t>
      </w:r>
      <w:r w:rsidRPr="009F4670">
        <w:t xml:space="preserve">event </w:t>
      </w:r>
      <w:r>
        <w:t xml:space="preserve">days with higher peak </w:t>
      </w:r>
      <w:r w:rsidR="000B20BF">
        <w:t xml:space="preserve">period </w:t>
      </w:r>
      <w:r>
        <w:t>prices – is</w:t>
      </w:r>
      <w:r w:rsidRPr="009F4670">
        <w:t xml:space="preserve"> </w:t>
      </w:r>
      <w:r w:rsidR="00D52256">
        <w:t xml:space="preserve">present </w:t>
      </w:r>
      <w:r>
        <w:t>o</w:t>
      </w:r>
      <w:r w:rsidRPr="009F4670">
        <w:t xml:space="preserve">n some days and not </w:t>
      </w:r>
      <w:r>
        <w:t>o</w:t>
      </w:r>
      <w:r w:rsidRPr="009F4670">
        <w:t>n others, making it possible to observe behavior with and without events</w:t>
      </w:r>
      <w:r>
        <w:t xml:space="preserve"> under similar conditions</w:t>
      </w:r>
      <w:r w:rsidRPr="009F4670">
        <w:t xml:space="preserve">.  </w:t>
      </w:r>
      <w:r>
        <w:t>This type of repeated treatment supports a “within subjects” design in which impacts are determined by comparing differences in peak period energy use on CPP event days and similar days when events are not called.  This approach works</w:t>
      </w:r>
      <w:r w:rsidRPr="009F4670">
        <w:t xml:space="preserve"> if</w:t>
      </w:r>
      <w:r w:rsidRPr="00050374">
        <w:t xml:space="preserve"> </w:t>
      </w:r>
      <w:r w:rsidR="000B20BF">
        <w:t xml:space="preserve">a </w:t>
      </w:r>
      <w:r>
        <w:t>customer</w:t>
      </w:r>
      <w:r w:rsidR="000B20BF">
        <w:t>’s</w:t>
      </w:r>
      <w:r>
        <w:t xml:space="preserve"> </w:t>
      </w:r>
      <w:r w:rsidR="00367776">
        <w:t xml:space="preserve">electrical usage </w:t>
      </w:r>
      <w:r>
        <w:t xml:space="preserve">on </w:t>
      </w:r>
      <w:r w:rsidR="00D52256">
        <w:t>“</w:t>
      </w:r>
      <w:r>
        <w:t>event-like</w:t>
      </w:r>
      <w:r w:rsidR="00D52256">
        <w:t>”</w:t>
      </w:r>
      <w:r w:rsidRPr="00050374">
        <w:t xml:space="preserve"> days is similar to</w:t>
      </w:r>
      <w:r>
        <w:t xml:space="preserve"> their </w:t>
      </w:r>
      <w:r w:rsidR="00367776">
        <w:t xml:space="preserve">usage </w:t>
      </w:r>
      <w:r>
        <w:t>on</w:t>
      </w:r>
      <w:r w:rsidRPr="00050374">
        <w:t xml:space="preserve"> event days</w:t>
      </w:r>
      <w:r>
        <w:t>, absent response to the higher event prices</w:t>
      </w:r>
      <w:r w:rsidRPr="00050374">
        <w:t xml:space="preserve">.  </w:t>
      </w:r>
      <w:r>
        <w:t>This underlying assumption can be made with reasonable confidence</w:t>
      </w:r>
      <w:r w:rsidRPr="00050374">
        <w:t xml:space="preserve"> for w</w:t>
      </w:r>
      <w:r>
        <w:t>eather insensitive customers.  H</w:t>
      </w:r>
      <w:r w:rsidRPr="00050374">
        <w:t xml:space="preserve">owever, more caution is required in evaluating impacts from weather sensitive customers. </w:t>
      </w:r>
      <w:r>
        <w:t xml:space="preserve"> Higher critical peak price days tend to coincide with higher</w:t>
      </w:r>
      <w:r w:rsidRPr="00050374">
        <w:t xml:space="preserve"> system loads</w:t>
      </w:r>
      <w:r>
        <w:t xml:space="preserve"> and</w:t>
      </w:r>
      <w:r w:rsidRPr="00050374">
        <w:t xml:space="preserve"> </w:t>
      </w:r>
      <w:r>
        <w:t xml:space="preserve">hotter </w:t>
      </w:r>
      <w:r w:rsidRPr="00050374">
        <w:t xml:space="preserve">temperatures.  A critical task of the evaluation is to ensure </w:t>
      </w:r>
      <w:r w:rsidR="00D52256">
        <w:t xml:space="preserve">that </w:t>
      </w:r>
      <w:r w:rsidRPr="00050374">
        <w:t>factors that may correlate with</w:t>
      </w:r>
      <w:r>
        <w:t xml:space="preserve"> higher prices</w:t>
      </w:r>
      <w:r w:rsidRPr="00050374">
        <w:t xml:space="preserve"> are not confounded with demand reductions.</w:t>
      </w:r>
    </w:p>
    <w:p w:rsidR="0082444E" w:rsidRDefault="0082444E" w:rsidP="005C465D">
      <w:pPr>
        <w:pStyle w:val="BodyParagraph"/>
      </w:pPr>
      <w:r>
        <w:t xml:space="preserve">Individual customer regressions were the primary source for </w:t>
      </w:r>
      <w:r w:rsidR="00D52256">
        <w:t xml:space="preserve">estimating </w:t>
      </w:r>
      <w:r>
        <w:t xml:space="preserve">ex post </w:t>
      </w:r>
      <w:r w:rsidR="00D52256">
        <w:t xml:space="preserve">load </w:t>
      </w:r>
      <w:r>
        <w:t>impacts</w:t>
      </w:r>
      <w:r w:rsidR="007E5AB1">
        <w:t>.</w:t>
      </w:r>
      <w:r>
        <w:rPr>
          <w:rStyle w:val="FootnoteReference"/>
        </w:rPr>
        <w:footnoteReference w:id="8"/>
      </w:r>
      <w:r>
        <w:t xml:space="preserve">  The analysis consisted</w:t>
      </w:r>
      <w:r w:rsidRPr="00050374">
        <w:t xml:space="preserve"> of applying regression models separately to each set of customer load data at the hourly leve</w:t>
      </w:r>
      <w:r>
        <w:t xml:space="preserve">l – 24 models for each </w:t>
      </w:r>
      <w:r w:rsidRPr="00D4103A">
        <w:t>customer</w:t>
      </w:r>
      <w:r w:rsidR="002A5ABE" w:rsidRPr="002A5ABE">
        <w:t xml:space="preserve">.  </w:t>
      </w:r>
      <w:r w:rsidRPr="00D4103A">
        <w:t>Running</w:t>
      </w:r>
      <w:r>
        <w:t xml:space="preserve"> 24 separate models produces coefficients and standard errors that are arithmetically equivalent to the outputs produced by the single model with hourly interactions, but the 24 separate models are </w:t>
      </w:r>
      <w:r w:rsidR="00202450">
        <w:t>easier to interpret</w:t>
      </w:r>
      <w:r>
        <w:t xml:space="preserve"> and using this approach produces intermediate outputs that can </w:t>
      </w:r>
      <w:r w:rsidR="00227B1B">
        <w:t>be synthesized more quickly</w:t>
      </w:r>
      <w:r>
        <w:t xml:space="preserve">.  </w:t>
      </w:r>
      <w:r w:rsidRPr="00050374">
        <w:t xml:space="preserve">The regression </w:t>
      </w:r>
      <w:r>
        <w:t xml:space="preserve">coefficients are specific to </w:t>
      </w:r>
      <w:r w:rsidRPr="00050374">
        <w:t>each customer and hour.  The fact that each customer is analyzed individually accounts for factors that are constant for each cus</w:t>
      </w:r>
      <w:r>
        <w:t>tomer</w:t>
      </w:r>
      <w:r w:rsidRPr="00050374">
        <w:t xml:space="preserve"> such as industry and geographic location.  </w:t>
      </w:r>
      <w:r>
        <w:t xml:space="preserve">It also </w:t>
      </w:r>
      <w:r w:rsidRPr="00050374">
        <w:t>better explain</w:t>
      </w:r>
      <w:r>
        <w:t>s</w:t>
      </w:r>
      <w:r w:rsidRPr="00050374">
        <w:t xml:space="preserve"> the variation in individual customer production and/or occupancy patterns, weather sensitivity, price responsiveness, enrollment dates and event day dispatch pattern</w:t>
      </w:r>
      <w:r>
        <w:t>s</w:t>
      </w:r>
      <w:r w:rsidRPr="00050374">
        <w:t xml:space="preserve"> (which </w:t>
      </w:r>
      <w:r>
        <w:t xml:space="preserve">can </w:t>
      </w:r>
      <w:r w:rsidRPr="00050374">
        <w:t xml:space="preserve">vary </w:t>
      </w:r>
      <w:r>
        <w:t>by</w:t>
      </w:r>
      <w:r w:rsidR="005C465D">
        <w:t> </w:t>
      </w:r>
      <w:r>
        <w:t>customer</w:t>
      </w:r>
      <w:r w:rsidRPr="00050374">
        <w:t xml:space="preserve">).  </w:t>
      </w:r>
    </w:p>
    <w:p w:rsidR="0082444E" w:rsidRDefault="0082444E" w:rsidP="005C465D">
      <w:pPr>
        <w:pStyle w:val="BodyParagraph"/>
      </w:pPr>
      <w:r>
        <w:t xml:space="preserve">With relatively small percent load impacts, it is </w:t>
      </w:r>
      <w:r w:rsidR="000B20BF">
        <w:t xml:space="preserve">particularly </w:t>
      </w:r>
      <w:r>
        <w:t>important that the models be accurate.  Because CPP rates are designed to encourage customers</w:t>
      </w:r>
      <w:r w:rsidR="00D4103A">
        <w:t xml:space="preserve"> </w:t>
      </w:r>
      <w:r w:rsidR="000B20BF">
        <w:t xml:space="preserve">to </w:t>
      </w:r>
      <w:r w:rsidR="00D4103A">
        <w:t>reduce electricity use during peak hours and</w:t>
      </w:r>
      <w:r>
        <w:t xml:space="preserve"> to shift</w:t>
      </w:r>
      <w:r w:rsidR="00D4103A">
        <w:t xml:space="preserve"> it </w:t>
      </w:r>
      <w:r>
        <w:t xml:space="preserve">to lower priced hours, it is not possible to know concretely if differences between the reference loads and the </w:t>
      </w:r>
      <w:r w:rsidR="00DF254E">
        <w:t xml:space="preserve">event day </w:t>
      </w:r>
      <w:r>
        <w:t xml:space="preserve">loads in the pre-event hours are due to downward bias or due to </w:t>
      </w:r>
      <w:r w:rsidRPr="00785AD6">
        <w:t>load shifting.</w:t>
      </w:r>
      <w:r>
        <w:t xml:space="preserve"> </w:t>
      </w:r>
      <w:r w:rsidRPr="00785AD6">
        <w:t xml:space="preserve"> </w:t>
      </w:r>
      <w:r w:rsidR="002A5ABE" w:rsidRPr="002A5ABE">
        <w:t>As a cross-check to the regression approach, Sections B-3 and D-3 in Appendi</w:t>
      </w:r>
      <w:r w:rsidR="000B20BF">
        <w:t>c</w:t>
      </w:r>
      <w:r w:rsidR="002A5ABE" w:rsidRPr="002A5ABE">
        <w:t xml:space="preserve">es B through D contain ex post impact estimates for each of the utilities that were estimated using an </w:t>
      </w:r>
      <w:r w:rsidR="002A5ABE" w:rsidRPr="002A5ABE">
        <w:lastRenderedPageBreak/>
        <w:t>external control group method.  Overall, impacts from the control group analysis match well with impacts from the individual customer regression approach.</w:t>
      </w:r>
    </w:p>
    <w:p w:rsidR="0082444E" w:rsidRPr="00250874" w:rsidRDefault="0082444E" w:rsidP="005C465D">
      <w:pPr>
        <w:pStyle w:val="Heading2"/>
      </w:pPr>
      <w:bookmarkStart w:id="42" w:name="_Toc299561574"/>
      <w:bookmarkStart w:id="43" w:name="_Toc311754316"/>
      <w:bookmarkStart w:id="44" w:name="_Toc326072096"/>
      <w:r>
        <w:t>Regression Models</w:t>
      </w:r>
      <w:bookmarkEnd w:id="42"/>
      <w:bookmarkEnd w:id="43"/>
      <w:bookmarkEnd w:id="44"/>
    </w:p>
    <w:p w:rsidR="00724997" w:rsidRPr="00724997" w:rsidRDefault="0082444E" w:rsidP="005C465D">
      <w:pPr>
        <w:pStyle w:val="BodyParagraph"/>
      </w:pPr>
      <w:r>
        <w:t>Regression models meant to capture the relationship between electricity use, year, day type, season and weather were run for each customer.  Ordinary Least Squares regression was used and a separate model was run for each hour.</w:t>
      </w:r>
      <w:r w:rsidR="006D4648">
        <w:rPr>
          <w:rStyle w:val="FootnoteReference"/>
        </w:rPr>
        <w:footnoteReference w:id="9"/>
      </w:r>
      <w:r>
        <w:t xml:space="preserve">  Eight specifications were tested and the final results for each customer are based on the specification that produced the least bias for that customer. </w:t>
      </w:r>
      <w:r w:rsidR="006D4648">
        <w:t xml:space="preserve"> The eigh</w:t>
      </w:r>
      <w:r w:rsidR="00885D6E">
        <w:t>t</w:t>
      </w:r>
      <w:r w:rsidR="006D4648">
        <w:t xml:space="preserve"> models </w:t>
      </w:r>
      <w:r w:rsidR="007E0BEA">
        <w:t>vary</w:t>
      </w:r>
      <w:r w:rsidR="00D4103A">
        <w:t xml:space="preserve"> </w:t>
      </w:r>
      <w:r w:rsidR="006D4648">
        <w:t xml:space="preserve">in how weather variables were defined, if at all, and in the inclusion </w:t>
      </w:r>
      <w:r w:rsidR="000B20BF">
        <w:t xml:space="preserve">of </w:t>
      </w:r>
      <w:r w:rsidR="006D4648">
        <w:t xml:space="preserve">monthly or seasonal </w:t>
      </w:r>
      <w:r w:rsidR="000B20BF">
        <w:t>variables</w:t>
      </w:r>
      <w:r w:rsidR="006D4648">
        <w:t xml:space="preserve">.  This tailored approach customized models based on whether </w:t>
      </w:r>
      <w:r w:rsidR="000B20BF">
        <w:t>o</w:t>
      </w:r>
      <w:r w:rsidR="00D06C1B">
        <w:t>r</w:t>
      </w:r>
      <w:r w:rsidR="000B20BF">
        <w:t xml:space="preserve"> not </w:t>
      </w:r>
      <w:r w:rsidR="006D4648">
        <w:t>customers were weather sensitive or exhibited seasonal patterns.</w:t>
      </w:r>
    </w:p>
    <w:p w:rsidR="0082444E" w:rsidRDefault="0082444E" w:rsidP="005C465D">
      <w:pPr>
        <w:pStyle w:val="BodyBeforeBullet"/>
      </w:pPr>
      <w:r>
        <w:t>Mathematically, the models</w:t>
      </w:r>
      <w:r w:rsidR="00202450">
        <w:t xml:space="preserve"> </w:t>
      </w:r>
      <w:r>
        <w:t>can be expressed as</w:t>
      </w:r>
      <w:r w:rsidR="00202450">
        <w:t xml:space="preserve"> follows for each hour, t:</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4"/>
        <w:gridCol w:w="494"/>
      </w:tblGrid>
      <w:tr w:rsidR="0082444E" w:rsidTr="006720A1">
        <w:tc>
          <w:tcPr>
            <w:tcW w:w="9253" w:type="dxa"/>
          </w:tcPr>
          <w:p w:rsidR="0082444E" w:rsidRPr="00A02210" w:rsidRDefault="00A73155" w:rsidP="005C465D">
            <w:pPr>
              <w:pStyle w:val="BodyParagraph"/>
            </w:pPr>
            <m:oMath>
              <m:sSub>
                <m:sSubPr>
                  <m:ctrlPr>
                    <w:rPr>
                      <w:rFonts w:ascii="Cambria Math" w:hAnsi="Cambria Math"/>
                    </w:rPr>
                  </m:ctrlPr>
                </m:sSubPr>
                <m:e>
                  <m:r>
                    <w:rPr>
                      <w:rFonts w:ascii="Cambria Math" w:hAnsi="Cambria Math"/>
                    </w:rPr>
                    <m:t>kW</m:t>
                  </m:r>
                </m:e>
                <m:sub>
                  <m:r>
                    <w:rPr>
                      <w:rFonts w:ascii="Cambria Math" w:hAnsi="Cambria Math"/>
                    </w:rPr>
                    <m:t>dt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=2009</m:t>
                      </m:r>
                    </m:sub>
                    <m:sup>
                      <m:r>
                        <m:rPr>
                          <m:sty m:val="p"/>
                        </m:rPr>
                        <w:rPr>
                          <w:rFonts w:ascii="Cambria Math" w:hAnsi="Cambria Math"/>
                        </w:rPr>
                        <m:t>2011</m:t>
                      </m:r>
                    </m:sup>
                    <m:e>
                      <m:sSub>
                        <m:sSubPr>
                          <m:ctrlPr>
                            <w:rPr>
                              <w:rFonts w:ascii="Cambria Math" w:hAnsi="Cambria Math"/>
                            </w:rPr>
                          </m:ctrlPr>
                        </m:sSubPr>
                        <m:e>
                          <m:r>
                            <w:rPr>
                              <w:rFonts w:ascii="Cambria Math" w:hAnsi="Cambria Math"/>
                            </w:rPr>
                            <m:t>b</m:t>
                          </m:r>
                        </m:e>
                        <m:sub>
                          <m:r>
                            <w:rPr>
                              <w:rFonts w:ascii="Cambria Math" w:hAnsi="Cambria Math"/>
                            </w:rPr>
                            <m:t>i</m:t>
                          </m:r>
                        </m:sub>
                      </m:sSub>
                    </m:e>
                  </m:nary>
                  <m:r>
                    <m:rPr>
                      <m:sty m:val="p"/>
                    </m:rPr>
                    <w:rPr>
                      <w:rFonts w:ascii="Cambria Math" w:hAnsi="Cambria Math"/>
                    </w:rPr>
                    <m:t>*</m:t>
                  </m:r>
                  <m:r>
                    <w:rPr>
                      <w:rFonts w:ascii="Cambria Math" w:hAnsi="Cambria Math"/>
                    </w:rPr>
                    <m:t>year</m:t>
                  </m:r>
                </m:e>
                <m:sub>
                  <m:r>
                    <w:rPr>
                      <w:rFonts w:ascii="Cambria Math" w:hAnsi="Cambria Math"/>
                    </w:rPr>
                    <m:t>dti</m:t>
                  </m:r>
                </m:sub>
              </m:sSub>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=2</m:t>
                      </m:r>
                    </m:sub>
                    <m:sup>
                      <m:r>
                        <m:rPr>
                          <m:sty m:val="p"/>
                        </m:rPr>
                        <w:rPr>
                          <w:rFonts w:ascii="Cambria Math" w:hAnsi="Cambria Math"/>
                        </w:rPr>
                        <m:t>5</m:t>
                      </m:r>
                    </m:sup>
                    <m:e>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w:rPr>
                      <w:rFonts w:ascii="Cambria Math" w:hAnsi="Cambria Math"/>
                    </w:rPr>
                    <m:t>daytype</m:t>
                  </m:r>
                </m:e>
                <m:sub>
                  <m:r>
                    <w:rPr>
                      <w:rFonts w:ascii="Cambria Math" w:hAnsi="Cambria Math"/>
                    </w:rPr>
                    <m:t>dtj</m:t>
                  </m:r>
                </m:sub>
              </m:sSub>
              <m:r>
                <m:rPr>
                  <m:sty m:val="p"/>
                </m:rPr>
                <w:rPr>
                  <w:rFonts w:ascii="Cambria Math" w:hAnsi="Cambria Math"/>
                </w:rPr>
                <m:t>+</m:t>
              </m:r>
              <m:sSub>
                <m:sSubPr>
                  <m:ctrlPr>
                    <w:rPr>
                      <w:rFonts w:ascii="Cambria Math" w:hAnsi="Cambria Math"/>
                    </w:rPr>
                  </m:ctrlPr>
                </m:sSubPr>
                <m:e>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season</m:t>
                      </m:r>
                    </m:e>
                    <m:sub>
                      <m:r>
                        <w:rPr>
                          <w:rFonts w:ascii="Cambria Math" w:hAnsi="Cambria Math"/>
                        </w:rPr>
                        <m:t>dt</m:t>
                      </m:r>
                    </m:sub>
                  </m:sSub>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cooling</m:t>
                      </m:r>
                    </m:e>
                    <m:sub>
                      <m:r>
                        <w:rPr>
                          <w:rFonts w:ascii="Cambria Math" w:hAnsi="Cambria Math"/>
                        </w:rPr>
                        <m:t>dt</m:t>
                      </m:r>
                    </m:sub>
                  </m:sSub>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heating</m:t>
                      </m:r>
                    </m:e>
                    <m:sub>
                      <m:r>
                        <w:rPr>
                          <w:rFonts w:ascii="Cambria Math" w:hAnsi="Cambria Math"/>
                        </w:rPr>
                        <m:t>dt</m:t>
                      </m:r>
                    </m:sub>
                  </m:sSub>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otherdr</m:t>
                      </m:r>
                    </m:e>
                    <m:sub>
                      <m:r>
                        <w:rPr>
                          <w:rFonts w:ascii="Cambria Math" w:hAnsi="Cambria Math"/>
                        </w:rPr>
                        <m:t>dt</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actcpp</m:t>
                      </m:r>
                    </m:e>
                    <m:sub>
                      <m:r>
                        <w:rPr>
                          <w:rFonts w:ascii="Cambria Math" w:hAnsi="Cambria Math"/>
                        </w:rPr>
                        <m:t>dt</m:t>
                      </m:r>
                    </m:sub>
                  </m:sSub>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eventday</m:t>
                      </m:r>
                    </m:e>
                    <m:sub>
                      <m:r>
                        <w:rPr>
                          <w:rFonts w:ascii="Cambria Math" w:hAnsi="Cambria Math"/>
                        </w:rPr>
                        <m:t>dt</m:t>
                      </m:r>
                    </m:sub>
                  </m:sSub>
                  <m:r>
                    <m:rPr>
                      <m:sty m:val="p"/>
                    </m:rPr>
                    <w:rPr>
                      <w:rFonts w:ascii="Cambria Math" w:hAnsi="Cambria Math"/>
                    </w:rPr>
                    <m:t>+</m:t>
                  </m:r>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eventdayXtotalcdh</m:t>
                      </m:r>
                    </m:e>
                    <m:sub>
                      <m:r>
                        <w:rPr>
                          <w:rFonts w:ascii="Cambria Math" w:hAnsi="Cambria Math"/>
                        </w:rPr>
                        <m:t>dt</m:t>
                      </m:r>
                    </m:sub>
                  </m:sSub>
                  <m:r>
                    <m:rPr>
                      <m:sty m:val="p"/>
                    </m:rPr>
                    <w:rPr>
                      <w:rFonts w:ascii="Cambria Math" w:hAnsi="Cambria Math"/>
                    </w:rPr>
                    <m:t>+</m:t>
                  </m:r>
                  <m:r>
                    <w:rPr>
                      <w:rFonts w:ascii="Cambria Math" w:hAnsi="Cambria Math"/>
                    </w:rPr>
                    <m:t>e</m:t>
                  </m:r>
                </m:e>
                <m:sub>
                  <m:r>
                    <w:rPr>
                      <w:rFonts w:ascii="Cambria Math" w:hAnsi="Cambria Math"/>
                    </w:rPr>
                    <m:t>dt</m:t>
                  </m:r>
                </m:sub>
              </m:sSub>
              <m:r>
                <m:rPr>
                  <m:sty m:val="p"/>
                </m:rPr>
                <w:rPr>
                  <w:rFonts w:ascii="Cambria Math" w:hAnsi="Cambria Math"/>
                </w:rPr>
                <m:t xml:space="preserve">,  </m:t>
              </m:r>
              <m:r>
                <w:rPr>
                  <w:rFonts w:ascii="Cambria Math" w:hAnsi="Cambria Math"/>
                </w:rPr>
                <m:t>t</m:t>
              </m:r>
              <m:r>
                <m:rPr>
                  <m:sty m:val="p"/>
                </m:rPr>
                <w:rPr>
                  <w:rFonts w:ascii="Cambria Math" w:hAnsi="Cambria Math"/>
                </w:rPr>
                <m:t>={1</m:t>
              </m:r>
            </m:oMath>
            <w:r w:rsidR="0082444E" w:rsidRPr="00A02210">
              <w:t>, 2, 3 … 24}</w:t>
            </w:r>
          </w:p>
        </w:tc>
        <w:tc>
          <w:tcPr>
            <w:tcW w:w="485" w:type="dxa"/>
            <w:vAlign w:val="center"/>
          </w:tcPr>
          <w:p w:rsidR="0082444E" w:rsidRDefault="0082444E" w:rsidP="005C465D">
            <w:pPr>
              <w:pStyle w:val="BodyParagraph"/>
            </w:pPr>
            <w:r>
              <w:t>(1)</w:t>
            </w:r>
          </w:p>
        </w:tc>
      </w:tr>
      <w:tr w:rsidR="0082444E" w:rsidTr="006720A1">
        <w:trPr>
          <w:trHeight w:val="882"/>
        </w:trPr>
        <w:tc>
          <w:tcPr>
            <w:tcW w:w="9253" w:type="dxa"/>
          </w:tcPr>
          <w:p w:rsidR="0082444E" w:rsidRPr="00A02210" w:rsidRDefault="00A73155" w:rsidP="005C465D">
            <w:pPr>
              <w:pStyle w:val="BodyParagraph"/>
            </w:pPr>
            <m:oMath>
              <m:sSub>
                <m:sSubPr>
                  <m:ctrlPr>
                    <w:rPr>
                      <w:rFonts w:ascii="Cambria Math" w:hAnsi="Cambria Math"/>
                    </w:rPr>
                  </m:ctrlPr>
                </m:sSubPr>
                <m:e>
                  <m:r>
                    <w:rPr>
                      <w:rFonts w:ascii="Cambria Math" w:hAnsi="Cambria Math"/>
                    </w:rPr>
                    <m:t>kW</m:t>
                  </m:r>
                </m:e>
                <m:sub>
                  <m:r>
                    <w:rPr>
                      <w:rFonts w:ascii="Cambria Math" w:hAnsi="Cambria Math"/>
                    </w:rPr>
                    <m:t>dt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=2009</m:t>
                      </m:r>
                    </m:sub>
                    <m:sup>
                      <m:r>
                        <m:rPr>
                          <m:sty m:val="p"/>
                        </m:rPr>
                        <w:rPr>
                          <w:rFonts w:ascii="Cambria Math" w:hAnsi="Cambria Math"/>
                        </w:rPr>
                        <m:t>2011</m:t>
                      </m:r>
                    </m:sup>
                    <m:e>
                      <m:sSub>
                        <m:sSubPr>
                          <m:ctrlPr>
                            <w:rPr>
                              <w:rFonts w:ascii="Cambria Math" w:hAnsi="Cambria Math"/>
                            </w:rPr>
                          </m:ctrlPr>
                        </m:sSubPr>
                        <m:e>
                          <m:r>
                            <w:rPr>
                              <w:rFonts w:ascii="Cambria Math" w:hAnsi="Cambria Math"/>
                            </w:rPr>
                            <m:t>b</m:t>
                          </m:r>
                        </m:e>
                        <m:sub>
                          <m:r>
                            <w:rPr>
                              <w:rFonts w:ascii="Cambria Math" w:hAnsi="Cambria Math"/>
                            </w:rPr>
                            <m:t>i</m:t>
                          </m:r>
                        </m:sub>
                      </m:sSub>
                    </m:e>
                  </m:nary>
                  <m:r>
                    <m:rPr>
                      <m:sty m:val="p"/>
                    </m:rPr>
                    <w:rPr>
                      <w:rFonts w:ascii="Cambria Math" w:hAnsi="Cambria Math"/>
                    </w:rPr>
                    <m:t>*</m:t>
                  </m:r>
                  <m:r>
                    <w:rPr>
                      <w:rFonts w:ascii="Cambria Math" w:hAnsi="Cambria Math"/>
                    </w:rPr>
                    <m:t>year</m:t>
                  </m:r>
                </m:e>
                <m:sub>
                  <m:r>
                    <w:rPr>
                      <w:rFonts w:ascii="Cambria Math" w:hAnsi="Cambria Math"/>
                    </w:rPr>
                    <m:t>dti</m:t>
                  </m:r>
                </m:sub>
              </m:sSub>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=2</m:t>
                      </m:r>
                    </m:sub>
                    <m:sup>
                      <m:r>
                        <m:rPr>
                          <m:sty m:val="p"/>
                        </m:rPr>
                        <w:rPr>
                          <w:rFonts w:ascii="Cambria Math" w:hAnsi="Cambria Math"/>
                        </w:rPr>
                        <m:t>5</m:t>
                      </m:r>
                    </m:sup>
                    <m:e>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w:rPr>
                      <w:rFonts w:ascii="Cambria Math" w:hAnsi="Cambria Math"/>
                    </w:rPr>
                    <m:t>daytype</m:t>
                  </m:r>
                </m:e>
                <m:sub>
                  <m:r>
                    <w:rPr>
                      <w:rFonts w:ascii="Cambria Math" w:hAnsi="Cambria Math"/>
                    </w:rPr>
                    <m:t>dtj</m:t>
                  </m:r>
                </m:sub>
              </m:sSub>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k</m:t>
                      </m:r>
                      <m:r>
                        <m:rPr>
                          <m:sty m:val="p"/>
                        </m:rPr>
                        <w:rPr>
                          <w:rFonts w:ascii="Cambria Math" w:hAnsi="Cambria Math"/>
                        </w:rPr>
                        <m:t>=2</m:t>
                      </m:r>
                    </m:sub>
                    <m:sup>
                      <m:r>
                        <m:rPr>
                          <m:sty m:val="p"/>
                        </m:rPr>
                        <w:rPr>
                          <w:rFonts w:ascii="Cambria Math" w:hAnsi="Cambria Math"/>
                        </w:rPr>
                        <m:t>12</m:t>
                      </m:r>
                    </m:sup>
                    <m:e>
                      <m:sSub>
                        <m:sSubPr>
                          <m:ctrlPr>
                            <w:rPr>
                              <w:rFonts w:ascii="Cambria Math" w:hAnsi="Cambria Math"/>
                            </w:rPr>
                          </m:ctrlPr>
                        </m:sSubPr>
                        <m:e>
                          <m:r>
                            <w:rPr>
                              <w:rFonts w:ascii="Cambria Math" w:hAnsi="Cambria Math"/>
                            </w:rPr>
                            <m:t>d</m:t>
                          </m:r>
                        </m:e>
                        <m:sub>
                          <m:r>
                            <w:rPr>
                              <w:rFonts w:ascii="Cambria Math" w:hAnsi="Cambria Math"/>
                            </w:rPr>
                            <m:t>k</m:t>
                          </m:r>
                        </m:sub>
                      </m:sSub>
                      <m:r>
                        <m:rPr>
                          <m:sty m:val="p"/>
                        </m:rPr>
                        <w:rPr>
                          <w:rFonts w:ascii="Cambria Math" w:hAnsi="Cambria Math"/>
                        </w:rPr>
                        <m:t>*</m:t>
                      </m:r>
                    </m:e>
                  </m:nary>
                  <m:r>
                    <w:rPr>
                      <w:rFonts w:ascii="Cambria Math" w:hAnsi="Cambria Math"/>
                    </w:rPr>
                    <m:t>month</m:t>
                  </m:r>
                </m:e>
                <m:sub>
                  <m:r>
                    <w:rPr>
                      <w:rFonts w:ascii="Cambria Math" w:hAnsi="Cambria Math"/>
                    </w:rPr>
                    <m:t>dtk</m:t>
                  </m:r>
                </m:sub>
              </m:sSub>
              <m:sSub>
                <m:sSubPr>
                  <m:ctrlPr>
                    <w:rPr>
                      <w:rFonts w:ascii="Cambria Math" w:hAnsi="Cambria Math"/>
                    </w:rPr>
                  </m:ctrlPr>
                </m:sSubPr>
                <m:e>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cooling</m:t>
                      </m:r>
                    </m:e>
                    <m:sub>
                      <m:r>
                        <w:rPr>
                          <w:rFonts w:ascii="Cambria Math" w:hAnsi="Cambria Math"/>
                        </w:rPr>
                        <m:t>dt</m:t>
                      </m:r>
                    </m:sub>
                  </m:sSub>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heating</m:t>
                      </m:r>
                    </m:e>
                    <m:sub>
                      <m:r>
                        <w:rPr>
                          <w:rFonts w:ascii="Cambria Math" w:hAnsi="Cambria Math"/>
                        </w:rPr>
                        <m:t>dt</m:t>
                      </m:r>
                    </m:sub>
                  </m:sSub>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otherdr</m:t>
                      </m:r>
                    </m:e>
                    <m:sub>
                      <m:r>
                        <w:rPr>
                          <w:rFonts w:ascii="Cambria Math" w:hAnsi="Cambria Math"/>
                        </w:rPr>
                        <m:t>dt</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actcpp</m:t>
                      </m:r>
                    </m:e>
                    <m:sub>
                      <m:r>
                        <w:rPr>
                          <w:rFonts w:ascii="Cambria Math" w:hAnsi="Cambria Math"/>
                        </w:rPr>
                        <m:t>dt</m:t>
                      </m:r>
                    </m:sub>
                  </m:sSub>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eventday</m:t>
                      </m:r>
                    </m:e>
                    <m:sub>
                      <m:r>
                        <w:rPr>
                          <w:rFonts w:ascii="Cambria Math" w:hAnsi="Cambria Math"/>
                        </w:rPr>
                        <m:t>dt</m:t>
                      </m:r>
                    </m:sub>
                  </m:sSub>
                  <m:r>
                    <m:rPr>
                      <m:sty m:val="p"/>
                    </m:rPr>
                    <w:rPr>
                      <w:rFonts w:ascii="Cambria Math" w:hAnsi="Cambria Math"/>
                    </w:rPr>
                    <m:t>+</m:t>
                  </m:r>
                  <m: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eventdayXtotalcdh</m:t>
                      </m:r>
                    </m:e>
                    <m:sub>
                      <m:r>
                        <w:rPr>
                          <w:rFonts w:ascii="Cambria Math" w:hAnsi="Cambria Math"/>
                        </w:rPr>
                        <m:t>dt</m:t>
                      </m:r>
                    </m:sub>
                  </m:sSub>
                  <m:r>
                    <m:rPr>
                      <m:sty m:val="p"/>
                    </m:rPr>
                    <w:rPr>
                      <w:rFonts w:ascii="Cambria Math" w:hAnsi="Cambria Math"/>
                    </w:rPr>
                    <m:t>+</m:t>
                  </m:r>
                  <m:r>
                    <w:rPr>
                      <w:rFonts w:ascii="Cambria Math" w:hAnsi="Cambria Math"/>
                    </w:rPr>
                    <m:t>e</m:t>
                  </m:r>
                </m:e>
                <m:sub>
                  <m:r>
                    <w:rPr>
                      <w:rFonts w:ascii="Cambria Math" w:hAnsi="Cambria Math"/>
                    </w:rPr>
                    <m:t>dt</m:t>
                  </m:r>
                </m:sub>
              </m:sSub>
              <m:r>
                <m:rPr>
                  <m:sty m:val="p"/>
                </m:rPr>
                <w:rPr>
                  <w:rFonts w:ascii="Cambria Math" w:hAnsi="Cambria Math"/>
                </w:rPr>
                <m:t xml:space="preserve">,  </m:t>
              </m:r>
              <m:r>
                <w:rPr>
                  <w:rFonts w:ascii="Cambria Math" w:hAnsi="Cambria Math"/>
                </w:rPr>
                <m:t>t</m:t>
              </m:r>
              <m:r>
                <m:rPr>
                  <m:sty m:val="p"/>
                </m:rPr>
                <w:rPr>
                  <w:rFonts w:ascii="Cambria Math" w:hAnsi="Cambria Math"/>
                </w:rPr>
                <m:t>={1</m:t>
              </m:r>
            </m:oMath>
            <w:r w:rsidR="0082444E" w:rsidRPr="00A02210">
              <w:t>, 2, 3 … 24}</w:t>
            </w:r>
          </w:p>
        </w:tc>
        <w:tc>
          <w:tcPr>
            <w:tcW w:w="485" w:type="dxa"/>
            <w:vAlign w:val="center"/>
          </w:tcPr>
          <w:p w:rsidR="0082444E" w:rsidRDefault="0082444E" w:rsidP="005C465D">
            <w:pPr>
              <w:pStyle w:val="BodyParagraph"/>
            </w:pPr>
            <w:r>
              <w:t>(2)</w:t>
            </w:r>
          </w:p>
        </w:tc>
      </w:tr>
      <w:tr w:rsidR="0082444E" w:rsidTr="006720A1">
        <w:trPr>
          <w:trHeight w:val="1899"/>
        </w:trPr>
        <w:tc>
          <w:tcPr>
            <w:tcW w:w="9253" w:type="dxa"/>
          </w:tcPr>
          <w:p w:rsidR="0082444E" w:rsidRPr="00E264A7" w:rsidRDefault="0082444E" w:rsidP="005C465D">
            <w:pPr>
              <w:pStyle w:val="BodyBeforeBullet"/>
            </w:pPr>
            <w:r>
              <w:t xml:space="preserve">For SDG&amp;E, the fact that </w:t>
            </w:r>
            <w:r w:rsidR="00202450">
              <w:t xml:space="preserve">there were only two </w:t>
            </w:r>
            <w:r>
              <w:t xml:space="preserve">events </w:t>
            </w:r>
            <w:r w:rsidR="00202450">
              <w:t xml:space="preserve">in 2011 and one was on a weekday and the other on a weekend called for a somewhat </w:t>
            </w:r>
            <w:r>
              <w:t xml:space="preserve">different treatment </w:t>
            </w:r>
            <w:r w:rsidR="00202450">
              <w:t>specification</w:t>
            </w:r>
            <w:r>
              <w:t xml:space="preserve">.  In order to identify the weekend, weekday and outage events as distinct, each event day has to be modeled separately with its own coefficients.  If the events were not modeled in this way, the reference load predictions from all three days would be blended together, producing nonsensical results.  To identify each event day as distinct, a </w:t>
            </w:r>
            <w:r w:rsidR="00880163">
              <w:t>separate</w:t>
            </w:r>
            <w:r>
              <w:t xml:space="preserve"> event day dummy variable was included for each of the three event days,</w:t>
            </w:r>
          </w:p>
        </w:tc>
        <w:tc>
          <w:tcPr>
            <w:tcW w:w="485" w:type="dxa"/>
            <w:vAlign w:val="center"/>
          </w:tcPr>
          <w:p w:rsidR="0082444E" w:rsidRDefault="0082444E" w:rsidP="005C465D">
            <w:pPr>
              <w:pStyle w:val="BodyParagraph"/>
            </w:pPr>
          </w:p>
        </w:tc>
      </w:tr>
      <w:tr w:rsidR="0082444E" w:rsidTr="006720A1">
        <w:tc>
          <w:tcPr>
            <w:tcW w:w="9253" w:type="dxa"/>
          </w:tcPr>
          <w:p w:rsidR="0082444E" w:rsidRPr="00A02210" w:rsidRDefault="00A73155" w:rsidP="005C465D">
            <w:pPr>
              <w:pStyle w:val="BodyParagraph"/>
            </w:pPr>
            <m:oMath>
              <m:sSub>
                <m:sSubPr>
                  <m:ctrlPr>
                    <w:rPr>
                      <w:rFonts w:ascii="Cambria Math" w:hAnsi="Cambria Math"/>
                    </w:rPr>
                  </m:ctrlPr>
                </m:sSubPr>
                <m:e>
                  <m:r>
                    <w:rPr>
                      <w:rFonts w:ascii="Cambria Math" w:hAnsi="Cambria Math"/>
                    </w:rPr>
                    <m:t>kW</m:t>
                  </m:r>
                </m:e>
                <m:sub>
                  <m:r>
                    <w:rPr>
                      <w:rFonts w:ascii="Cambria Math" w:hAnsi="Cambria Math"/>
                    </w:rPr>
                    <m:t>dt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=2009</m:t>
                      </m:r>
                    </m:sub>
                    <m:sup>
                      <m:r>
                        <m:rPr>
                          <m:sty m:val="p"/>
                        </m:rPr>
                        <w:rPr>
                          <w:rFonts w:ascii="Cambria Math" w:hAnsi="Cambria Math"/>
                        </w:rPr>
                        <m:t>2011</m:t>
                      </m:r>
                    </m:sup>
                    <m:e>
                      <m:sSub>
                        <m:sSubPr>
                          <m:ctrlPr>
                            <w:rPr>
                              <w:rFonts w:ascii="Cambria Math" w:hAnsi="Cambria Math"/>
                            </w:rPr>
                          </m:ctrlPr>
                        </m:sSubPr>
                        <m:e>
                          <m:r>
                            <w:rPr>
                              <w:rFonts w:ascii="Cambria Math" w:hAnsi="Cambria Math"/>
                            </w:rPr>
                            <m:t>b</m:t>
                          </m:r>
                        </m:e>
                        <m:sub>
                          <m:r>
                            <w:rPr>
                              <w:rFonts w:ascii="Cambria Math" w:hAnsi="Cambria Math"/>
                            </w:rPr>
                            <m:t>i</m:t>
                          </m:r>
                        </m:sub>
                      </m:sSub>
                    </m:e>
                  </m:nary>
                  <m:r>
                    <m:rPr>
                      <m:sty m:val="p"/>
                    </m:rPr>
                    <w:rPr>
                      <w:rFonts w:ascii="Cambria Math" w:hAnsi="Cambria Math"/>
                    </w:rPr>
                    <m:t>*</m:t>
                  </m:r>
                  <m:r>
                    <w:rPr>
                      <w:rFonts w:ascii="Cambria Math" w:hAnsi="Cambria Math"/>
                    </w:rPr>
                    <m:t>year</m:t>
                  </m:r>
                </m:e>
                <m:sub>
                  <m:r>
                    <w:rPr>
                      <w:rFonts w:ascii="Cambria Math" w:hAnsi="Cambria Math"/>
                    </w:rPr>
                    <m:t>dti</m:t>
                  </m:r>
                </m:sub>
              </m:sSub>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=2</m:t>
                      </m:r>
                    </m:sub>
                    <m:sup>
                      <m:r>
                        <m:rPr>
                          <m:sty m:val="p"/>
                        </m:rPr>
                        <w:rPr>
                          <w:rFonts w:ascii="Cambria Math" w:hAnsi="Cambria Math"/>
                        </w:rPr>
                        <m:t>5</m:t>
                      </m:r>
                    </m:sup>
                    <m:e>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w:rPr>
                      <w:rFonts w:ascii="Cambria Math" w:hAnsi="Cambria Math"/>
                    </w:rPr>
                    <m:t>daytype</m:t>
                  </m:r>
                </m:e>
                <m:sub>
                  <m:r>
                    <w:rPr>
                      <w:rFonts w:ascii="Cambria Math" w:hAnsi="Cambria Math"/>
                    </w:rPr>
                    <m:t>dtj</m:t>
                  </m:r>
                </m:sub>
              </m:sSub>
              <m:r>
                <m:rPr>
                  <m:sty m:val="p"/>
                </m:rPr>
                <w:rPr>
                  <w:rFonts w:ascii="Cambria Math" w:hAnsi="Cambria Math"/>
                </w:rPr>
                <m:t>+</m:t>
              </m:r>
              <m:sSub>
                <m:sSubPr>
                  <m:ctrlPr>
                    <w:rPr>
                      <w:rFonts w:ascii="Cambria Math" w:hAnsi="Cambria Math"/>
                    </w:rPr>
                  </m:ctrlPr>
                </m:sSubPr>
                <m:e>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season</m:t>
                      </m:r>
                    </m:e>
                    <m:sub>
                      <m:r>
                        <w:rPr>
                          <w:rFonts w:ascii="Cambria Math" w:hAnsi="Cambria Math"/>
                        </w:rPr>
                        <m:t>dt</m:t>
                      </m:r>
                    </m:sub>
                  </m:sSub>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cooling</m:t>
                      </m:r>
                    </m:e>
                    <m:sub>
                      <m:r>
                        <w:rPr>
                          <w:rFonts w:ascii="Cambria Math" w:hAnsi="Cambria Math"/>
                        </w:rPr>
                        <m:t>dt</m:t>
                      </m:r>
                    </m:sub>
                  </m:sSub>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heating</m:t>
                      </m:r>
                    </m:e>
                    <m:sub>
                      <m:r>
                        <w:rPr>
                          <w:rFonts w:ascii="Cambria Math" w:hAnsi="Cambria Math"/>
                        </w:rPr>
                        <m:t>dt</m:t>
                      </m:r>
                    </m:sub>
                  </m:sSub>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otherdr</m:t>
                      </m:r>
                    </m:e>
                    <m:sub>
                      <m:r>
                        <w:rPr>
                          <w:rFonts w:ascii="Cambria Math" w:hAnsi="Cambria Math"/>
                        </w:rPr>
                        <m:t>dt</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actcpp</m:t>
                      </m:r>
                    </m:e>
                    <m:sub>
                      <m:r>
                        <w:rPr>
                          <w:rFonts w:ascii="Cambria Math" w:hAnsi="Cambria Math"/>
                        </w:rPr>
                        <m:t>dt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eventday</m:t>
                          </m:r>
                        </m:e>
                        <m:sub>
                          <m:r>
                            <w:rPr>
                              <w:rFonts w:ascii="Cambria Math" w:hAnsi="Cambria Math"/>
                            </w:rPr>
                            <m:t>dtl</m:t>
                          </m:r>
                        </m:sub>
                      </m:sSub>
                    </m:e>
                  </m:nary>
                  <m:r>
                    <m:rPr>
                      <m:sty m:val="p"/>
                    </m:rPr>
                    <w:rPr>
                      <w:rFonts w:ascii="Cambria Math" w:hAnsi="Cambria Math"/>
                    </w:rPr>
                    <m:t>+</m:t>
                  </m:r>
                  <m:r>
                    <w:rPr>
                      <w:rFonts w:ascii="Cambria Math" w:hAnsi="Cambria Math"/>
                    </w:rPr>
                    <m:t>e</m:t>
                  </m:r>
                </m:e>
                <m:sub>
                  <m:r>
                    <w:rPr>
                      <w:rFonts w:ascii="Cambria Math" w:hAnsi="Cambria Math"/>
                    </w:rPr>
                    <m:t>dt</m:t>
                  </m:r>
                </m:sub>
              </m:sSub>
              <m:r>
                <m:rPr>
                  <m:sty m:val="p"/>
                </m:rPr>
                <w:rPr>
                  <w:rFonts w:ascii="Cambria Math" w:hAnsi="Cambria Math"/>
                </w:rPr>
                <m:t xml:space="preserve">,  </m:t>
              </m:r>
              <m:r>
                <w:rPr>
                  <w:rFonts w:ascii="Cambria Math" w:hAnsi="Cambria Math"/>
                </w:rPr>
                <m:t>t</m:t>
              </m:r>
              <m:r>
                <m:rPr>
                  <m:sty m:val="p"/>
                </m:rPr>
                <w:rPr>
                  <w:rFonts w:ascii="Cambria Math" w:hAnsi="Cambria Math"/>
                </w:rPr>
                <m:t>={1</m:t>
              </m:r>
            </m:oMath>
            <w:r w:rsidR="0082444E" w:rsidRPr="00A02210">
              <w:t>, 2, 3 … 24}</w:t>
            </w:r>
          </w:p>
        </w:tc>
        <w:tc>
          <w:tcPr>
            <w:tcW w:w="485" w:type="dxa"/>
            <w:vAlign w:val="center"/>
          </w:tcPr>
          <w:p w:rsidR="0082444E" w:rsidRDefault="0082444E" w:rsidP="005C465D">
            <w:pPr>
              <w:pStyle w:val="BodyParagraph"/>
            </w:pPr>
            <w:r>
              <w:t>(1)</w:t>
            </w:r>
          </w:p>
        </w:tc>
      </w:tr>
      <w:tr w:rsidR="0082444E" w:rsidTr="006720A1">
        <w:tc>
          <w:tcPr>
            <w:tcW w:w="9253" w:type="dxa"/>
          </w:tcPr>
          <w:p w:rsidR="0082444E" w:rsidRPr="00A02210" w:rsidRDefault="00A73155" w:rsidP="005C465D">
            <w:pPr>
              <w:pStyle w:val="BodyParagraph"/>
            </w:pPr>
            <m:oMath>
              <m:sSub>
                <m:sSubPr>
                  <m:ctrlPr>
                    <w:rPr>
                      <w:rFonts w:ascii="Cambria Math" w:hAnsi="Cambria Math"/>
                    </w:rPr>
                  </m:ctrlPr>
                </m:sSubPr>
                <m:e>
                  <m:r>
                    <w:rPr>
                      <w:rFonts w:ascii="Cambria Math" w:hAnsi="Cambria Math"/>
                    </w:rPr>
                    <m:t>kW</m:t>
                  </m:r>
                </m:e>
                <m:sub>
                  <m:r>
                    <w:rPr>
                      <w:rFonts w:ascii="Cambria Math" w:hAnsi="Cambria Math"/>
                    </w:rPr>
                    <m:t>dt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=2009</m:t>
                      </m:r>
                    </m:sub>
                    <m:sup>
                      <m:r>
                        <m:rPr>
                          <m:sty m:val="p"/>
                        </m:rPr>
                        <w:rPr>
                          <w:rFonts w:ascii="Cambria Math" w:hAnsi="Cambria Math"/>
                        </w:rPr>
                        <m:t>2011</m:t>
                      </m:r>
                    </m:sup>
                    <m:e>
                      <m:sSub>
                        <m:sSubPr>
                          <m:ctrlPr>
                            <w:rPr>
                              <w:rFonts w:ascii="Cambria Math" w:hAnsi="Cambria Math"/>
                            </w:rPr>
                          </m:ctrlPr>
                        </m:sSubPr>
                        <m:e>
                          <m:r>
                            <w:rPr>
                              <w:rFonts w:ascii="Cambria Math" w:hAnsi="Cambria Math"/>
                            </w:rPr>
                            <m:t>b</m:t>
                          </m:r>
                        </m:e>
                        <m:sub>
                          <m:r>
                            <w:rPr>
                              <w:rFonts w:ascii="Cambria Math" w:hAnsi="Cambria Math"/>
                            </w:rPr>
                            <m:t>i</m:t>
                          </m:r>
                        </m:sub>
                      </m:sSub>
                    </m:e>
                  </m:nary>
                  <m:r>
                    <m:rPr>
                      <m:sty m:val="p"/>
                    </m:rPr>
                    <w:rPr>
                      <w:rFonts w:ascii="Cambria Math" w:hAnsi="Cambria Math"/>
                    </w:rPr>
                    <m:t>*</m:t>
                  </m:r>
                  <m:r>
                    <w:rPr>
                      <w:rFonts w:ascii="Cambria Math" w:hAnsi="Cambria Math"/>
                    </w:rPr>
                    <m:t>year</m:t>
                  </m:r>
                </m:e>
                <m:sub>
                  <m:r>
                    <w:rPr>
                      <w:rFonts w:ascii="Cambria Math" w:hAnsi="Cambria Math"/>
                    </w:rPr>
                    <m:t>dti</m:t>
                  </m:r>
                </m:sub>
              </m:sSub>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=2</m:t>
                      </m:r>
                    </m:sub>
                    <m:sup>
                      <m:r>
                        <m:rPr>
                          <m:sty m:val="p"/>
                        </m:rPr>
                        <w:rPr>
                          <w:rFonts w:ascii="Cambria Math" w:hAnsi="Cambria Math"/>
                        </w:rPr>
                        <m:t>5</m:t>
                      </m:r>
                    </m:sup>
                    <m:e>
                      <m:sSub>
                        <m:sSubPr>
                          <m:ctrlPr>
                            <w:rPr>
                              <w:rFonts w:ascii="Cambria Math" w:hAnsi="Cambria Math"/>
                            </w:rPr>
                          </m:ctrlPr>
                        </m:sSubPr>
                        <m:e>
                          <m:r>
                            <w:rPr>
                              <w:rFonts w:ascii="Cambria Math" w:hAnsi="Cambria Math"/>
                            </w:rPr>
                            <m:t>c</m:t>
                          </m:r>
                        </m:e>
                        <m:sub>
                          <m:r>
                            <w:rPr>
                              <w:rFonts w:ascii="Cambria Math" w:hAnsi="Cambria Math"/>
                            </w:rPr>
                            <m:t>j</m:t>
                          </m:r>
                        </m:sub>
                      </m:sSub>
                      <m:r>
                        <m:rPr>
                          <m:sty m:val="p"/>
                        </m:rPr>
                        <w:rPr>
                          <w:rFonts w:ascii="Cambria Math" w:hAnsi="Cambria Math"/>
                        </w:rPr>
                        <m:t>*</m:t>
                      </m:r>
                    </m:e>
                  </m:nary>
                  <m:r>
                    <w:rPr>
                      <w:rFonts w:ascii="Cambria Math" w:hAnsi="Cambria Math"/>
                    </w:rPr>
                    <m:t>daytype</m:t>
                  </m:r>
                </m:e>
                <m:sub>
                  <m:r>
                    <w:rPr>
                      <w:rFonts w:ascii="Cambria Math" w:hAnsi="Cambria Math"/>
                    </w:rPr>
                    <m:t>dtj</m:t>
                  </m:r>
                </m:sub>
              </m:sSub>
              <m:r>
                <m:rPr>
                  <m:sty m:val="p"/>
                </m:rPr>
                <w:rPr>
                  <w:rFonts w:ascii="Cambria Math" w:hAnsi="Cambria Math"/>
                </w:rPr>
                <m:t>+</m:t>
              </m:r>
              <m:sSub>
                <m:sSubPr>
                  <m:ctrlPr>
                    <w:rPr>
                      <w:rFonts w:ascii="Cambria Math" w:hAnsi="Cambria Math"/>
                    </w:rPr>
                  </m:ctrlPr>
                </m:sSubPr>
                <m:e>
                  <m:nary>
                    <m:naryPr>
                      <m:chr m:val="∑"/>
                      <m:limLoc m:val="undOvr"/>
                      <m:ctrlPr>
                        <w:rPr>
                          <w:rFonts w:ascii="Cambria Math" w:hAnsi="Cambria Math"/>
                        </w:rPr>
                      </m:ctrlPr>
                    </m:naryPr>
                    <m:sub>
                      <m:r>
                        <w:rPr>
                          <w:rFonts w:ascii="Cambria Math" w:hAnsi="Cambria Math"/>
                        </w:rPr>
                        <m:t>k</m:t>
                      </m:r>
                      <m:r>
                        <m:rPr>
                          <m:sty m:val="p"/>
                        </m:rPr>
                        <w:rPr>
                          <w:rFonts w:ascii="Cambria Math" w:hAnsi="Cambria Math"/>
                        </w:rPr>
                        <m:t>=2</m:t>
                      </m:r>
                    </m:sub>
                    <m:sup>
                      <m:r>
                        <m:rPr>
                          <m:sty m:val="p"/>
                        </m:rPr>
                        <w:rPr>
                          <w:rFonts w:ascii="Cambria Math" w:hAnsi="Cambria Math"/>
                        </w:rPr>
                        <m:t>12</m:t>
                      </m:r>
                    </m:sup>
                    <m:e>
                      <m:sSub>
                        <m:sSubPr>
                          <m:ctrlPr>
                            <w:rPr>
                              <w:rFonts w:ascii="Cambria Math" w:hAnsi="Cambria Math"/>
                            </w:rPr>
                          </m:ctrlPr>
                        </m:sSubPr>
                        <m:e>
                          <m:r>
                            <w:rPr>
                              <w:rFonts w:ascii="Cambria Math" w:hAnsi="Cambria Math"/>
                            </w:rPr>
                            <m:t>d</m:t>
                          </m:r>
                        </m:e>
                        <m:sub>
                          <m:r>
                            <w:rPr>
                              <w:rFonts w:ascii="Cambria Math" w:hAnsi="Cambria Math"/>
                            </w:rPr>
                            <m:t>k</m:t>
                          </m:r>
                        </m:sub>
                      </m:sSub>
                      <m:r>
                        <m:rPr>
                          <m:sty m:val="p"/>
                        </m:rPr>
                        <w:rPr>
                          <w:rFonts w:ascii="Cambria Math" w:hAnsi="Cambria Math"/>
                        </w:rPr>
                        <m:t>*</m:t>
                      </m:r>
                    </m:e>
                  </m:nary>
                  <m:r>
                    <w:rPr>
                      <w:rFonts w:ascii="Cambria Math" w:hAnsi="Cambria Math"/>
                    </w:rPr>
                    <m:t>month</m:t>
                  </m:r>
                </m:e>
                <m:sub>
                  <m:r>
                    <w:rPr>
                      <w:rFonts w:ascii="Cambria Math" w:hAnsi="Cambria Math"/>
                    </w:rPr>
                    <m:t>dtk</m:t>
                  </m:r>
                </m:sub>
              </m:sSub>
              <m:sSub>
                <m:sSubPr>
                  <m:ctrlPr>
                    <w:rPr>
                      <w:rFonts w:ascii="Cambria Math" w:hAnsi="Cambria Math"/>
                    </w:rPr>
                  </m:ctrlPr>
                </m:sSubPr>
                <m:e>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cooling</m:t>
                      </m:r>
                    </m:e>
                    <m:sub>
                      <m:r>
                        <w:rPr>
                          <w:rFonts w:ascii="Cambria Math" w:hAnsi="Cambria Math"/>
                        </w:rPr>
                        <m:t>dt</m:t>
                      </m:r>
                    </m:sub>
                  </m:sSub>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heating</m:t>
                      </m:r>
                    </m:e>
                    <m:sub>
                      <m:r>
                        <w:rPr>
                          <w:rFonts w:ascii="Cambria Math" w:hAnsi="Cambria Math"/>
                        </w:rPr>
                        <m:t>dt</m:t>
                      </m:r>
                    </m:sub>
                  </m:sSub>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otherdr</m:t>
                      </m:r>
                    </m:e>
                    <m:sub>
                      <m:r>
                        <w:rPr>
                          <w:rFonts w:ascii="Cambria Math" w:hAnsi="Cambria Math"/>
                        </w:rPr>
                        <m:t>dt</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actcpp</m:t>
                      </m:r>
                    </m:e>
                    <m:sub>
                      <m:r>
                        <w:rPr>
                          <w:rFonts w:ascii="Cambria Math" w:hAnsi="Cambria Math"/>
                        </w:rPr>
                        <m:t>dt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i</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eventday</m:t>
                          </m:r>
                        </m:e>
                        <m:sub>
                          <m:r>
                            <w:rPr>
                              <w:rFonts w:ascii="Cambria Math" w:hAnsi="Cambria Math"/>
                            </w:rPr>
                            <m:t>dtl</m:t>
                          </m:r>
                        </m:sub>
                      </m:sSub>
                    </m:e>
                  </m:nary>
                  <m:r>
                    <m:rPr>
                      <m:sty m:val="p"/>
                    </m:rPr>
                    <w:rPr>
                      <w:rFonts w:ascii="Cambria Math" w:hAnsi="Cambria Math"/>
                    </w:rPr>
                    <m:t>+</m:t>
                  </m:r>
                  <m:r>
                    <w:rPr>
                      <w:rFonts w:ascii="Cambria Math" w:hAnsi="Cambria Math"/>
                    </w:rPr>
                    <m:t>e</m:t>
                  </m:r>
                </m:e>
                <m:sub>
                  <m:r>
                    <w:rPr>
                      <w:rFonts w:ascii="Cambria Math" w:hAnsi="Cambria Math"/>
                    </w:rPr>
                    <m:t>dt</m:t>
                  </m:r>
                </m:sub>
              </m:sSub>
              <m:r>
                <m:rPr>
                  <m:sty m:val="p"/>
                </m:rPr>
                <w:rPr>
                  <w:rFonts w:ascii="Cambria Math" w:hAnsi="Cambria Math"/>
                </w:rPr>
                <m:t xml:space="preserve">,  </m:t>
              </m:r>
              <m:r>
                <w:rPr>
                  <w:rFonts w:ascii="Cambria Math" w:hAnsi="Cambria Math"/>
                </w:rPr>
                <m:t>t</m:t>
              </m:r>
              <m:r>
                <m:rPr>
                  <m:sty m:val="p"/>
                </m:rPr>
                <w:rPr>
                  <w:rFonts w:ascii="Cambria Math" w:hAnsi="Cambria Math"/>
                </w:rPr>
                <m:t>={1</m:t>
              </m:r>
            </m:oMath>
            <w:r w:rsidR="0082444E" w:rsidRPr="00A02210">
              <w:t>, 2, 3 … 24}</w:t>
            </w:r>
          </w:p>
        </w:tc>
        <w:tc>
          <w:tcPr>
            <w:tcW w:w="485" w:type="dxa"/>
            <w:vAlign w:val="center"/>
          </w:tcPr>
          <w:p w:rsidR="0082444E" w:rsidRDefault="0082444E" w:rsidP="005C465D">
            <w:pPr>
              <w:pStyle w:val="BodyParagraph"/>
            </w:pPr>
            <w:r>
              <w:t>(2)</w:t>
            </w:r>
          </w:p>
        </w:tc>
      </w:tr>
    </w:tbl>
    <w:p w:rsidR="0082444E" w:rsidRPr="00DE36B9" w:rsidRDefault="0082444E" w:rsidP="005C465D">
      <w:pPr>
        <w:pStyle w:val="BodyParaAfterTableFigure"/>
      </w:pPr>
      <w:r>
        <w:t xml:space="preserve">Table 3-1 </w:t>
      </w:r>
      <w:r w:rsidR="00E106EC">
        <w:t>define</w:t>
      </w:r>
      <w:r>
        <w:t xml:space="preserve">s the variables used in the regression models.  </w:t>
      </w:r>
    </w:p>
    <w:p w:rsidR="00724997" w:rsidRDefault="00724997">
      <w:pPr>
        <w:rPr>
          <w:rFonts w:ascii="Arial" w:hAnsi="Arial"/>
          <w:b/>
        </w:rPr>
      </w:pPr>
      <w:r>
        <w:br w:type="page"/>
      </w:r>
    </w:p>
    <w:p w:rsidR="0082444E" w:rsidRDefault="0082444E" w:rsidP="005C465D">
      <w:pPr>
        <w:pStyle w:val="TableFigureCaption"/>
      </w:pPr>
      <w:r>
        <w:lastRenderedPageBreak/>
        <w:t>Table 3</w:t>
      </w:r>
      <w:r w:rsidRPr="00382CA9">
        <w:t>-1</w:t>
      </w:r>
      <w:r w:rsidR="005C465D">
        <w:t xml:space="preserve">: </w:t>
      </w:r>
      <w:r>
        <w:t>Regression Model Variables</w:t>
      </w:r>
    </w:p>
    <w:tbl>
      <w:tblPr>
        <w:tblW w:w="9240" w:type="dxa"/>
        <w:jc w:val="center"/>
        <w:tblLook w:val="04A0"/>
      </w:tblPr>
      <w:tblGrid>
        <w:gridCol w:w="2560"/>
        <w:gridCol w:w="6680"/>
      </w:tblGrid>
      <w:tr w:rsidR="0082444E" w:rsidRPr="00E264A7" w:rsidTr="000577B8">
        <w:trPr>
          <w:trHeight w:val="300"/>
          <w:tblHeader/>
          <w:jc w:val="center"/>
        </w:trPr>
        <w:tc>
          <w:tcPr>
            <w:tcW w:w="256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E264A7" w:rsidRDefault="0082444E" w:rsidP="006720A1">
            <w:pPr>
              <w:pStyle w:val="TableHeader"/>
            </w:pPr>
            <w:r w:rsidRPr="00E264A7">
              <w:t>Variable</w:t>
            </w:r>
          </w:p>
        </w:tc>
        <w:tc>
          <w:tcPr>
            <w:tcW w:w="6680" w:type="dxa"/>
            <w:tcBorders>
              <w:top w:val="single" w:sz="4" w:space="0" w:color="auto"/>
              <w:left w:val="nil"/>
              <w:bottom w:val="single" w:sz="4" w:space="0" w:color="auto"/>
              <w:right w:val="single" w:sz="4" w:space="0" w:color="auto"/>
            </w:tcBorders>
            <w:shd w:val="clear" w:color="000000" w:fill="1F497D" w:themeFill="text2"/>
            <w:noWrap/>
            <w:vAlign w:val="bottom"/>
            <w:hideMark/>
          </w:tcPr>
          <w:p w:rsidR="0082444E" w:rsidRPr="00E264A7" w:rsidRDefault="0082444E" w:rsidP="006720A1">
            <w:pPr>
              <w:pStyle w:val="TableHeader"/>
            </w:pPr>
            <w:r w:rsidRPr="00E264A7">
              <w:t>Description</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kW</w:t>
            </w:r>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 xml:space="preserve">Energy usage in each </w:t>
            </w:r>
            <w:r w:rsidR="00880163" w:rsidRPr="00E264A7">
              <w:t>hourly</w:t>
            </w:r>
            <w:r w:rsidRPr="00E264A7">
              <w:t xml:space="preserve"> interval t={1,2,3 …24} for each date, d</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r w:rsidRPr="00E264A7">
              <w:t>Y</w:t>
            </w:r>
            <w:r w:rsidR="0082444E" w:rsidRPr="00E264A7">
              <w:t>ear</w:t>
            </w:r>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Binary variable for year of the hourly observation</w:t>
            </w:r>
          </w:p>
        </w:tc>
      </w:tr>
      <w:tr w:rsidR="0082444E" w:rsidRPr="00E264A7" w:rsidTr="007E5AB1">
        <w:trPr>
          <w:trHeight w:val="12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proofErr w:type="spellStart"/>
            <w:r w:rsidRPr="00E264A7">
              <w:t>D</w:t>
            </w:r>
            <w:r w:rsidR="0082444E" w:rsidRPr="00E264A7">
              <w:t>aytype</w:t>
            </w:r>
            <w:proofErr w:type="spellEnd"/>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Binary variable for the day type of the hourly observation (Sundays and holidays and Tuesday through Thursday are grouped together</w:t>
            </w:r>
          </w:p>
        </w:tc>
      </w:tr>
      <w:tr w:rsidR="0082444E" w:rsidRPr="00E264A7" w:rsidTr="007E5AB1">
        <w:trPr>
          <w:trHeight w:val="21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r w:rsidRPr="00E264A7">
              <w:t>S</w:t>
            </w:r>
            <w:r w:rsidR="0082444E" w:rsidRPr="00E264A7">
              <w:t>eason</w:t>
            </w:r>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Binary variable indicating whether the</w:t>
            </w:r>
            <w:r w:rsidR="00880163">
              <w:t xml:space="preserve"> </w:t>
            </w:r>
            <w:r w:rsidRPr="00E264A7">
              <w:t>hou</w:t>
            </w:r>
            <w:r w:rsidR="00880163">
              <w:t>r</w:t>
            </w:r>
            <w:r w:rsidRPr="00E264A7">
              <w:t>ly obse</w:t>
            </w:r>
            <w:r w:rsidR="00880163">
              <w:t>r</w:t>
            </w:r>
            <w:r w:rsidRPr="00E264A7">
              <w:t>vation falls in the summer or winter season</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r w:rsidRPr="00E264A7">
              <w:t>M</w:t>
            </w:r>
            <w:r w:rsidR="0082444E" w:rsidRPr="00E264A7">
              <w:t>onth</w:t>
            </w:r>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Binary variable indicating the month of the hourly observation</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proofErr w:type="spellStart"/>
            <w:r w:rsidRPr="00E264A7">
              <w:t>O</w:t>
            </w:r>
            <w:r w:rsidR="0082444E" w:rsidRPr="00E264A7">
              <w:t>therdr</w:t>
            </w:r>
            <w:proofErr w:type="spellEnd"/>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Binary variable indicating the presence of another DR event</w:t>
            </w:r>
          </w:p>
        </w:tc>
      </w:tr>
      <w:tr w:rsidR="0082444E" w:rsidRPr="00E264A7" w:rsidTr="007E5AB1">
        <w:trPr>
          <w:trHeight w:val="54"/>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proofErr w:type="spellStart"/>
            <w:r w:rsidRPr="00E264A7">
              <w:t>A</w:t>
            </w:r>
            <w:r w:rsidR="0082444E" w:rsidRPr="00E264A7">
              <w:t>ctcpp</w:t>
            </w:r>
            <w:proofErr w:type="spellEnd"/>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Binary variable identifying the pre and post-enrollment periods on CPP as distinct</w:t>
            </w:r>
          </w:p>
        </w:tc>
      </w:tr>
      <w:tr w:rsidR="0082444E" w:rsidRPr="00E264A7" w:rsidTr="006720A1">
        <w:trPr>
          <w:trHeight w:val="6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r w:rsidRPr="00E264A7">
              <w:t>C</w:t>
            </w:r>
            <w:r w:rsidR="00FF3901">
              <w:t>DH</w:t>
            </w:r>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Cooling Degree Hour - the max of zero and the hourly temperature value less a base value</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r w:rsidRPr="00E264A7">
              <w:t>H</w:t>
            </w:r>
            <w:r w:rsidR="00FF3901">
              <w:t>DH</w:t>
            </w:r>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Heating Degree Hour - the inverse of CDH</w:t>
            </w:r>
          </w:p>
        </w:tc>
      </w:tr>
      <w:tr w:rsidR="0082444E" w:rsidRPr="00E264A7" w:rsidTr="006720A1">
        <w:trPr>
          <w:trHeight w:val="6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FF3901" w:rsidP="006720A1">
            <w:pPr>
              <w:pStyle w:val="TableText"/>
            </w:pPr>
            <w:r>
              <w:t>CDD</w:t>
            </w:r>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Cooling Degree Day - the max of zero and the mean temperature of the day of the hourly observation less a base value</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r w:rsidRPr="00E264A7">
              <w:t>H</w:t>
            </w:r>
            <w:r w:rsidR="00342F5E">
              <w:t>DD</w:t>
            </w:r>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80163" w:rsidP="006720A1">
            <w:pPr>
              <w:pStyle w:val="TableText"/>
            </w:pPr>
            <w:r>
              <w:t>Heating Degree Day - the inver</w:t>
            </w:r>
            <w:r w:rsidR="0082444E" w:rsidRPr="00E264A7">
              <w:t>se of CDD</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proofErr w:type="spellStart"/>
            <w:r w:rsidRPr="00E264A7">
              <w:t>T</w:t>
            </w:r>
            <w:r w:rsidR="0082444E" w:rsidRPr="00E264A7">
              <w:t>otalcdh</w:t>
            </w:r>
            <w:proofErr w:type="spellEnd"/>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The sum of cooling degree hours for the date of the hourly observation</w:t>
            </w:r>
          </w:p>
        </w:tc>
      </w:tr>
      <w:tr w:rsidR="0082444E" w:rsidRPr="00E264A7" w:rsidTr="006720A1">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proofErr w:type="spellStart"/>
            <w:r w:rsidRPr="00E264A7">
              <w:t>T</w:t>
            </w:r>
            <w:r w:rsidR="0082444E" w:rsidRPr="00E264A7">
              <w:t>otalhdh</w:t>
            </w:r>
            <w:proofErr w:type="spellEnd"/>
          </w:p>
        </w:tc>
        <w:tc>
          <w:tcPr>
            <w:tcW w:w="6680" w:type="dxa"/>
            <w:tcBorders>
              <w:top w:val="nil"/>
              <w:left w:val="nil"/>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The sum of heating degree hours for the date of the hourly observation</w:t>
            </w:r>
          </w:p>
        </w:tc>
      </w:tr>
      <w:tr w:rsidR="0082444E" w:rsidRPr="00E264A7" w:rsidTr="006720A1">
        <w:trPr>
          <w:trHeight w:val="6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E106EC" w:rsidP="006720A1">
            <w:pPr>
              <w:pStyle w:val="TableText"/>
            </w:pPr>
            <w:proofErr w:type="spellStart"/>
            <w:r w:rsidRPr="00E264A7">
              <w:t>E</w:t>
            </w:r>
            <w:r w:rsidR="0082444E" w:rsidRPr="00E264A7">
              <w:t>ventday</w:t>
            </w:r>
            <w:proofErr w:type="spellEnd"/>
          </w:p>
        </w:tc>
        <w:tc>
          <w:tcPr>
            <w:tcW w:w="6680" w:type="dxa"/>
            <w:tcBorders>
              <w:top w:val="nil"/>
              <w:left w:val="nil"/>
              <w:bottom w:val="single" w:sz="4" w:space="0" w:color="auto"/>
              <w:right w:val="single" w:sz="4" w:space="0" w:color="auto"/>
            </w:tcBorders>
            <w:shd w:val="clear" w:color="auto" w:fill="auto"/>
            <w:vAlign w:val="center"/>
            <w:hideMark/>
          </w:tcPr>
          <w:p w:rsidR="001D1869" w:rsidRDefault="0082444E">
            <w:pPr>
              <w:pStyle w:val="TableText"/>
            </w:pPr>
            <w:r w:rsidRPr="00E264A7">
              <w:t>Binary variable indicating whether the day of the hourly observation is an event</w:t>
            </w:r>
            <w:r w:rsidR="007E5AB1">
              <w:t> </w:t>
            </w:r>
            <w:r w:rsidRPr="00E264A7">
              <w:t>day</w:t>
            </w:r>
          </w:p>
        </w:tc>
      </w:tr>
      <w:tr w:rsidR="0082444E" w:rsidRPr="00E264A7" w:rsidTr="006720A1">
        <w:trPr>
          <w:trHeight w:val="6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proofErr w:type="spellStart"/>
            <w:r w:rsidRPr="00E264A7">
              <w:t>eventdayXtotalcdh</w:t>
            </w:r>
            <w:proofErr w:type="spellEnd"/>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 xml:space="preserve">The interaction between whether the day of the hourly observation is an event day and </w:t>
            </w:r>
            <w:proofErr w:type="spellStart"/>
            <w:r w:rsidRPr="00E264A7">
              <w:t>totalcdh</w:t>
            </w:r>
            <w:proofErr w:type="spellEnd"/>
          </w:p>
        </w:tc>
      </w:tr>
      <w:tr w:rsidR="0082444E" w:rsidRPr="00E264A7" w:rsidTr="006720A1">
        <w:trPr>
          <w:trHeight w:val="36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82444E" w:rsidRPr="00E264A7" w:rsidRDefault="0082444E" w:rsidP="006720A1">
            <w:pPr>
              <w:pStyle w:val="TableText"/>
            </w:pPr>
            <w:r w:rsidRPr="00E264A7">
              <w:t>eventday</w:t>
            </w:r>
            <w:r>
              <w:t>num</w:t>
            </w:r>
            <w:r w:rsidRPr="00E264A7">
              <w:rPr>
                <w:vertAlign w:val="subscript"/>
              </w:rPr>
              <w:t>1 ...n</w:t>
            </w:r>
          </w:p>
        </w:tc>
        <w:tc>
          <w:tcPr>
            <w:tcW w:w="6680" w:type="dxa"/>
            <w:tcBorders>
              <w:top w:val="nil"/>
              <w:left w:val="nil"/>
              <w:bottom w:val="single" w:sz="4" w:space="0" w:color="auto"/>
              <w:right w:val="single" w:sz="4" w:space="0" w:color="auto"/>
            </w:tcBorders>
            <w:shd w:val="clear" w:color="auto" w:fill="auto"/>
            <w:vAlign w:val="center"/>
            <w:hideMark/>
          </w:tcPr>
          <w:p w:rsidR="0082444E" w:rsidRPr="00E264A7" w:rsidRDefault="0082444E" w:rsidP="006720A1">
            <w:pPr>
              <w:pStyle w:val="TableText"/>
            </w:pPr>
            <w:r w:rsidRPr="00E264A7">
              <w:t>Binary variables indicating each event</w:t>
            </w:r>
            <w:r>
              <w:t xml:space="preserve"> </w:t>
            </w:r>
            <w:r w:rsidRPr="00E264A7">
              <w:t>day, 1 ...n.</w:t>
            </w:r>
          </w:p>
        </w:tc>
      </w:tr>
    </w:tbl>
    <w:p w:rsidR="00885D6E" w:rsidRDefault="000B20BF" w:rsidP="005C465D">
      <w:pPr>
        <w:pStyle w:val="BodyParaAfterTableFigure"/>
      </w:pPr>
      <w:r>
        <w:t>Decisions regarding t</w:t>
      </w:r>
      <w:r w:rsidR="00885D6E">
        <w:t xml:space="preserve">he </w:t>
      </w:r>
      <w:r w:rsidR="00885D6E" w:rsidRPr="006720A1">
        <w:t>weather</w:t>
      </w:r>
      <w:r w:rsidR="00885D6E">
        <w:t xml:space="preserve"> variables used for each customer as well as the use of a seasonal dummy variable rather than a dummy variable for each month were based on the model that produced the least error for that customer</w:t>
      </w:r>
      <w:r w:rsidR="00885D6E">
        <w:rPr>
          <w:rFonts w:eastAsia="Times New Roman"/>
          <w:color w:val="000000"/>
        </w:rPr>
        <w:t xml:space="preserve">.  Only one set of cooling and heating variables was included in each regression (e.g., </w:t>
      </w:r>
      <w:proofErr w:type="spellStart"/>
      <w:r w:rsidR="00885D6E">
        <w:rPr>
          <w:rFonts w:eastAsia="Times New Roman"/>
          <w:color w:val="000000"/>
        </w:rPr>
        <w:t>cdh</w:t>
      </w:r>
      <w:proofErr w:type="spellEnd"/>
      <w:r w:rsidR="00885D6E">
        <w:rPr>
          <w:rFonts w:eastAsia="Times New Roman"/>
          <w:color w:val="000000"/>
        </w:rPr>
        <w:t xml:space="preserve"> and </w:t>
      </w:r>
      <w:proofErr w:type="spellStart"/>
      <w:r w:rsidR="00885D6E">
        <w:rPr>
          <w:rFonts w:eastAsia="Times New Roman"/>
          <w:color w:val="000000"/>
        </w:rPr>
        <w:t>hdh</w:t>
      </w:r>
      <w:proofErr w:type="spellEnd"/>
      <w:r w:rsidR="00885D6E">
        <w:rPr>
          <w:rFonts w:eastAsia="Times New Roman"/>
          <w:color w:val="000000"/>
        </w:rPr>
        <w:t xml:space="preserve">, </w:t>
      </w:r>
      <w:proofErr w:type="spellStart"/>
      <w:r w:rsidR="00885D6E">
        <w:rPr>
          <w:rFonts w:eastAsia="Times New Roman"/>
          <w:color w:val="000000"/>
        </w:rPr>
        <w:t>cdd</w:t>
      </w:r>
      <w:proofErr w:type="spellEnd"/>
      <w:r w:rsidR="00885D6E">
        <w:rPr>
          <w:rFonts w:eastAsia="Times New Roman"/>
          <w:color w:val="000000"/>
        </w:rPr>
        <w:t xml:space="preserve"> and </w:t>
      </w:r>
      <w:proofErr w:type="spellStart"/>
      <w:r w:rsidR="00885D6E">
        <w:rPr>
          <w:rFonts w:eastAsia="Times New Roman"/>
          <w:color w:val="000000"/>
        </w:rPr>
        <w:t>hdd</w:t>
      </w:r>
      <w:proofErr w:type="spellEnd"/>
      <w:r w:rsidR="00885D6E">
        <w:rPr>
          <w:rFonts w:eastAsia="Times New Roman"/>
          <w:color w:val="000000"/>
        </w:rPr>
        <w:t xml:space="preserve">, or </w:t>
      </w:r>
      <w:proofErr w:type="spellStart"/>
      <w:r w:rsidR="00885D6E">
        <w:rPr>
          <w:rFonts w:eastAsia="Times New Roman"/>
          <w:color w:val="000000"/>
        </w:rPr>
        <w:t>totalcdh</w:t>
      </w:r>
      <w:proofErr w:type="spellEnd"/>
      <w:r w:rsidR="00885D6E">
        <w:rPr>
          <w:rFonts w:eastAsia="Times New Roman"/>
          <w:color w:val="000000"/>
        </w:rPr>
        <w:t xml:space="preserve"> and </w:t>
      </w:r>
      <w:proofErr w:type="spellStart"/>
      <w:r w:rsidR="00885D6E">
        <w:rPr>
          <w:rFonts w:eastAsia="Times New Roman"/>
          <w:color w:val="000000"/>
        </w:rPr>
        <w:t>totalhdh</w:t>
      </w:r>
      <w:proofErr w:type="spellEnd"/>
      <w:r w:rsidR="00885D6E">
        <w:rPr>
          <w:rFonts w:eastAsia="Times New Roman"/>
          <w:color w:val="000000"/>
        </w:rPr>
        <w:t xml:space="preserve">). </w:t>
      </w:r>
      <w:r w:rsidR="00885D6E">
        <w:t xml:space="preserve"> </w:t>
      </w:r>
      <w:r w:rsidR="00885D6E">
        <w:rPr>
          <w:rFonts w:eastAsia="Times New Roman"/>
          <w:color w:val="000000"/>
        </w:rPr>
        <w:t xml:space="preserve">Two models were also run with no cooling or heating variables for weather insensitive customers.  </w:t>
      </w:r>
    </w:p>
    <w:p w:rsidR="0082444E" w:rsidRDefault="0082444E" w:rsidP="005C465D">
      <w:pPr>
        <w:pStyle w:val="BodyParagraph"/>
      </w:pPr>
      <w:r>
        <w:t>For PG&amp;E and SCE</w:t>
      </w:r>
      <w:r w:rsidR="00E106EC">
        <w:t>,</w:t>
      </w:r>
      <w:r>
        <w:t xml:space="preserve"> the treatment variables, </w:t>
      </w:r>
      <w:r w:rsidR="00E106EC">
        <w:t>“</w:t>
      </w:r>
      <w:proofErr w:type="spellStart"/>
      <w:r>
        <w:t>eventday</w:t>
      </w:r>
      <w:proofErr w:type="spellEnd"/>
      <w:r w:rsidR="00E106EC">
        <w:t>”</w:t>
      </w:r>
      <w:r>
        <w:t xml:space="preserve"> and </w:t>
      </w:r>
      <w:r w:rsidR="00AD26E5">
        <w:t>“</w:t>
      </w:r>
      <w:proofErr w:type="spellStart"/>
      <w:r>
        <w:t>eventdayXtotalcdh</w:t>
      </w:r>
      <w:proofErr w:type="spellEnd"/>
      <w:r w:rsidR="00D06C1B">
        <w:t>,</w:t>
      </w:r>
      <w:r w:rsidR="00AD26E5">
        <w:t>”</w:t>
      </w:r>
      <w:r>
        <w:t xml:space="preserve"> capture how event impacts across all event days are related to weather.  For SDG&amp;E</w:t>
      </w:r>
      <w:r w:rsidR="000B20BF">
        <w:t>,</w:t>
      </w:r>
      <w:r>
        <w:t xml:space="preserve"> t</w:t>
      </w:r>
      <w:r w:rsidRPr="00F92DCF">
        <w:t>he</w:t>
      </w:r>
      <w:r>
        <w:t xml:space="preserve"> treatment variables </w:t>
      </w:r>
      <w:r w:rsidR="00E106EC">
        <w:t>“</w:t>
      </w:r>
      <w:r>
        <w:t>eventdaynum</w:t>
      </w:r>
      <w:r w:rsidRPr="00194C6F">
        <w:rPr>
          <w:vertAlign w:val="subscript"/>
        </w:rPr>
        <w:t>1</w:t>
      </w:r>
      <w:r w:rsidR="00D06C1B">
        <w:rPr>
          <w:vertAlign w:val="subscript"/>
        </w:rPr>
        <w:t>,</w:t>
      </w:r>
      <w:r w:rsidR="00C97DA2" w:rsidRPr="00C97DA2">
        <w:t>"</w:t>
      </w:r>
      <w:r w:rsidR="00E106EC">
        <w:t xml:space="preserve"> </w:t>
      </w:r>
      <w:r>
        <w:t xml:space="preserve">through </w:t>
      </w:r>
      <w:r w:rsidR="00E106EC">
        <w:t>“</w:t>
      </w:r>
      <w:r>
        <w:t>eventdaynum</w:t>
      </w:r>
      <w:r w:rsidRPr="00194C6F">
        <w:rPr>
          <w:vertAlign w:val="subscript"/>
        </w:rPr>
        <w:t>3</w:t>
      </w:r>
      <w:r w:rsidR="00D06C1B">
        <w:rPr>
          <w:vertAlign w:val="subscript"/>
        </w:rPr>
        <w:t>,</w:t>
      </w:r>
      <w:r w:rsidR="00C97DA2" w:rsidRPr="00C97DA2">
        <w:t>"</w:t>
      </w:r>
      <w:r w:rsidR="00E106EC">
        <w:t xml:space="preserve"> </w:t>
      </w:r>
      <w:r w:rsidRPr="00F92DCF">
        <w:t xml:space="preserve">capture the actual load on event days.  </w:t>
      </w:r>
      <w:r>
        <w:t>In both cases t</w:t>
      </w:r>
      <w:r w:rsidRPr="00F92DCF">
        <w:t xml:space="preserve">he counterfactual is calculated by setting the treatment variables equal to zero and applying </w:t>
      </w:r>
      <w:r>
        <w:t xml:space="preserve">the regression-derived coefficients to the model variables.  The binary </w:t>
      </w:r>
      <w:r w:rsidR="00227B1B">
        <w:t>variable indicating the presence of another demand response event wa</w:t>
      </w:r>
      <w:r>
        <w:t xml:space="preserve">s also set to zero for estimation of the reference load so that impacts are not understated due to the presence of other demand response events. </w:t>
      </w:r>
    </w:p>
    <w:p w:rsidR="00885D6E" w:rsidRDefault="0082444E" w:rsidP="005C465D">
      <w:pPr>
        <w:pStyle w:val="BodyParagraph"/>
      </w:pPr>
      <w:r>
        <w:t xml:space="preserve">Under the CPP rate schedule there is also a secondary treatment – the rate discounts that CPP customers experience relative to opt-out TOU customers.  Estimating the effect of the rate discounts is inherently different and more complex than estimating the effect of CPP event day prices.  Once a </w:t>
      </w:r>
      <w:r>
        <w:lastRenderedPageBreak/>
        <w:t xml:space="preserve">customer enrolls on </w:t>
      </w:r>
      <w:r w:rsidR="000B20BF">
        <w:t xml:space="preserve">a </w:t>
      </w:r>
      <w:r>
        <w:t xml:space="preserve">CPP rate, it is not possible to observe their behavior absent the discount since it is in effect on a daily basis.  Simply put, to evaluate the effect of the rate discount, it is critical to have data prior to enrollment on the rates, a control group or both.  Ideally, the impacts would be estimated based on an experiment with large, well-matched control and treatment groups.  </w:t>
      </w:r>
    </w:p>
    <w:p w:rsidR="00885D6E" w:rsidRDefault="000B20BF" w:rsidP="005C465D">
      <w:pPr>
        <w:pStyle w:val="BodyParagraph"/>
      </w:pPr>
      <w:r>
        <w:t>E</w:t>
      </w:r>
      <w:r w:rsidR="00885D6E">
        <w:t>vidence from the 201</w:t>
      </w:r>
      <w:r>
        <w:t>0</w:t>
      </w:r>
      <w:r w:rsidR="00885D6E">
        <w:t xml:space="preserve"> and 201</w:t>
      </w:r>
      <w:r>
        <w:t>1</w:t>
      </w:r>
      <w:r w:rsidR="00885D6E">
        <w:t xml:space="preserve"> CPP evaluation control group validity checks indicates that customers d</w:t>
      </w:r>
      <w:r w:rsidR="006208C6">
        <w:t>o</w:t>
      </w:r>
      <w:r w:rsidR="00885D6E">
        <w:t xml:space="preserve"> not increase electricity use in response to the summer peak period discounts.  In 2010, control groups were selected using pre-enrollment data, when both default CPP and control group customers experienced the same rate.  This year, the control group was </w:t>
      </w:r>
      <w:r>
        <w:t xml:space="preserve">chosen </w:t>
      </w:r>
      <w:r w:rsidR="00885D6E">
        <w:t>by selecting statistical look-alikes with similar load shape</w:t>
      </w:r>
      <w:r w:rsidR="006208C6">
        <w:t>s</w:t>
      </w:r>
      <w:r w:rsidR="00885D6E">
        <w:t xml:space="preserve"> during hot days in</w:t>
      </w:r>
      <w:r w:rsidR="006208C6">
        <w:t xml:space="preserve"> non-summer months</w:t>
      </w:r>
      <w:r w:rsidR="00885D6E">
        <w:t xml:space="preserve"> </w:t>
      </w:r>
      <w:r w:rsidR="00885D6E" w:rsidRPr="002471DA">
        <w:t>when both CPP and opt-out TOU customers experienced identical</w:t>
      </w:r>
      <w:r w:rsidR="006208C6">
        <w:t xml:space="preserve"> or nearly identical</w:t>
      </w:r>
      <w:r w:rsidR="00885D6E" w:rsidRPr="002471DA">
        <w:t xml:space="preserve"> </w:t>
      </w:r>
      <w:r w:rsidR="006208C6">
        <w:t>pric</w:t>
      </w:r>
      <w:r w:rsidR="00885D6E" w:rsidRPr="002471DA">
        <w:t>es</w:t>
      </w:r>
      <w:r w:rsidR="00885D6E">
        <w:t>.</w:t>
      </w:r>
      <w:r w:rsidR="00885D6E">
        <w:rPr>
          <w:rStyle w:val="FootnoteReference"/>
        </w:rPr>
        <w:footnoteReference w:id="10"/>
      </w:r>
      <w:r w:rsidR="00885D6E" w:rsidRPr="002471DA">
        <w:t xml:space="preserve"> </w:t>
      </w:r>
      <w:r w:rsidR="006208C6">
        <w:t xml:space="preserve"> In both years, t</w:t>
      </w:r>
      <w:r w:rsidR="0082444E" w:rsidRPr="002471DA">
        <w:t>he matched control groups</w:t>
      </w:r>
      <w:r w:rsidR="0082444E">
        <w:t xml:space="preserve"> show</w:t>
      </w:r>
      <w:r w:rsidR="006208C6">
        <w:t>ed</w:t>
      </w:r>
      <w:r w:rsidR="0082444E" w:rsidRPr="002471DA">
        <w:t xml:space="preserve"> very little difference between </w:t>
      </w:r>
      <w:r w:rsidR="0082444E">
        <w:t xml:space="preserve">usage during peak periods on non-event days for </w:t>
      </w:r>
      <w:r w:rsidR="0082444E" w:rsidRPr="002471DA">
        <w:t>CPP</w:t>
      </w:r>
      <w:r w:rsidR="0082444E">
        <w:t xml:space="preserve"> customers (who experience discounts rela</w:t>
      </w:r>
      <w:r w:rsidR="00227B1B">
        <w:t>tive to opt-out TOU customers</w:t>
      </w:r>
      <w:r w:rsidR="0082444E">
        <w:t>)</w:t>
      </w:r>
      <w:r w:rsidR="0082444E" w:rsidRPr="002471DA">
        <w:t xml:space="preserve"> and </w:t>
      </w:r>
      <w:r w:rsidR="0082444E">
        <w:t xml:space="preserve">customers that chose to </w:t>
      </w:r>
      <w:r w:rsidR="0082444E" w:rsidRPr="002471DA">
        <w:t xml:space="preserve">opt-out </w:t>
      </w:r>
      <w:r w:rsidR="0082444E">
        <w:t xml:space="preserve">to the otherwise available </w:t>
      </w:r>
      <w:r w:rsidR="0082444E" w:rsidRPr="002471DA">
        <w:t xml:space="preserve">TOU </w:t>
      </w:r>
      <w:r w:rsidR="0082444E">
        <w:t xml:space="preserve">tariff </w:t>
      </w:r>
      <w:r w:rsidR="0082444E" w:rsidRPr="002471DA">
        <w:t>(</w:t>
      </w:r>
      <w:r w:rsidR="0082444E" w:rsidRPr="00227B1B">
        <w:t>see Figures B-2 in Section B-3 of Appendix B and D-2 in Section D-3 of Appendix D</w:t>
      </w:r>
      <w:r w:rsidR="0082444E" w:rsidRPr="002471DA">
        <w:t xml:space="preserve">). </w:t>
      </w:r>
      <w:r w:rsidR="00D06C1B">
        <w:t xml:space="preserve"> </w:t>
      </w:r>
      <w:r w:rsidR="006208C6">
        <w:t>This evidence drove our decision not to include a variable designed to capture the effects of TOU rate discount in the individual customer regressions.</w:t>
      </w:r>
      <w:r w:rsidR="00342F5E">
        <w:rPr>
          <w:rStyle w:val="FootnoteReference"/>
        </w:rPr>
        <w:footnoteReference w:id="11"/>
      </w:r>
    </w:p>
    <w:p w:rsidR="0082444E" w:rsidRDefault="0082444E" w:rsidP="005C465D">
      <w:pPr>
        <w:pStyle w:val="Heading2"/>
      </w:pPr>
      <w:bookmarkStart w:id="45" w:name="_Toc318468045"/>
      <w:bookmarkStart w:id="46" w:name="_Toc318473841"/>
      <w:bookmarkStart w:id="47" w:name="_Toc318468046"/>
      <w:bookmarkStart w:id="48" w:name="_Toc318473842"/>
      <w:bookmarkStart w:id="49" w:name="_Toc289177997"/>
      <w:bookmarkStart w:id="50" w:name="_Toc326072097"/>
      <w:bookmarkEnd w:id="45"/>
      <w:bookmarkEnd w:id="46"/>
      <w:bookmarkEnd w:id="47"/>
      <w:bookmarkEnd w:id="48"/>
      <w:r>
        <w:t>Overview of Validation Methods</w:t>
      </w:r>
      <w:bookmarkEnd w:id="49"/>
      <w:bookmarkEnd w:id="50"/>
    </w:p>
    <w:p w:rsidR="0082444E" w:rsidRPr="00A67C72" w:rsidRDefault="0082444E" w:rsidP="005C465D">
      <w:pPr>
        <w:pStyle w:val="BodyParagraph"/>
      </w:pPr>
      <w:r w:rsidRPr="00A67C72">
        <w:t xml:space="preserve">The validation of regression models focuses on </w:t>
      </w:r>
      <w:r w:rsidR="00571881">
        <w:t>lack of bias because a</w:t>
      </w:r>
      <w:r w:rsidRPr="00A67C72">
        <w:t>n unbiased model produ</w:t>
      </w:r>
      <w:r w:rsidR="00571881">
        <w:t>ces accurate impact estimates.  The accuracy of the estimates is</w:t>
      </w:r>
      <w:r w:rsidRPr="00A67C72">
        <w:t xml:space="preserve"> particularly important when percent load re</w:t>
      </w:r>
      <w:r w:rsidR="00571881">
        <w:t xml:space="preserve">ductions are relatively small. </w:t>
      </w:r>
    </w:p>
    <w:p w:rsidR="0082444E" w:rsidRPr="00A67C72" w:rsidRDefault="0082444E" w:rsidP="005C465D">
      <w:pPr>
        <w:pStyle w:val="BodyParagraph"/>
        <w:rPr>
          <w:sz w:val="14"/>
          <w:szCs w:val="14"/>
        </w:rPr>
      </w:pPr>
      <w:r>
        <w:t>Estimating the bias</w:t>
      </w:r>
      <w:r w:rsidRPr="00A67C72">
        <w:t xml:space="preserve"> of the regression models requires knowledge of the actual load in the absence of DR and ev</w:t>
      </w:r>
      <w:r>
        <w:t>ent impacts.  During event days</w:t>
      </w:r>
      <w:r w:rsidRPr="00A67C72">
        <w:t xml:space="preserve"> the load without the critical peak price in effect cannot be dire</w:t>
      </w:r>
      <w:r>
        <w:t>ctly observed so</w:t>
      </w:r>
      <w:r w:rsidRPr="00A67C72">
        <w:t xml:space="preserve"> it must be estimated.  However, actual load patterns without DR can </w:t>
      </w:r>
      <w:r w:rsidR="00571881">
        <w:t>be observed for event-like days</w:t>
      </w:r>
      <w:r w:rsidR="00E106EC">
        <w:t xml:space="preserve"> (e.g., days with similar conditions on which events are not called).  </w:t>
      </w:r>
    </w:p>
    <w:p w:rsidR="0082444E" w:rsidRDefault="00E106EC" w:rsidP="005C465D">
      <w:pPr>
        <w:pStyle w:val="BodyParagraph"/>
      </w:pPr>
      <w:r>
        <w:t>M</w:t>
      </w:r>
      <w:r w:rsidR="0082444E">
        <w:t>odel specifications</w:t>
      </w:r>
      <w:r>
        <w:t xml:space="preserve"> were optimized by checking for accuracy using </w:t>
      </w:r>
      <w:r w:rsidR="0082444E">
        <w:t>several validation tests</w:t>
      </w:r>
      <w:r w:rsidR="00B57A43">
        <w:t>:</w:t>
      </w:r>
      <w:r w:rsidR="0082444E" w:rsidRPr="00050374">
        <w:t xml:space="preserve"> </w:t>
      </w:r>
      <w:r w:rsidR="0082444E">
        <w:t>out-of-sample testing, false experiments and a crosscheck of the results using a control group</w:t>
      </w:r>
      <w:r w:rsidR="00571881">
        <w:t xml:space="preserve">. </w:t>
      </w:r>
      <w:r w:rsidR="00B57A43">
        <w:t xml:space="preserve"> </w:t>
      </w:r>
      <w:r w:rsidR="0082444E" w:rsidRPr="00050374">
        <w:t xml:space="preserve">In </w:t>
      </w:r>
      <w:r w:rsidR="0082444E">
        <w:t>the first two procedures, the “true” answers are known</w:t>
      </w:r>
      <w:r w:rsidR="0082444E" w:rsidRPr="00050374">
        <w:t>.  Out-of-sample testing</w:t>
      </w:r>
      <w:r w:rsidR="0082444E">
        <w:t xml:space="preserve"> can help</w:t>
      </w:r>
      <w:r w:rsidR="0082444E" w:rsidRPr="00050374">
        <w:t xml:space="preserve"> assess how well regressions predict electricity use patterns du</w:t>
      </w:r>
      <w:r w:rsidR="00571881">
        <w:t xml:space="preserve">ring event-like days.  </w:t>
      </w:r>
      <w:r w:rsidR="0082444E" w:rsidRPr="00050374">
        <w:t xml:space="preserve">False experiments test whether the treatment variables </w:t>
      </w:r>
      <w:r w:rsidR="0082444E">
        <w:t xml:space="preserve">are </w:t>
      </w:r>
      <w:r w:rsidR="0082444E" w:rsidRPr="00050374">
        <w:t>confound</w:t>
      </w:r>
      <w:r w:rsidR="0082444E">
        <w:t>ing</w:t>
      </w:r>
      <w:r w:rsidR="0082444E" w:rsidRPr="00050374">
        <w:t xml:space="preserve"> load impacts with other factors under event-like conditions. </w:t>
      </w:r>
      <w:r w:rsidR="00571881">
        <w:t xml:space="preserve"> Ultimately, determining the regression specification is an iterative process that requires paying attention to the ex post results, the ex ante results and the validation</w:t>
      </w:r>
      <w:r w:rsidR="00B57A43">
        <w:t> </w:t>
      </w:r>
      <w:r w:rsidR="00571881">
        <w:t>assessments.</w:t>
      </w:r>
    </w:p>
    <w:p w:rsidR="0082444E" w:rsidRPr="00A67C72" w:rsidRDefault="0082444E" w:rsidP="005C465D">
      <w:pPr>
        <w:pStyle w:val="BodyBeforeBullet"/>
      </w:pPr>
      <w:r>
        <w:t>In summary, t</w:t>
      </w:r>
      <w:r w:rsidRPr="00A67C72">
        <w:t>o ensure that the results are accurate (i.e., unbiased), we:</w:t>
      </w:r>
    </w:p>
    <w:p w:rsidR="0082444E" w:rsidRPr="00A67C72" w:rsidRDefault="0082444E" w:rsidP="005C465D">
      <w:pPr>
        <w:pStyle w:val="Bullets"/>
      </w:pPr>
      <w:r w:rsidRPr="00A67C72">
        <w:t xml:space="preserve">Tested the ability of the regressions to produce accurate out-of-sample estimates for days that </w:t>
      </w:r>
      <w:r>
        <w:t xml:space="preserve">are reasonably similar to </w:t>
      </w:r>
      <w:r w:rsidRPr="00A67C72">
        <w:t>event days;</w:t>
      </w:r>
    </w:p>
    <w:p w:rsidR="0082444E" w:rsidRPr="00A67C72" w:rsidRDefault="0082444E" w:rsidP="005C465D">
      <w:pPr>
        <w:pStyle w:val="Bullets"/>
      </w:pPr>
      <w:r w:rsidRPr="00A67C72">
        <w:lastRenderedPageBreak/>
        <w:t xml:space="preserve">Assessed whether event hours during event-like days were being confounded with error by introducing false event-day </w:t>
      </w:r>
      <w:r w:rsidR="00571881">
        <w:t>variables</w:t>
      </w:r>
      <w:r w:rsidRPr="00A67C72">
        <w:t>;</w:t>
      </w:r>
    </w:p>
    <w:p w:rsidR="0082444E" w:rsidRPr="00A67C72" w:rsidRDefault="0082444E" w:rsidP="005C465D">
      <w:pPr>
        <w:pStyle w:val="Bullets"/>
      </w:pPr>
      <w:r>
        <w:t>Cross-checked results using a</w:t>
      </w:r>
      <w:r w:rsidRPr="00A67C72">
        <w:t xml:space="preserve"> </w:t>
      </w:r>
      <w:r>
        <w:t xml:space="preserve">matched (but </w:t>
      </w:r>
      <w:r w:rsidR="004D26F3">
        <w:t>not randomly assigned</w:t>
      </w:r>
      <w:r>
        <w:t>) control group</w:t>
      </w:r>
      <w:r w:rsidRPr="00A67C72">
        <w:t>;</w:t>
      </w:r>
      <w:r>
        <w:t xml:space="preserve"> and</w:t>
      </w:r>
    </w:p>
    <w:p w:rsidR="0082444E" w:rsidRDefault="0082444E" w:rsidP="005C465D">
      <w:pPr>
        <w:pStyle w:val="Bullets"/>
      </w:pPr>
      <w:r w:rsidRPr="00A67C72">
        <w:t>Compared the within–sample, predictiv</w:t>
      </w:r>
      <w:r>
        <w:t>e accuracy of the regressions in aggregate, by</w:t>
      </w:r>
      <w:r w:rsidRPr="00A67C72">
        <w:t xml:space="preserve"> </w:t>
      </w:r>
      <w:r>
        <w:t>industry</w:t>
      </w:r>
      <w:r w:rsidRPr="00A67C72">
        <w:t xml:space="preserve"> and across hours for high temperature days </w:t>
      </w:r>
      <w:r>
        <w:t>when events were not called.</w:t>
      </w:r>
    </w:p>
    <w:p w:rsidR="0082444E" w:rsidRPr="00A67C72" w:rsidRDefault="0082444E" w:rsidP="0082444E">
      <w:pPr>
        <w:pStyle w:val="Numbers"/>
        <w:numPr>
          <w:ilvl w:val="0"/>
          <w:numId w:val="0"/>
        </w:numPr>
      </w:pPr>
    </w:p>
    <w:p w:rsidR="0082444E" w:rsidRPr="006B1146" w:rsidRDefault="0082444E" w:rsidP="005C465D">
      <w:pPr>
        <w:pStyle w:val="Heading2"/>
      </w:pPr>
      <w:bookmarkStart w:id="51" w:name="_Toc285282262"/>
      <w:bookmarkStart w:id="52" w:name="_Toc285283976"/>
      <w:bookmarkStart w:id="53" w:name="_Toc285282263"/>
      <w:bookmarkStart w:id="54" w:name="_Toc285283977"/>
      <w:bookmarkStart w:id="55" w:name="_Toc326072098"/>
      <w:bookmarkEnd w:id="51"/>
      <w:bookmarkEnd w:id="52"/>
      <w:bookmarkEnd w:id="53"/>
      <w:bookmarkEnd w:id="54"/>
      <w:r w:rsidRPr="006B1146">
        <w:t>Out-of-</w:t>
      </w:r>
      <w:r w:rsidR="006720A1">
        <w:t>s</w:t>
      </w:r>
      <w:r w:rsidRPr="006B1146">
        <w:t>ample and False Event Coefficient Tests</w:t>
      </w:r>
      <w:bookmarkEnd w:id="55"/>
    </w:p>
    <w:p w:rsidR="0082444E" w:rsidRDefault="0082444E" w:rsidP="005C465D">
      <w:pPr>
        <w:pStyle w:val="BodyParagraph"/>
      </w:pPr>
      <w:r w:rsidRPr="006B1146">
        <w:t xml:space="preserve">This section contains a high-level overview of the validation results and their implications.  </w:t>
      </w:r>
      <w:r w:rsidRPr="00571881">
        <w:t>Appendices B, C and D</w:t>
      </w:r>
      <w:r w:rsidRPr="006B1146">
        <w:t xml:space="preserve"> show the detailed results of the validity assessment for all three utilities.  </w:t>
      </w:r>
    </w:p>
    <w:p w:rsidR="0082444E" w:rsidRPr="00050374" w:rsidRDefault="0082444E" w:rsidP="005C465D">
      <w:pPr>
        <w:pStyle w:val="BodyParagraph"/>
      </w:pPr>
      <w:r w:rsidRPr="00050374">
        <w:t>Out-of-sample</w:t>
      </w:r>
      <w:r w:rsidR="00571881">
        <w:t xml:space="preserve"> testing refers to holding back </w:t>
      </w:r>
      <w:r w:rsidRPr="00050374">
        <w:t>event-like days from the model-fitting process in order to test mo</w:t>
      </w:r>
      <w:r>
        <w:t>del accuracy.  The regressions we</w:t>
      </w:r>
      <w:r w:rsidRPr="00050374">
        <w:t xml:space="preserve">re </w:t>
      </w:r>
      <w:r w:rsidR="00E106EC">
        <w:t xml:space="preserve">estimated based on data that excludes </w:t>
      </w:r>
      <w:r w:rsidR="00D06C1B">
        <w:t>five</w:t>
      </w:r>
      <w:r>
        <w:t xml:space="preserve"> of the </w:t>
      </w:r>
      <w:r w:rsidR="00D06C1B">
        <w:t>seven</w:t>
      </w:r>
      <w:r>
        <w:t xml:space="preserve"> hottest</w:t>
      </w:r>
      <w:r w:rsidRPr="00050374">
        <w:t xml:space="preserve"> non-event </w:t>
      </w:r>
      <w:r>
        <w:t>weekdays.  The goal wa</w:t>
      </w:r>
      <w:r w:rsidRPr="00050374">
        <w:t>s to withhold event-like days from the model-fitting or, put differently, to simulate the fact that event days are often the hottest days</w:t>
      </w:r>
      <w:r>
        <w:t>.  The regression models were</w:t>
      </w:r>
      <w:r w:rsidRPr="00050374">
        <w:t xml:space="preserve"> used to predict electricity use on the event-like days that were withheld.  Then </w:t>
      </w:r>
      <w:r>
        <w:t>the</w:t>
      </w:r>
      <w:r w:rsidR="00571881">
        <w:t xml:space="preserve"> model predictions were </w:t>
      </w:r>
      <w:r w:rsidRPr="00050374">
        <w:t>compare</w:t>
      </w:r>
      <w:r>
        <w:t>d</w:t>
      </w:r>
      <w:r w:rsidR="00571881">
        <w:t xml:space="preserve"> directly</w:t>
      </w:r>
      <w:r w:rsidRPr="00050374">
        <w:t xml:space="preserve"> to the actual electricity use observed on those days.  If the predictions </w:t>
      </w:r>
      <w:r w:rsidR="00E106EC">
        <w:t>a</w:t>
      </w:r>
      <w:r w:rsidRPr="00050374">
        <w:t xml:space="preserve">re close to the true load, </w:t>
      </w:r>
      <w:r>
        <w:t>the model is more likely to</w:t>
      </w:r>
      <w:r w:rsidRPr="00050374">
        <w:t xml:space="preserve"> predict accu</w:t>
      </w:r>
      <w:r w:rsidR="00571881">
        <w:t>rately for event-like conditions.</w:t>
      </w:r>
      <w:r>
        <w:t xml:space="preserve">  Because different customers have different amounts of data and because the out-of-sample validation tests were run at the individual customer level, different sets of </w:t>
      </w:r>
      <w:r w:rsidR="00D06C1B">
        <w:t>five-</w:t>
      </w:r>
      <w:r>
        <w:t>days could be selected for each customer.</w:t>
      </w:r>
      <w:r>
        <w:rPr>
          <w:rStyle w:val="FootnoteReference"/>
        </w:rPr>
        <w:footnoteReference w:id="12"/>
      </w:r>
    </w:p>
    <w:p w:rsidR="0082444E" w:rsidRPr="006B1146" w:rsidRDefault="0082444E" w:rsidP="005C465D">
      <w:pPr>
        <w:pStyle w:val="BodyParagraph"/>
      </w:pPr>
      <w:r w:rsidRPr="006B1146">
        <w:t xml:space="preserve">Table 3-2 summarizes the out-of-sample predictive accuracy of the models during days that are similar to actual event days.  For all three utilities, the </w:t>
      </w:r>
      <w:r>
        <w:t>regression models produce</w:t>
      </w:r>
      <w:r w:rsidRPr="006B1146">
        <w:t xml:space="preserve"> accurate estimates of the actual lo</w:t>
      </w:r>
      <w:r>
        <w:t xml:space="preserve">ad during those days.  For </w:t>
      </w:r>
      <w:r w:rsidRPr="006B1146">
        <w:t>PG&amp;E</w:t>
      </w:r>
      <w:r>
        <w:t>, SCE</w:t>
      </w:r>
      <w:r w:rsidRPr="006B1146">
        <w:t xml:space="preserve"> and SDG&amp;E the</w:t>
      </w:r>
      <w:r>
        <w:t xml:space="preserve"> average</w:t>
      </w:r>
      <w:r w:rsidRPr="006B1146">
        <w:t xml:space="preserve"> difference</w:t>
      </w:r>
      <w:r>
        <w:t>s</w:t>
      </w:r>
      <w:r w:rsidRPr="006B1146">
        <w:t xml:space="preserve"> between predicted and actual values across the event window</w:t>
      </w:r>
      <w:r>
        <w:t>s are</w:t>
      </w:r>
      <w:r w:rsidRPr="006B1146">
        <w:t xml:space="preserve"> </w:t>
      </w:r>
      <w:r>
        <w:t xml:space="preserve">-1.1%, </w:t>
      </w:r>
      <w:r w:rsidR="00571881">
        <w:t>-</w:t>
      </w:r>
      <w:r>
        <w:t>1.0% and 0.2%, respectively.</w:t>
      </w:r>
    </w:p>
    <w:p w:rsidR="00724997" w:rsidRDefault="00724997">
      <w:pPr>
        <w:rPr>
          <w:rFonts w:ascii="Arial" w:hAnsi="Arial"/>
          <w:b/>
        </w:rPr>
      </w:pPr>
      <w:r>
        <w:br w:type="page"/>
      </w:r>
    </w:p>
    <w:p w:rsidR="0082444E" w:rsidRDefault="0082444E" w:rsidP="005C465D">
      <w:pPr>
        <w:pStyle w:val="TableFigureCaption"/>
      </w:pPr>
      <w:r w:rsidRPr="006B1146">
        <w:lastRenderedPageBreak/>
        <w:t>Table 3-2</w:t>
      </w:r>
      <w:r w:rsidR="005C465D">
        <w:t xml:space="preserve">: </w:t>
      </w:r>
      <w:r w:rsidRPr="006B1146">
        <w:t>Out-of-</w:t>
      </w:r>
      <w:r w:rsidR="00D06C1B">
        <w:t>s</w:t>
      </w:r>
      <w:r w:rsidRPr="006B1146">
        <w:t>ample Predictive Accuracy for Proxy Event Days</w:t>
      </w:r>
    </w:p>
    <w:tbl>
      <w:tblPr>
        <w:tblW w:w="10280" w:type="dxa"/>
        <w:jc w:val="center"/>
        <w:tblLook w:val="04A0"/>
      </w:tblPr>
      <w:tblGrid>
        <w:gridCol w:w="960"/>
        <w:gridCol w:w="960"/>
        <w:gridCol w:w="1128"/>
        <w:gridCol w:w="1195"/>
        <w:gridCol w:w="880"/>
        <w:gridCol w:w="1128"/>
        <w:gridCol w:w="1195"/>
        <w:gridCol w:w="940"/>
        <w:gridCol w:w="1220"/>
        <w:gridCol w:w="1195"/>
      </w:tblGrid>
      <w:tr w:rsidR="0082444E" w:rsidRPr="00162891" w:rsidTr="000577B8">
        <w:trPr>
          <w:trHeight w:val="300"/>
          <w:tblHeader/>
          <w:jc w:val="center"/>
        </w:trPr>
        <w:tc>
          <w:tcPr>
            <w:tcW w:w="960" w:type="dxa"/>
            <w:vMerge w:val="restart"/>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82444E" w:rsidRPr="00162891" w:rsidRDefault="0082444E" w:rsidP="006720A1">
            <w:pPr>
              <w:pStyle w:val="TableHeader"/>
            </w:pPr>
            <w:r w:rsidRPr="00162891">
              <w:t>Hour</w:t>
            </w:r>
          </w:p>
        </w:tc>
        <w:tc>
          <w:tcPr>
            <w:tcW w:w="3060" w:type="dxa"/>
            <w:gridSpan w:val="3"/>
            <w:tcBorders>
              <w:top w:val="single" w:sz="4" w:space="0" w:color="auto"/>
              <w:left w:val="nil"/>
              <w:bottom w:val="single" w:sz="4" w:space="0" w:color="FFFFFF"/>
              <w:right w:val="single" w:sz="4" w:space="0" w:color="FFFFFF"/>
            </w:tcBorders>
            <w:shd w:val="clear" w:color="auto" w:fill="1F497D" w:themeFill="text2"/>
            <w:vAlign w:val="center"/>
            <w:hideMark/>
          </w:tcPr>
          <w:p w:rsidR="0082444E" w:rsidRPr="00162891" w:rsidRDefault="0082444E" w:rsidP="006720A1">
            <w:pPr>
              <w:pStyle w:val="TableHeader"/>
            </w:pPr>
            <w:r w:rsidRPr="00162891">
              <w:t>PG&amp;E</w:t>
            </w:r>
          </w:p>
        </w:tc>
        <w:tc>
          <w:tcPr>
            <w:tcW w:w="2980" w:type="dxa"/>
            <w:gridSpan w:val="3"/>
            <w:tcBorders>
              <w:top w:val="single" w:sz="4" w:space="0" w:color="auto"/>
              <w:left w:val="nil"/>
              <w:bottom w:val="single" w:sz="4" w:space="0" w:color="FFFFFF"/>
              <w:right w:val="single" w:sz="4" w:space="0" w:color="FFFFFF"/>
            </w:tcBorders>
            <w:shd w:val="clear" w:color="auto" w:fill="1F497D" w:themeFill="text2"/>
            <w:vAlign w:val="center"/>
            <w:hideMark/>
          </w:tcPr>
          <w:p w:rsidR="0082444E" w:rsidRPr="00162891" w:rsidRDefault="0082444E" w:rsidP="006720A1">
            <w:pPr>
              <w:pStyle w:val="TableHeader"/>
            </w:pPr>
            <w:r w:rsidRPr="00162891">
              <w:t>SCE</w:t>
            </w:r>
          </w:p>
        </w:tc>
        <w:tc>
          <w:tcPr>
            <w:tcW w:w="3280" w:type="dxa"/>
            <w:gridSpan w:val="3"/>
            <w:tcBorders>
              <w:top w:val="single" w:sz="4" w:space="0" w:color="auto"/>
              <w:left w:val="nil"/>
              <w:bottom w:val="single" w:sz="4" w:space="0" w:color="FFFFFF"/>
              <w:right w:val="single" w:sz="4" w:space="0" w:color="000000"/>
            </w:tcBorders>
            <w:shd w:val="clear" w:color="auto" w:fill="1F497D" w:themeFill="text2"/>
            <w:vAlign w:val="center"/>
            <w:hideMark/>
          </w:tcPr>
          <w:p w:rsidR="0082444E" w:rsidRPr="00162891" w:rsidRDefault="0082444E" w:rsidP="006720A1">
            <w:pPr>
              <w:pStyle w:val="TableHeader"/>
            </w:pPr>
            <w:r w:rsidRPr="00162891">
              <w:t>SDG&amp;E</w:t>
            </w:r>
          </w:p>
        </w:tc>
      </w:tr>
      <w:tr w:rsidR="0082444E" w:rsidRPr="00162891" w:rsidTr="000577B8">
        <w:trPr>
          <w:trHeight w:val="525"/>
          <w:tblHeader/>
          <w:jc w:val="center"/>
        </w:trPr>
        <w:tc>
          <w:tcPr>
            <w:tcW w:w="960" w:type="dxa"/>
            <w:vMerge/>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82444E" w:rsidRPr="00162891" w:rsidRDefault="0082444E" w:rsidP="006720A1">
            <w:pPr>
              <w:pStyle w:val="TableHeader"/>
            </w:pPr>
          </w:p>
        </w:tc>
        <w:tc>
          <w:tcPr>
            <w:tcW w:w="96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Actual kW</w:t>
            </w:r>
          </w:p>
        </w:tc>
        <w:tc>
          <w:tcPr>
            <w:tcW w:w="102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Predicted kW</w:t>
            </w:r>
          </w:p>
        </w:tc>
        <w:tc>
          <w:tcPr>
            <w:tcW w:w="108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 Difference</w:t>
            </w:r>
          </w:p>
        </w:tc>
        <w:tc>
          <w:tcPr>
            <w:tcW w:w="88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Actual kW</w:t>
            </w:r>
          </w:p>
        </w:tc>
        <w:tc>
          <w:tcPr>
            <w:tcW w:w="102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Predicted kW</w:t>
            </w:r>
          </w:p>
        </w:tc>
        <w:tc>
          <w:tcPr>
            <w:tcW w:w="108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 Difference</w:t>
            </w:r>
          </w:p>
        </w:tc>
        <w:tc>
          <w:tcPr>
            <w:tcW w:w="94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Actual kW</w:t>
            </w:r>
          </w:p>
        </w:tc>
        <w:tc>
          <w:tcPr>
            <w:tcW w:w="1220" w:type="dxa"/>
            <w:tcBorders>
              <w:top w:val="nil"/>
              <w:left w:val="nil"/>
              <w:bottom w:val="single" w:sz="4" w:space="0" w:color="auto"/>
              <w:right w:val="single" w:sz="4" w:space="0" w:color="FFFFFF"/>
            </w:tcBorders>
            <w:shd w:val="clear" w:color="auto" w:fill="1F497D" w:themeFill="text2"/>
            <w:vAlign w:val="center"/>
            <w:hideMark/>
          </w:tcPr>
          <w:p w:rsidR="0082444E" w:rsidRPr="00162891" w:rsidRDefault="0082444E" w:rsidP="006720A1">
            <w:pPr>
              <w:pStyle w:val="TableHeader"/>
            </w:pPr>
            <w:r w:rsidRPr="00162891">
              <w:t>Predicted kW</w:t>
            </w:r>
          </w:p>
        </w:tc>
        <w:tc>
          <w:tcPr>
            <w:tcW w:w="1120" w:type="dxa"/>
            <w:tcBorders>
              <w:top w:val="nil"/>
              <w:left w:val="nil"/>
              <w:bottom w:val="single" w:sz="4" w:space="0" w:color="auto"/>
              <w:right w:val="single" w:sz="4" w:space="0" w:color="auto"/>
            </w:tcBorders>
            <w:shd w:val="clear" w:color="auto" w:fill="1F497D" w:themeFill="text2"/>
            <w:vAlign w:val="center"/>
            <w:hideMark/>
          </w:tcPr>
          <w:p w:rsidR="0082444E" w:rsidRPr="00162891" w:rsidRDefault="0082444E" w:rsidP="006720A1">
            <w:pPr>
              <w:pStyle w:val="TableHeader"/>
            </w:pPr>
            <w:r w:rsidRPr="00162891">
              <w:t>% Difference</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186.0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183.0</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132.5</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130.4</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165.7</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166.6</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0.5%</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181.6</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178.8</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128.8</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126.6</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159.9</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159.9</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0.0%</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178.9</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176.7</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125.1</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123.0</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156.1</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156.1</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0.0%</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4</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180.1</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176.7</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125.1</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123.0</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155.6</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155.7</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0.0%</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5</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190.3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185.3</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-2.6%</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132.9</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130.4</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163.1</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162.1</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-0.6%</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6</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207.7</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201.8</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-2.9%</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153.0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149.9</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179.9</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179.7</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-0.1%</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7</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235.7</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226.9</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-3.7%</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180.0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176.1</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200.5</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199.4</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-0.6%</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8</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261.4</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251.2</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-3.9%</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201.9</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198.0</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221.7</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219.8</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-0.8%</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9</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279.9</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272.5</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-2.6%</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217.0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214.5</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241.0</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238.5</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-1.0%</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10</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294.8</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289.0</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228.3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225.9</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-1.1%</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256.4</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255.0</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-0.5%</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11</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307.3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302.5</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238.5</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235.9</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-1.1%</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270.0</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269.1</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-0.3%</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310.3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306.2</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241.4</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239.1</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-1.0%</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275.1</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275.9</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0.3%</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309.0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305.6</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-1.1%</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240.3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238.3</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-0.8%</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276.8</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277.7</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0.3%</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14</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310.8</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308.1</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-0.9%</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242.5</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240.7</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-0.7%</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278.7</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278.3</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-0.1%</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w:t>
            </w:r>
          </w:p>
        </w:tc>
        <w:tc>
          <w:tcPr>
            <w:tcW w:w="96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306.9</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303.8</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-1.0%</w:t>
            </w:r>
          </w:p>
        </w:tc>
        <w:tc>
          <w:tcPr>
            <w:tcW w:w="8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237.7</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236.1</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-0.7%</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276.3</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276.3</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0.0%</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96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296.1</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293.1</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-1.0%</w:t>
            </w:r>
          </w:p>
        </w:tc>
        <w:tc>
          <w:tcPr>
            <w:tcW w:w="8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226.6</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224.5</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-0.9%</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268.6</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269.0</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0.2%</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w:t>
            </w:r>
          </w:p>
        </w:tc>
        <w:tc>
          <w:tcPr>
            <w:tcW w:w="96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282.0</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279.0</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-1.1%</w:t>
            </w:r>
          </w:p>
        </w:tc>
        <w:tc>
          <w:tcPr>
            <w:tcW w:w="8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211.5</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209.0</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-1.2%</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259.1</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259.8</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0.3%</w:t>
            </w:r>
          </w:p>
        </w:tc>
      </w:tr>
      <w:tr w:rsidR="0082444E" w:rsidRPr="00162891" w:rsidTr="00342F5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w:t>
            </w:r>
          </w:p>
        </w:tc>
        <w:tc>
          <w:tcPr>
            <w:tcW w:w="96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265.3</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261.8</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-1.3%</w:t>
            </w:r>
          </w:p>
        </w:tc>
        <w:tc>
          <w:tcPr>
            <w:tcW w:w="8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196.2</w:t>
            </w:r>
          </w:p>
        </w:tc>
        <w:tc>
          <w:tcPr>
            <w:tcW w:w="10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193.7</w:t>
            </w:r>
          </w:p>
        </w:tc>
        <w:tc>
          <w:tcPr>
            <w:tcW w:w="108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-1.3%</w:t>
            </w:r>
          </w:p>
        </w:tc>
        <w:tc>
          <w:tcPr>
            <w:tcW w:w="94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245.1</w:t>
            </w:r>
          </w:p>
        </w:tc>
        <w:tc>
          <w:tcPr>
            <w:tcW w:w="12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245.4</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82444E" w:rsidRPr="00162891" w:rsidRDefault="0082444E" w:rsidP="006720A1">
            <w:pPr>
              <w:pStyle w:val="TableText"/>
              <w:jc w:val="center"/>
            </w:pPr>
            <w:r w:rsidRPr="00162891">
              <w:t>0.1%</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246.3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243.7</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-1.1%</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183.3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180.8</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228.0</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227.9</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-0.1%</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237.4</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234.5</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177.3</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175.1</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-1.2%</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219.0</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218.0</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-0.4%</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230.9</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226.8</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171.4</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168.9</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210.9</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210.8</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-0.1%</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22</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218.8</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215.4</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162.0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159.5</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-1.5%</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198.2</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197.7</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-0.3%</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23</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207.5</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204.3</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149.4</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147.1</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-1.6%</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188.2</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188.1</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-0.1%</w:t>
            </w:r>
          </w:p>
        </w:tc>
      </w:tr>
      <w:tr w:rsidR="0082444E" w:rsidRPr="00162891" w:rsidTr="006720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24</w:t>
            </w:r>
          </w:p>
        </w:tc>
        <w:tc>
          <w:tcPr>
            <w:tcW w:w="96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199.0</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195.2</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-1.9%</w:t>
            </w:r>
          </w:p>
        </w:tc>
        <w:tc>
          <w:tcPr>
            <w:tcW w:w="8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142.1</w:t>
            </w:r>
          </w:p>
        </w:tc>
        <w:tc>
          <w:tcPr>
            <w:tcW w:w="10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139.7</w:t>
            </w:r>
          </w:p>
        </w:tc>
        <w:tc>
          <w:tcPr>
            <w:tcW w:w="108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w:t>
            </w:r>
          </w:p>
        </w:tc>
        <w:tc>
          <w:tcPr>
            <w:tcW w:w="94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181.4</w:t>
            </w:r>
          </w:p>
        </w:tc>
        <w:tc>
          <w:tcPr>
            <w:tcW w:w="12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179.4</w:t>
            </w:r>
          </w:p>
        </w:tc>
        <w:tc>
          <w:tcPr>
            <w:tcW w:w="1120" w:type="dxa"/>
            <w:tcBorders>
              <w:top w:val="nil"/>
              <w:left w:val="nil"/>
              <w:bottom w:val="single" w:sz="4" w:space="0" w:color="auto"/>
              <w:right w:val="single" w:sz="4" w:space="0" w:color="auto"/>
            </w:tcBorders>
            <w:shd w:val="clear" w:color="auto" w:fill="auto"/>
            <w:noWrap/>
            <w:vAlign w:val="bottom"/>
            <w:hideMark/>
          </w:tcPr>
          <w:p w:rsidR="0082444E" w:rsidRPr="00162891" w:rsidRDefault="0082444E" w:rsidP="006720A1">
            <w:pPr>
              <w:pStyle w:val="TableText"/>
              <w:jc w:val="center"/>
            </w:pPr>
            <w:r w:rsidRPr="00162891">
              <w:t>-1.1%</w:t>
            </w:r>
          </w:p>
        </w:tc>
      </w:tr>
    </w:tbl>
    <w:p w:rsidR="0082444E" w:rsidRPr="000C06BA" w:rsidRDefault="0082444E" w:rsidP="005C465D">
      <w:pPr>
        <w:pStyle w:val="BodyParaAfterTableFigure"/>
      </w:pPr>
      <w:r w:rsidRPr="000C06BA">
        <w:t xml:space="preserve">In addition to testing out-of-sample predictive accuracy, false event day variables were included </w:t>
      </w:r>
      <w:r w:rsidR="00571881">
        <w:t>on</w:t>
      </w:r>
      <w:r w:rsidRPr="000C06BA">
        <w:t xml:space="preserve"> event-like days to determine if error is being confounded with critical peak pricing conditions.  The coefficients for false event-day variables should be insignificant an</w:t>
      </w:r>
      <w:r>
        <w:t xml:space="preserve">d centered </w:t>
      </w:r>
      <w:proofErr w:type="gramStart"/>
      <w:r>
        <w:t>around</w:t>
      </w:r>
      <w:proofErr w:type="gramEnd"/>
      <w:r>
        <w:t xml:space="preserve"> zero.  If the coefficients on the</w:t>
      </w:r>
      <w:r w:rsidRPr="000C06BA">
        <w:t xml:space="preserve"> false event-day variables impact actual electricity use by close to 0%, it is reasonable to conclude that error is not being confounded with treatment effects and that the model is specified correctly.  </w:t>
      </w:r>
      <w:r>
        <w:t>C</w:t>
      </w:r>
      <w:r w:rsidRPr="000C06BA">
        <w:t xml:space="preserve">oefficients are sometimes significant due to the large number of observations </w:t>
      </w:r>
      <w:r w:rsidRPr="000C06BA">
        <w:lastRenderedPageBreak/>
        <w:t>analyzed,</w:t>
      </w:r>
      <w:r w:rsidRPr="000C06BA">
        <w:rPr>
          <w:rStyle w:val="FootnoteReference"/>
          <w:rFonts w:cs="Arial"/>
          <w:color w:val="000000"/>
        </w:rPr>
        <w:footnoteReference w:id="13"/>
      </w:r>
      <w:r w:rsidRPr="000C06BA">
        <w:t xml:space="preserve"> so </w:t>
      </w:r>
      <w:r>
        <w:t>it is more reasonable to look at the</w:t>
      </w:r>
      <w:r w:rsidRPr="000C06BA">
        <w:t xml:space="preserve"> percent by which the false event day coefficients impact actual electricity use.  </w:t>
      </w:r>
    </w:p>
    <w:p w:rsidR="0082444E" w:rsidRPr="00990001" w:rsidRDefault="0082444E" w:rsidP="005C465D">
      <w:pPr>
        <w:pStyle w:val="BodyParagraph"/>
      </w:pPr>
      <w:r w:rsidRPr="00990001">
        <w:t xml:space="preserve">Table 3-3 </w:t>
      </w:r>
      <w:r>
        <w:t>indicates the</w:t>
      </w:r>
      <w:r w:rsidRPr="00990001">
        <w:t xml:space="preserve"> </w:t>
      </w:r>
      <w:r w:rsidR="004D26F3">
        <w:t xml:space="preserve">degree of </w:t>
      </w:r>
      <w:r w:rsidRPr="00990001">
        <w:t>bias</w:t>
      </w:r>
      <w:r>
        <w:t xml:space="preserve"> that</w:t>
      </w:r>
      <w:r w:rsidRPr="00990001">
        <w:t xml:space="preserve"> exists in the false event-day coefficients during event</w:t>
      </w:r>
      <w:r w:rsidR="00571881">
        <w:t>-like</w:t>
      </w:r>
      <w:r w:rsidRPr="00990001">
        <w:t xml:space="preserve"> hours.  The default assumption is that the false event day and hour interactions should have close to 0% impact on the dependent variable, otherwise there is evidence that event hours are correlated with the error term.  </w:t>
      </w:r>
      <w:r>
        <w:t>For PG&amp;E</w:t>
      </w:r>
      <w:r w:rsidRPr="00990001">
        <w:t>, the coefficients on the estimated false event day and hour inte</w:t>
      </w:r>
      <w:r>
        <w:t>ractions bias actual kWh by 1.3%.  For SCE, the bias is 1.8%.  SDG&amp;E shows the smallest degree of bias at</w:t>
      </w:r>
      <w:r w:rsidR="005C465D">
        <w:t> </w:t>
      </w:r>
      <w:r>
        <w:t>0.5%.</w:t>
      </w:r>
    </w:p>
    <w:p w:rsidR="0082444E" w:rsidRDefault="0082444E" w:rsidP="005C465D">
      <w:pPr>
        <w:pStyle w:val="TableFigureCaption"/>
      </w:pPr>
      <w:r w:rsidRPr="00990001">
        <w:t>Table 3-3:</w:t>
      </w:r>
      <w:r w:rsidR="005C465D">
        <w:t xml:space="preserve"> </w:t>
      </w:r>
      <w:r w:rsidRPr="00990001">
        <w:t>False Event Coefficient Tests</w:t>
      </w:r>
    </w:p>
    <w:tbl>
      <w:tblPr>
        <w:tblW w:w="4435" w:type="dxa"/>
        <w:jc w:val="center"/>
        <w:tblLook w:val="04A0"/>
      </w:tblPr>
      <w:tblGrid>
        <w:gridCol w:w="1555"/>
        <w:gridCol w:w="960"/>
        <w:gridCol w:w="960"/>
        <w:gridCol w:w="960"/>
      </w:tblGrid>
      <w:tr w:rsidR="0082444E" w:rsidRPr="0070757B" w:rsidTr="000577B8">
        <w:trPr>
          <w:trHeight w:val="300"/>
          <w:jc w:val="center"/>
        </w:trPr>
        <w:tc>
          <w:tcPr>
            <w:tcW w:w="1555" w:type="dxa"/>
            <w:vMerge w:val="restart"/>
            <w:tcBorders>
              <w:top w:val="single" w:sz="4" w:space="0" w:color="auto"/>
              <w:left w:val="single" w:sz="4" w:space="0" w:color="auto"/>
              <w:bottom w:val="single" w:sz="4" w:space="0" w:color="000000"/>
              <w:right w:val="single" w:sz="4" w:space="0" w:color="FFFFFF"/>
            </w:tcBorders>
            <w:shd w:val="clear" w:color="auto" w:fill="1F497D" w:themeFill="text2"/>
            <w:noWrap/>
            <w:vAlign w:val="center"/>
            <w:hideMark/>
          </w:tcPr>
          <w:p w:rsidR="0082444E" w:rsidRPr="0070757B" w:rsidRDefault="0082444E" w:rsidP="006720A1">
            <w:pPr>
              <w:pStyle w:val="TableHeader"/>
            </w:pPr>
            <w:r w:rsidRPr="0070757B">
              <w:t>Event hour</w:t>
            </w:r>
          </w:p>
        </w:tc>
        <w:tc>
          <w:tcPr>
            <w:tcW w:w="960" w:type="dxa"/>
            <w:tcBorders>
              <w:top w:val="single" w:sz="4" w:space="0" w:color="auto"/>
              <w:left w:val="nil"/>
              <w:bottom w:val="single" w:sz="4" w:space="0" w:color="FFFFFF"/>
              <w:right w:val="single" w:sz="4" w:space="0" w:color="FFFFFF"/>
            </w:tcBorders>
            <w:shd w:val="clear" w:color="auto" w:fill="1F497D" w:themeFill="text2"/>
            <w:noWrap/>
            <w:vAlign w:val="center"/>
            <w:hideMark/>
          </w:tcPr>
          <w:p w:rsidR="0082444E" w:rsidRPr="0070757B" w:rsidRDefault="0082444E" w:rsidP="006720A1">
            <w:pPr>
              <w:pStyle w:val="TableHeader"/>
            </w:pPr>
            <w:r w:rsidRPr="0070757B">
              <w:t>PG&amp;E</w:t>
            </w:r>
          </w:p>
        </w:tc>
        <w:tc>
          <w:tcPr>
            <w:tcW w:w="960" w:type="dxa"/>
            <w:tcBorders>
              <w:top w:val="single" w:sz="4" w:space="0" w:color="auto"/>
              <w:left w:val="nil"/>
              <w:bottom w:val="single" w:sz="4" w:space="0" w:color="FFFFFF"/>
              <w:right w:val="single" w:sz="4" w:space="0" w:color="FFFFFF"/>
            </w:tcBorders>
            <w:shd w:val="clear" w:color="auto" w:fill="1F497D" w:themeFill="text2"/>
            <w:noWrap/>
            <w:vAlign w:val="center"/>
            <w:hideMark/>
          </w:tcPr>
          <w:p w:rsidR="0082444E" w:rsidRPr="0070757B" w:rsidRDefault="0082444E" w:rsidP="006720A1">
            <w:pPr>
              <w:pStyle w:val="TableHeader"/>
            </w:pPr>
            <w:r w:rsidRPr="0070757B">
              <w:t>SCE</w:t>
            </w:r>
          </w:p>
        </w:tc>
        <w:tc>
          <w:tcPr>
            <w:tcW w:w="960" w:type="dxa"/>
            <w:tcBorders>
              <w:top w:val="single" w:sz="4" w:space="0" w:color="auto"/>
              <w:left w:val="nil"/>
              <w:bottom w:val="single" w:sz="4" w:space="0" w:color="FFFFFF"/>
              <w:right w:val="single" w:sz="4" w:space="0" w:color="auto"/>
            </w:tcBorders>
            <w:shd w:val="clear" w:color="auto" w:fill="1F497D" w:themeFill="text2"/>
            <w:noWrap/>
            <w:vAlign w:val="center"/>
            <w:hideMark/>
          </w:tcPr>
          <w:p w:rsidR="0082444E" w:rsidRPr="0070757B" w:rsidRDefault="0082444E" w:rsidP="006720A1">
            <w:pPr>
              <w:pStyle w:val="TableHeader"/>
            </w:pPr>
            <w:r w:rsidRPr="0070757B">
              <w:t>SDG&amp;E</w:t>
            </w:r>
          </w:p>
        </w:tc>
      </w:tr>
      <w:tr w:rsidR="0082444E" w:rsidRPr="0070757B" w:rsidTr="000577B8">
        <w:trPr>
          <w:trHeight w:val="300"/>
          <w:jc w:val="center"/>
        </w:trPr>
        <w:tc>
          <w:tcPr>
            <w:tcW w:w="1555" w:type="dxa"/>
            <w:vMerge/>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82444E" w:rsidRPr="0070757B" w:rsidRDefault="0082444E" w:rsidP="006720A1">
            <w:pPr>
              <w:pStyle w:val="TableHeader"/>
            </w:pPr>
          </w:p>
        </w:tc>
        <w:tc>
          <w:tcPr>
            <w:tcW w:w="960" w:type="dxa"/>
            <w:tcBorders>
              <w:top w:val="nil"/>
              <w:left w:val="nil"/>
              <w:bottom w:val="single" w:sz="4" w:space="0" w:color="auto"/>
              <w:right w:val="single" w:sz="4" w:space="0" w:color="FFFFFF"/>
            </w:tcBorders>
            <w:shd w:val="clear" w:color="auto" w:fill="1F497D" w:themeFill="text2"/>
            <w:noWrap/>
            <w:vAlign w:val="bottom"/>
            <w:hideMark/>
          </w:tcPr>
          <w:p w:rsidR="0082444E" w:rsidRPr="0070757B" w:rsidRDefault="0082444E" w:rsidP="006720A1">
            <w:pPr>
              <w:pStyle w:val="TableHeader"/>
            </w:pPr>
            <w:r w:rsidRPr="0070757B">
              <w:t>% Bias</w:t>
            </w:r>
          </w:p>
        </w:tc>
        <w:tc>
          <w:tcPr>
            <w:tcW w:w="960" w:type="dxa"/>
            <w:tcBorders>
              <w:top w:val="nil"/>
              <w:left w:val="nil"/>
              <w:bottom w:val="single" w:sz="4" w:space="0" w:color="auto"/>
              <w:right w:val="single" w:sz="4" w:space="0" w:color="FFFFFF"/>
            </w:tcBorders>
            <w:shd w:val="clear" w:color="auto" w:fill="1F497D" w:themeFill="text2"/>
            <w:noWrap/>
            <w:vAlign w:val="bottom"/>
            <w:hideMark/>
          </w:tcPr>
          <w:p w:rsidR="0082444E" w:rsidRPr="0070757B" w:rsidRDefault="0082444E" w:rsidP="006720A1">
            <w:pPr>
              <w:pStyle w:val="TableHeader"/>
            </w:pPr>
            <w:r w:rsidRPr="0070757B">
              <w:t>% Bias</w:t>
            </w:r>
          </w:p>
        </w:tc>
        <w:tc>
          <w:tcPr>
            <w:tcW w:w="960" w:type="dxa"/>
            <w:tcBorders>
              <w:top w:val="nil"/>
              <w:left w:val="nil"/>
              <w:bottom w:val="single" w:sz="4" w:space="0" w:color="auto"/>
              <w:right w:val="single" w:sz="4" w:space="0" w:color="auto"/>
            </w:tcBorders>
            <w:shd w:val="clear" w:color="auto" w:fill="1F497D" w:themeFill="text2"/>
            <w:noWrap/>
            <w:vAlign w:val="bottom"/>
            <w:hideMark/>
          </w:tcPr>
          <w:p w:rsidR="0082444E" w:rsidRPr="0070757B" w:rsidRDefault="0082444E" w:rsidP="006720A1">
            <w:pPr>
              <w:pStyle w:val="TableHeader"/>
            </w:pPr>
            <w:r w:rsidRPr="0070757B">
              <w:t>% Bias</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11 AM to 12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0.5%</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12 PM to 1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0.4%</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 PM to 2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0.9%</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2 PM to 3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1.1%</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1.7%</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0.8%</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3 PM to 4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1.2%</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1.9%</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0.5%</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4PM to 5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1.3%</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2.0%</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0.2%</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5 PM to 6 PM</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1.5%</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1.7%</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0.3%</w:t>
            </w:r>
          </w:p>
        </w:tc>
      </w:tr>
      <w:tr w:rsidR="0082444E" w:rsidRPr="0070757B" w:rsidTr="000577B8">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Total</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1.3%</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1.8%</w:t>
            </w:r>
          </w:p>
        </w:tc>
        <w:tc>
          <w:tcPr>
            <w:tcW w:w="960" w:type="dxa"/>
            <w:tcBorders>
              <w:top w:val="nil"/>
              <w:left w:val="nil"/>
              <w:bottom w:val="single" w:sz="4" w:space="0" w:color="auto"/>
              <w:right w:val="single" w:sz="4" w:space="0" w:color="auto"/>
            </w:tcBorders>
            <w:shd w:val="clear" w:color="auto" w:fill="auto"/>
            <w:noWrap/>
            <w:vAlign w:val="center"/>
            <w:hideMark/>
          </w:tcPr>
          <w:p w:rsidR="0082444E" w:rsidRPr="0070757B" w:rsidRDefault="0082444E" w:rsidP="006720A1">
            <w:pPr>
              <w:pStyle w:val="TableText"/>
              <w:jc w:val="center"/>
            </w:pPr>
            <w:r w:rsidRPr="0070757B">
              <w:t>0.5%</w:t>
            </w:r>
          </w:p>
        </w:tc>
      </w:tr>
    </w:tbl>
    <w:p w:rsidR="0082444E" w:rsidRDefault="0082444E" w:rsidP="005C465D">
      <w:pPr>
        <w:pStyle w:val="Heading2"/>
        <w:spacing w:before="360"/>
      </w:pPr>
      <w:bookmarkStart w:id="56" w:name="_Toc326072099"/>
      <w:r>
        <w:t>Summary of Control Group Analysis</w:t>
      </w:r>
      <w:bookmarkEnd w:id="56"/>
    </w:p>
    <w:p w:rsidR="0082444E" w:rsidRDefault="00E106EC" w:rsidP="005C465D">
      <w:pPr>
        <w:pStyle w:val="BodyParagraph"/>
      </w:pPr>
      <w:r>
        <w:t xml:space="preserve">Another approach to validation is to compare estimates based on individual customer regressions with alternative values developed using a matched control group to develop reference loads.  </w:t>
      </w:r>
      <w:r w:rsidR="0082444E">
        <w:t xml:space="preserve">To create the control group load profiles, FSC used propensity score matching to select control group customers and a difference-in-differences </w:t>
      </w:r>
      <w:r>
        <w:t xml:space="preserve">calculation </w:t>
      </w:r>
      <w:r w:rsidR="0082444E">
        <w:t>to refine the control group load shapes</w:t>
      </w:r>
      <w:r w:rsidR="004D26F3">
        <w:t>, and net out non-event day differences</w:t>
      </w:r>
      <w:r w:rsidR="0082444E">
        <w:t>.  P</w:t>
      </w:r>
      <w:r w:rsidR="0082444E" w:rsidRPr="00104C07">
        <w:t>G&amp;E provided int</w:t>
      </w:r>
      <w:r w:rsidR="0082444E">
        <w:t>erval data for approximately 4,000</w:t>
      </w:r>
      <w:r w:rsidR="0082444E" w:rsidRPr="00104C07">
        <w:t xml:space="preserve"> opt-o</w:t>
      </w:r>
      <w:r w:rsidR="0082444E">
        <w:t>ut TOU customers</w:t>
      </w:r>
      <w:r w:rsidR="00FC7601">
        <w:t>, SCE provided interval data for approximately 3,000 opt-out TOU customers</w:t>
      </w:r>
      <w:r w:rsidR="0082444E">
        <w:t xml:space="preserve"> and SDG&amp;E provided interval data for approximately 800 opt-out TOU customers.  </w:t>
      </w:r>
    </w:p>
    <w:p w:rsidR="0082444E" w:rsidRDefault="0082444E" w:rsidP="005C465D">
      <w:pPr>
        <w:pStyle w:val="BodyParagraph"/>
      </w:pPr>
      <w:r>
        <w:t xml:space="preserve">Propensity score matching is </w:t>
      </w:r>
      <w:r w:rsidR="00342F5E">
        <w:t>way to identify statistical look-alikes from a pool of candidate control group customers.  The approach mode</w:t>
      </w:r>
      <w:r w:rsidR="000B20BF">
        <w:t>ls</w:t>
      </w:r>
      <w:r w:rsidR="00342F5E">
        <w:t xml:space="preserve"> different observable factors that explain who participates in the program and reduces a</w:t>
      </w:r>
      <w:r>
        <w:t xml:space="preserve"> number of </w:t>
      </w:r>
      <w:r w:rsidR="00342F5E">
        <w:t xml:space="preserve">observable </w:t>
      </w:r>
      <w:r>
        <w:t xml:space="preserve">variables </w:t>
      </w:r>
      <w:r w:rsidR="00CA3D06">
        <w:t xml:space="preserve">to </w:t>
      </w:r>
      <w:r>
        <w:t xml:space="preserve">a single score.  Control and treatment group customers are matched based on this score.  The difference-in-differences approach was driven by reasonable assumptions concerning how to refine opt-out TOU customer load shapes to better match CPP customer load shapes.  </w:t>
      </w:r>
      <w:r w:rsidR="004D26F3">
        <w:t>In the first step, we estimated the difference</w:t>
      </w:r>
      <w:r w:rsidR="00380AC9">
        <w:t xml:space="preserve"> in hourly loads</w:t>
      </w:r>
      <w:r w:rsidR="004D26F3">
        <w:t xml:space="preserve"> between the </w:t>
      </w:r>
      <w:r w:rsidR="00380AC9">
        <w:t xml:space="preserve">CPP </w:t>
      </w:r>
      <w:r w:rsidR="004D26F3">
        <w:t xml:space="preserve">and </w:t>
      </w:r>
      <w:r w:rsidR="00380AC9">
        <w:t xml:space="preserve">TOU groups </w:t>
      </w:r>
      <w:r w:rsidR="004D26F3">
        <w:t xml:space="preserve">when both </w:t>
      </w:r>
      <w:r w:rsidR="00380AC9">
        <w:t xml:space="preserve">sets of </w:t>
      </w:r>
      <w:r w:rsidR="004D26F3">
        <w:t>customers faced identical rates (Nov-May).</w:t>
      </w:r>
      <w:r w:rsidR="00380AC9">
        <w:t xml:space="preserve">  This was done for five different temperature bins, as defined by Cooling Degree Days. </w:t>
      </w:r>
      <w:r w:rsidR="00D06C1B">
        <w:t xml:space="preserve"> </w:t>
      </w:r>
      <w:r w:rsidR="004D26F3">
        <w:t>In the second step,</w:t>
      </w:r>
      <w:r w:rsidR="00D06C1B">
        <w:t xml:space="preserve"> </w:t>
      </w:r>
      <w:r w:rsidR="004D26F3">
        <w:lastRenderedPageBreak/>
        <w:t>t</w:t>
      </w:r>
      <w:r>
        <w:t xml:space="preserve">he </w:t>
      </w:r>
      <w:r w:rsidR="004D26F3">
        <w:t xml:space="preserve">difference </w:t>
      </w:r>
      <w:r>
        <w:t xml:space="preserve">observed between opt-out TOU and CPP load profiles on days </w:t>
      </w:r>
      <w:r w:rsidR="00380AC9">
        <w:t xml:space="preserve">with similar temperatures </w:t>
      </w:r>
      <w:r>
        <w:t>was netted out of the opt-out TOU load profiles on the actual event days at the hourly level.</w:t>
      </w:r>
    </w:p>
    <w:p w:rsidR="00EE5AAB" w:rsidRPr="00B93622" w:rsidRDefault="00EE5AAB" w:rsidP="005C465D">
      <w:pPr>
        <w:pStyle w:val="BodyParagraph"/>
        <w:rPr>
          <w:b/>
        </w:rPr>
      </w:pPr>
      <w:r>
        <w:t xml:space="preserve">Table 3-4 compares the aggregate regression and control group results as a cross-check to the individual customer regressions.  More detailed comparisons are included in Appendices B, C and D. </w:t>
      </w:r>
      <w:r w:rsidR="00835F7B">
        <w:t xml:space="preserve"> For the average PG&amp;E event, </w:t>
      </w:r>
      <w:r w:rsidRPr="00104C07">
        <w:t>the control group analysis</w:t>
      </w:r>
      <w:r w:rsidR="00835F7B">
        <w:t xml:space="preserve"> produces </w:t>
      </w:r>
      <w:r w:rsidRPr="00104C07">
        <w:t xml:space="preserve">similar </w:t>
      </w:r>
      <w:r w:rsidR="00835F7B">
        <w:t>results, 27.6 MW (5.8%)</w:t>
      </w:r>
      <w:r w:rsidR="00724997">
        <w:t xml:space="preserve">, compared with </w:t>
      </w:r>
      <w:r w:rsidRPr="00104C07">
        <w:t>those from the individual customer regressions</w:t>
      </w:r>
      <w:r w:rsidR="00835F7B">
        <w:t>, 27.8 MW (5</w:t>
      </w:r>
      <w:r w:rsidR="00BF465E">
        <w:t xml:space="preserve">.9%).  </w:t>
      </w:r>
      <w:r w:rsidR="00FC7601">
        <w:t xml:space="preserve">For the average SCE event, </w:t>
      </w:r>
      <w:r w:rsidR="00FC7601" w:rsidRPr="00104C07">
        <w:t>the control group analysis</w:t>
      </w:r>
      <w:r w:rsidR="00FC7601">
        <w:t xml:space="preserve"> also produces </w:t>
      </w:r>
      <w:r w:rsidR="00FC7601" w:rsidRPr="00104C07">
        <w:t xml:space="preserve">similar </w:t>
      </w:r>
      <w:r w:rsidR="00FC7601">
        <w:t xml:space="preserve">results, 32.9 MW (5.4%), compared with </w:t>
      </w:r>
      <w:r w:rsidR="00FC7601" w:rsidRPr="00104C07">
        <w:t>those from the individual customer regressions</w:t>
      </w:r>
      <w:r w:rsidR="00FC7601">
        <w:t xml:space="preserve">, 35.0 MW (5.7%).  </w:t>
      </w:r>
      <w:r>
        <w:t xml:space="preserve">However, </w:t>
      </w:r>
      <w:r w:rsidR="00FC7601">
        <w:t xml:space="preserve">at both utilities, </w:t>
      </w:r>
      <w:r>
        <w:t>the aggregate control group results</w:t>
      </w:r>
      <w:r w:rsidR="00835F7B">
        <w:t xml:space="preserve"> are more volatile than </w:t>
      </w:r>
      <w:r>
        <w:t>the aggregate individual customer regression results across individual event</w:t>
      </w:r>
      <w:r w:rsidR="00D06C1B">
        <w:t> </w:t>
      </w:r>
      <w:r>
        <w:t>days.</w:t>
      </w:r>
    </w:p>
    <w:p w:rsidR="00EE5AAB" w:rsidRDefault="00BF465E" w:rsidP="005C465D">
      <w:pPr>
        <w:pStyle w:val="BodyParagraph"/>
      </w:pPr>
      <w:r>
        <w:t>For SDG&amp;E, average impacts d</w:t>
      </w:r>
      <w:r w:rsidR="00724997">
        <w:t>uring the event hours from</w:t>
      </w:r>
      <w:r w:rsidR="00EE5AAB" w:rsidRPr="00C95498">
        <w:t xml:space="preserve"> 11 </w:t>
      </w:r>
      <w:r w:rsidR="00EE5AAB">
        <w:t>AM</w:t>
      </w:r>
      <w:r w:rsidR="00EE5AAB" w:rsidRPr="00C95498">
        <w:t xml:space="preserve"> to 6 </w:t>
      </w:r>
      <w:r w:rsidR="00EE5AAB">
        <w:t>PM</w:t>
      </w:r>
      <w:r>
        <w:t xml:space="preserve"> for the </w:t>
      </w:r>
      <w:r w:rsidR="00EE5AAB">
        <w:t xml:space="preserve">control group analysis </w:t>
      </w:r>
      <w:r>
        <w:t>equal</w:t>
      </w:r>
      <w:r w:rsidR="00EE5AAB">
        <w:t xml:space="preserve"> </w:t>
      </w:r>
      <w:r w:rsidR="00835F7B">
        <w:t>25</w:t>
      </w:r>
      <w:r w:rsidR="00EE5AAB">
        <w:t>.</w:t>
      </w:r>
      <w:r w:rsidR="00835F7B">
        <w:t>0</w:t>
      </w:r>
      <w:r w:rsidR="00EE5AAB">
        <w:t xml:space="preserve"> kW (6.7%) for the September 7 event.</w:t>
      </w:r>
      <w:r w:rsidR="00835F7B">
        <w:t xml:space="preserve">  The results from the regression analysis are lower, at 18.6 MW (5.2%).</w:t>
      </w:r>
      <w:r w:rsidR="00EE5AAB">
        <w:t xml:space="preserve">  </w:t>
      </w:r>
      <w:r w:rsidR="00623F29">
        <w:t>This difference is not terribly surprising since the comparison applies to only a single event day</w:t>
      </w:r>
      <w:r w:rsidR="00815830">
        <w:t xml:space="preserve"> and SDG&amp;E had fewer customers that could be used to develop the control group</w:t>
      </w:r>
      <w:r w:rsidR="00623F29">
        <w:t>.  As s</w:t>
      </w:r>
      <w:r w:rsidR="00FC7601">
        <w:t>een in Appendices B and C</w:t>
      </w:r>
      <w:r w:rsidR="00623F29">
        <w:t>, underlying the PG&amp;E</w:t>
      </w:r>
      <w:r w:rsidR="00FC7601">
        <w:t xml:space="preserve"> and SCE</w:t>
      </w:r>
      <w:r w:rsidR="00623F29">
        <w:t xml:space="preserve"> comparison</w:t>
      </w:r>
      <w:r w:rsidR="00FC7601">
        <w:t>s</w:t>
      </w:r>
      <w:r w:rsidR="00623F29">
        <w:t xml:space="preserve"> for the average event are differences of similar magnitudes on selected event days.  </w:t>
      </w:r>
    </w:p>
    <w:p w:rsidR="00835F7B" w:rsidRDefault="00835F7B" w:rsidP="005C465D">
      <w:pPr>
        <w:pStyle w:val="TableFigureCaption"/>
      </w:pPr>
      <w:r w:rsidRPr="00990001">
        <w:t>Table 3-</w:t>
      </w:r>
      <w:r>
        <w:t>4</w:t>
      </w:r>
      <w:r w:rsidRPr="00990001">
        <w:t>:</w:t>
      </w:r>
      <w:r w:rsidR="007E0558">
        <w:t xml:space="preserve"> </w:t>
      </w:r>
      <w:r>
        <w:t>Summary of Control Group Cross-check</w:t>
      </w:r>
    </w:p>
    <w:tbl>
      <w:tblPr>
        <w:tblW w:w="5000" w:type="pct"/>
        <w:tblLook w:val="04A0"/>
      </w:tblPr>
      <w:tblGrid>
        <w:gridCol w:w="980"/>
        <w:gridCol w:w="1361"/>
        <w:gridCol w:w="1417"/>
        <w:gridCol w:w="1512"/>
        <w:gridCol w:w="1072"/>
        <w:gridCol w:w="1710"/>
        <w:gridCol w:w="1524"/>
      </w:tblGrid>
      <w:tr w:rsidR="00FC7601" w:rsidRPr="00FC7601" w:rsidTr="00FB5727">
        <w:trPr>
          <w:trHeight w:val="495"/>
        </w:trPr>
        <w:tc>
          <w:tcPr>
            <w:tcW w:w="512" w:type="pct"/>
            <w:tcBorders>
              <w:top w:val="single" w:sz="4" w:space="0" w:color="auto"/>
              <w:left w:val="single" w:sz="4" w:space="0" w:color="auto"/>
              <w:bottom w:val="single" w:sz="4" w:space="0" w:color="auto"/>
              <w:right w:val="single" w:sz="4" w:space="0" w:color="FFFFFF"/>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Event Date</w:t>
            </w:r>
          </w:p>
        </w:tc>
        <w:tc>
          <w:tcPr>
            <w:tcW w:w="604" w:type="pct"/>
            <w:tcBorders>
              <w:top w:val="single" w:sz="4" w:space="0" w:color="auto"/>
              <w:left w:val="nil"/>
              <w:bottom w:val="single" w:sz="4" w:space="0" w:color="auto"/>
              <w:right w:val="single" w:sz="4" w:space="0" w:color="FFFFFF"/>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Number of Participants</w:t>
            </w:r>
          </w:p>
        </w:tc>
        <w:tc>
          <w:tcPr>
            <w:tcW w:w="635" w:type="pct"/>
            <w:tcBorders>
              <w:top w:val="single" w:sz="4" w:space="0" w:color="auto"/>
              <w:left w:val="nil"/>
              <w:bottom w:val="single" w:sz="4" w:space="0" w:color="auto"/>
              <w:right w:val="single" w:sz="4" w:space="0" w:color="FFFFFF"/>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 Load Impact -Regressions</w:t>
            </w:r>
          </w:p>
        </w:tc>
        <w:tc>
          <w:tcPr>
            <w:tcW w:w="874" w:type="pct"/>
            <w:tcBorders>
              <w:top w:val="single" w:sz="4" w:space="0" w:color="auto"/>
              <w:left w:val="nil"/>
              <w:bottom w:val="single" w:sz="4" w:space="0" w:color="auto"/>
              <w:right w:val="single" w:sz="4" w:space="0" w:color="FFFFFF"/>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Aggregate Load Impact - Regressions (MW)</w:t>
            </w:r>
          </w:p>
        </w:tc>
        <w:tc>
          <w:tcPr>
            <w:tcW w:w="602" w:type="pct"/>
            <w:tcBorders>
              <w:top w:val="single" w:sz="4" w:space="0" w:color="auto"/>
              <w:left w:val="nil"/>
              <w:bottom w:val="single" w:sz="4" w:space="0" w:color="auto"/>
              <w:right w:val="single" w:sz="4" w:space="0" w:color="FFFFFF"/>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 Load Impact -Control Group</w:t>
            </w:r>
          </w:p>
        </w:tc>
        <w:tc>
          <w:tcPr>
            <w:tcW w:w="935" w:type="pct"/>
            <w:tcBorders>
              <w:top w:val="single" w:sz="4" w:space="0" w:color="auto"/>
              <w:left w:val="nil"/>
              <w:bottom w:val="single" w:sz="4" w:space="0" w:color="auto"/>
              <w:right w:val="single" w:sz="4" w:space="0" w:color="FFFFFF"/>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Aggregate Load Impact - Control Group (MW)</w:t>
            </w:r>
          </w:p>
        </w:tc>
        <w:tc>
          <w:tcPr>
            <w:tcW w:w="838" w:type="pct"/>
            <w:tcBorders>
              <w:top w:val="single" w:sz="4" w:space="0" w:color="auto"/>
              <w:left w:val="nil"/>
              <w:bottom w:val="single" w:sz="4" w:space="0" w:color="auto"/>
              <w:right w:val="single" w:sz="4" w:space="0" w:color="auto"/>
            </w:tcBorders>
            <w:shd w:val="clear" w:color="000000" w:fill="1F497D"/>
            <w:vAlign w:val="center"/>
            <w:hideMark/>
          </w:tcPr>
          <w:p w:rsidR="00FC7601" w:rsidRPr="00FC7601" w:rsidRDefault="00FC7601" w:rsidP="00FB5727">
            <w:pPr>
              <w:pStyle w:val="TableHeader"/>
              <w:rPr>
                <w:rFonts w:eastAsia="Times New Roman"/>
              </w:rPr>
            </w:pPr>
            <w:r w:rsidRPr="00FC7601">
              <w:rPr>
                <w:rFonts w:eastAsia="Times New Roman"/>
              </w:rPr>
              <w:t>Average Temperature During Event (°F)</w:t>
            </w:r>
          </w:p>
        </w:tc>
      </w:tr>
      <w:tr w:rsidR="00FC7601" w:rsidRPr="00FC7601" w:rsidTr="00FC7601">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PG&amp;E</w:t>
            </w:r>
          </w:p>
        </w:tc>
        <w:tc>
          <w:tcPr>
            <w:tcW w:w="604"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1,750</w:t>
            </w:r>
          </w:p>
        </w:tc>
        <w:tc>
          <w:tcPr>
            <w:tcW w:w="635"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5.9%</w:t>
            </w:r>
          </w:p>
        </w:tc>
        <w:tc>
          <w:tcPr>
            <w:tcW w:w="874"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27.8</w:t>
            </w:r>
          </w:p>
        </w:tc>
        <w:tc>
          <w:tcPr>
            <w:tcW w:w="602"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5.80%</w:t>
            </w:r>
          </w:p>
        </w:tc>
        <w:tc>
          <w:tcPr>
            <w:tcW w:w="935"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27.6</w:t>
            </w:r>
          </w:p>
        </w:tc>
        <w:tc>
          <w:tcPr>
            <w:tcW w:w="838"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88.1</w:t>
            </w:r>
          </w:p>
        </w:tc>
      </w:tr>
      <w:tr w:rsidR="00FC7601" w:rsidRPr="00FC7601" w:rsidTr="00FC7601">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SCE</w:t>
            </w:r>
          </w:p>
        </w:tc>
        <w:tc>
          <w:tcPr>
            <w:tcW w:w="604" w:type="pct"/>
            <w:tcBorders>
              <w:top w:val="nil"/>
              <w:left w:val="nil"/>
              <w:bottom w:val="single" w:sz="4" w:space="0" w:color="auto"/>
              <w:right w:val="single" w:sz="4" w:space="0" w:color="auto"/>
            </w:tcBorders>
            <w:shd w:val="clear" w:color="auto" w:fill="auto"/>
            <w:noWrap/>
            <w:vAlign w:val="center"/>
            <w:hideMark/>
          </w:tcPr>
          <w:p w:rsidR="00FC7601" w:rsidRPr="00FC7601" w:rsidRDefault="00FC7601" w:rsidP="00FB5727">
            <w:pPr>
              <w:pStyle w:val="TableText"/>
              <w:jc w:val="center"/>
              <w:rPr>
                <w:rFonts w:eastAsia="Times New Roman"/>
              </w:rPr>
            </w:pPr>
            <w:r w:rsidRPr="00FC7601">
              <w:rPr>
                <w:rFonts w:eastAsia="Times New Roman"/>
              </w:rPr>
              <w:t>3,006</w:t>
            </w:r>
          </w:p>
        </w:tc>
        <w:tc>
          <w:tcPr>
            <w:tcW w:w="635" w:type="pct"/>
            <w:tcBorders>
              <w:top w:val="nil"/>
              <w:left w:val="nil"/>
              <w:bottom w:val="single" w:sz="4" w:space="0" w:color="auto"/>
              <w:right w:val="single" w:sz="4" w:space="0" w:color="auto"/>
            </w:tcBorders>
            <w:shd w:val="clear" w:color="auto" w:fill="auto"/>
            <w:noWrap/>
            <w:vAlign w:val="center"/>
            <w:hideMark/>
          </w:tcPr>
          <w:p w:rsidR="00FC7601" w:rsidRPr="00FC7601" w:rsidRDefault="00FC7601" w:rsidP="00FB5727">
            <w:pPr>
              <w:pStyle w:val="TableText"/>
              <w:jc w:val="center"/>
              <w:rPr>
                <w:rFonts w:eastAsia="Times New Roman"/>
              </w:rPr>
            </w:pPr>
            <w:r w:rsidRPr="00FC7601">
              <w:rPr>
                <w:rFonts w:eastAsia="Times New Roman"/>
              </w:rPr>
              <w:t>5.7%</w:t>
            </w:r>
          </w:p>
        </w:tc>
        <w:tc>
          <w:tcPr>
            <w:tcW w:w="874" w:type="pct"/>
            <w:tcBorders>
              <w:top w:val="nil"/>
              <w:left w:val="nil"/>
              <w:bottom w:val="single" w:sz="4" w:space="0" w:color="auto"/>
              <w:right w:val="single" w:sz="4" w:space="0" w:color="auto"/>
            </w:tcBorders>
            <w:shd w:val="clear" w:color="auto" w:fill="auto"/>
            <w:noWrap/>
            <w:vAlign w:val="center"/>
            <w:hideMark/>
          </w:tcPr>
          <w:p w:rsidR="00FC7601" w:rsidRPr="00FC7601" w:rsidRDefault="00FC7601" w:rsidP="00FB5727">
            <w:pPr>
              <w:pStyle w:val="TableText"/>
              <w:jc w:val="center"/>
              <w:rPr>
                <w:rFonts w:eastAsia="Times New Roman"/>
              </w:rPr>
            </w:pPr>
            <w:r w:rsidRPr="00FC7601">
              <w:rPr>
                <w:rFonts w:eastAsia="Times New Roman"/>
              </w:rPr>
              <w:t>35.0</w:t>
            </w:r>
          </w:p>
        </w:tc>
        <w:tc>
          <w:tcPr>
            <w:tcW w:w="602" w:type="pct"/>
            <w:tcBorders>
              <w:top w:val="nil"/>
              <w:left w:val="nil"/>
              <w:bottom w:val="single" w:sz="4" w:space="0" w:color="auto"/>
              <w:right w:val="single" w:sz="4" w:space="0" w:color="auto"/>
            </w:tcBorders>
            <w:shd w:val="clear" w:color="auto" w:fill="auto"/>
            <w:noWrap/>
            <w:vAlign w:val="center"/>
            <w:hideMark/>
          </w:tcPr>
          <w:p w:rsidR="00FC7601" w:rsidRPr="00FC7601" w:rsidRDefault="00FC7601" w:rsidP="00FB5727">
            <w:pPr>
              <w:pStyle w:val="TableText"/>
              <w:jc w:val="center"/>
              <w:rPr>
                <w:rFonts w:eastAsia="Times New Roman"/>
              </w:rPr>
            </w:pPr>
            <w:r w:rsidRPr="00FC7601">
              <w:rPr>
                <w:rFonts w:eastAsia="Times New Roman"/>
              </w:rPr>
              <w:t>5.4%</w:t>
            </w:r>
          </w:p>
        </w:tc>
        <w:tc>
          <w:tcPr>
            <w:tcW w:w="935" w:type="pct"/>
            <w:tcBorders>
              <w:top w:val="nil"/>
              <w:left w:val="nil"/>
              <w:bottom w:val="single" w:sz="4" w:space="0" w:color="auto"/>
              <w:right w:val="single" w:sz="4" w:space="0" w:color="auto"/>
            </w:tcBorders>
            <w:shd w:val="clear" w:color="auto" w:fill="auto"/>
            <w:noWrap/>
            <w:vAlign w:val="center"/>
            <w:hideMark/>
          </w:tcPr>
          <w:p w:rsidR="00FC7601" w:rsidRPr="00FC7601" w:rsidRDefault="00FC7601" w:rsidP="00FB5727">
            <w:pPr>
              <w:pStyle w:val="TableText"/>
              <w:jc w:val="center"/>
              <w:rPr>
                <w:rFonts w:eastAsia="Times New Roman"/>
              </w:rPr>
            </w:pPr>
            <w:r w:rsidRPr="00FC7601">
              <w:rPr>
                <w:rFonts w:eastAsia="Times New Roman"/>
              </w:rPr>
              <w:t>32.9</w:t>
            </w:r>
          </w:p>
        </w:tc>
        <w:tc>
          <w:tcPr>
            <w:tcW w:w="838" w:type="pct"/>
            <w:tcBorders>
              <w:top w:val="nil"/>
              <w:left w:val="nil"/>
              <w:bottom w:val="single" w:sz="4" w:space="0" w:color="auto"/>
              <w:right w:val="single" w:sz="4" w:space="0" w:color="auto"/>
            </w:tcBorders>
            <w:shd w:val="clear" w:color="auto" w:fill="auto"/>
            <w:noWrap/>
            <w:vAlign w:val="center"/>
            <w:hideMark/>
          </w:tcPr>
          <w:p w:rsidR="00FC7601" w:rsidRPr="00FC7601" w:rsidRDefault="00FC7601" w:rsidP="00FB5727">
            <w:pPr>
              <w:pStyle w:val="TableText"/>
              <w:jc w:val="center"/>
              <w:rPr>
                <w:rFonts w:eastAsia="Times New Roman"/>
              </w:rPr>
            </w:pPr>
            <w:r w:rsidRPr="00FC7601">
              <w:rPr>
                <w:rFonts w:eastAsia="Times New Roman"/>
              </w:rPr>
              <w:t>84.7</w:t>
            </w:r>
          </w:p>
        </w:tc>
      </w:tr>
      <w:tr w:rsidR="00FC7601" w:rsidRPr="00FC7601" w:rsidTr="00FC7601">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SDG&amp;E</w:t>
            </w:r>
            <w:r w:rsidRPr="00FC7601">
              <w:rPr>
                <w:rFonts w:eastAsia="Times New Roman"/>
                <w:vertAlign w:val="superscript"/>
              </w:rPr>
              <w:t>[1]</w:t>
            </w:r>
          </w:p>
        </w:tc>
        <w:tc>
          <w:tcPr>
            <w:tcW w:w="604"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1,293</w:t>
            </w:r>
          </w:p>
        </w:tc>
        <w:tc>
          <w:tcPr>
            <w:tcW w:w="635"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5.2%</w:t>
            </w:r>
          </w:p>
        </w:tc>
        <w:tc>
          <w:tcPr>
            <w:tcW w:w="874"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18.6</w:t>
            </w:r>
          </w:p>
        </w:tc>
        <w:tc>
          <w:tcPr>
            <w:tcW w:w="602"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6.70%</w:t>
            </w:r>
          </w:p>
        </w:tc>
        <w:tc>
          <w:tcPr>
            <w:tcW w:w="935"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25.0</w:t>
            </w:r>
          </w:p>
        </w:tc>
        <w:tc>
          <w:tcPr>
            <w:tcW w:w="838" w:type="pct"/>
            <w:tcBorders>
              <w:top w:val="nil"/>
              <w:left w:val="nil"/>
              <w:bottom w:val="single" w:sz="4" w:space="0" w:color="auto"/>
              <w:right w:val="single" w:sz="4" w:space="0" w:color="auto"/>
            </w:tcBorders>
            <w:shd w:val="clear" w:color="auto" w:fill="auto"/>
            <w:noWrap/>
            <w:vAlign w:val="bottom"/>
            <w:hideMark/>
          </w:tcPr>
          <w:p w:rsidR="00FC7601" w:rsidRPr="00FC7601" w:rsidRDefault="00FC7601" w:rsidP="00FB5727">
            <w:pPr>
              <w:pStyle w:val="TableText"/>
              <w:jc w:val="center"/>
              <w:rPr>
                <w:rFonts w:eastAsia="Times New Roman"/>
              </w:rPr>
            </w:pPr>
            <w:r w:rsidRPr="00FC7601">
              <w:rPr>
                <w:rFonts w:eastAsia="Times New Roman"/>
              </w:rPr>
              <w:t>86.3</w:t>
            </w:r>
          </w:p>
        </w:tc>
      </w:tr>
    </w:tbl>
    <w:p w:rsidR="00FC7601" w:rsidRPr="00FC7601" w:rsidRDefault="00FC7601" w:rsidP="00FB5727">
      <w:pPr>
        <w:pStyle w:val="Footnote"/>
      </w:pPr>
      <w:r w:rsidRPr="00FC7601">
        <w:rPr>
          <w:rFonts w:eastAsia="Times New Roman"/>
        </w:rPr>
        <w:t>[1</w:t>
      </w:r>
      <w:proofErr w:type="gramStart"/>
      <w:r w:rsidRPr="00FC7601">
        <w:rPr>
          <w:rFonts w:eastAsia="Times New Roman"/>
        </w:rPr>
        <w:t>]  Reflects</w:t>
      </w:r>
      <w:proofErr w:type="gramEnd"/>
      <w:r w:rsidRPr="00FC7601">
        <w:rPr>
          <w:rFonts w:eastAsia="Times New Roman"/>
        </w:rPr>
        <w:t xml:space="preserve"> the weekday event, September 7, 2011</w:t>
      </w:r>
    </w:p>
    <w:p w:rsidR="0082444E" w:rsidRDefault="0082444E" w:rsidP="005C465D">
      <w:pPr>
        <w:pStyle w:val="BodyParaAfterTableFigure"/>
      </w:pPr>
      <w:r>
        <w:t xml:space="preserve">Even though the results from the control group analysis </w:t>
      </w:r>
      <w:r w:rsidR="00835F7B">
        <w:t>are consistent with the regression results</w:t>
      </w:r>
      <w:r>
        <w:t>, there were a number of reasons why they were not used in place of the individual customer regression results.  Using individual customer regression</w:t>
      </w:r>
      <w:r w:rsidR="00571881">
        <w:t>s</w:t>
      </w:r>
      <w:r>
        <w:t xml:space="preserve"> ensures consistency in methodology </w:t>
      </w:r>
      <w:r w:rsidR="00380AC9">
        <w:t>across years</w:t>
      </w:r>
      <w:r w:rsidR="00571881">
        <w:t>.  The control group analysi</w:t>
      </w:r>
      <w:r>
        <w:t>s also relies on propensi</w:t>
      </w:r>
      <w:r w:rsidR="00571881">
        <w:t>ty score matching, which</w:t>
      </w:r>
      <w:r>
        <w:t xml:space="preserve"> produces control and treatment groups that match in the aggregate, but not necessarily across population segments such as LCA an</w:t>
      </w:r>
      <w:r w:rsidR="00571881">
        <w:t>d</w:t>
      </w:r>
      <w:r>
        <w:t xml:space="preserve"> industry.  While it is possible to put together matches for specific segments, given the data constraints, especially at SDG&amp;E, proceeding in this direction would have necessitated potentially tenuous, ad hoc analysis that varied by segment and utility. </w:t>
      </w:r>
      <w:r w:rsidR="00571881">
        <w:t xml:space="preserve"> Finally, with CPP there is</w:t>
      </w:r>
      <w:r>
        <w:t xml:space="preserve"> the concern that opt-out TOU customers are systemically different from CPP customers </w:t>
      </w:r>
      <w:r w:rsidR="00181D50">
        <w:t xml:space="preserve">in ways that affect energy use </w:t>
      </w:r>
      <w:r>
        <w:t xml:space="preserve">since, for some reason, sometimes unobserved, they chose to opt out of CPP.  </w:t>
      </w:r>
    </w:p>
    <w:p w:rsidR="0082444E" w:rsidRPr="0002511E" w:rsidRDefault="0082444E" w:rsidP="005C465D">
      <w:pPr>
        <w:pStyle w:val="BodyParagraph"/>
      </w:pPr>
      <w:r>
        <w:t>The control group results generally fall within the uncertainty bands surrounding the individual customer regressions.  Confidence in the results of both methods is increased by the relative similarity of results.</w:t>
      </w:r>
    </w:p>
    <w:p w:rsidR="0082444E" w:rsidRPr="00DE36B9" w:rsidRDefault="0082444E" w:rsidP="005C465D">
      <w:pPr>
        <w:pStyle w:val="Heading2"/>
      </w:pPr>
      <w:bookmarkStart w:id="57" w:name="_Toc289177999"/>
      <w:bookmarkStart w:id="58" w:name="_Toc326072100"/>
      <w:r w:rsidRPr="00DE36B9">
        <w:lastRenderedPageBreak/>
        <w:t>Summary of In-</w:t>
      </w:r>
      <w:r w:rsidR="005550E3">
        <w:t>s</w:t>
      </w:r>
      <w:r w:rsidR="005550E3" w:rsidRPr="00DE36B9">
        <w:t xml:space="preserve">ample </w:t>
      </w:r>
      <w:r w:rsidRPr="00DE36B9">
        <w:t>Precision and Goodness</w:t>
      </w:r>
      <w:r w:rsidR="005550E3">
        <w:t>-</w:t>
      </w:r>
      <w:r w:rsidRPr="00DE36B9">
        <w:t>of</w:t>
      </w:r>
      <w:r w:rsidR="005550E3">
        <w:t>-f</w:t>
      </w:r>
      <w:r w:rsidRPr="00DE36B9">
        <w:t>it</w:t>
      </w:r>
      <w:bookmarkEnd w:id="57"/>
      <w:bookmarkEnd w:id="58"/>
    </w:p>
    <w:p w:rsidR="001A54C9" w:rsidRDefault="0082444E" w:rsidP="005C465D">
      <w:pPr>
        <w:pStyle w:val="BodyParagraph"/>
      </w:pPr>
      <w:r w:rsidRPr="00DE36B9">
        <w:t>Although the regressions were estimated a</w:t>
      </w:r>
      <w:r>
        <w:t>t the individual customer level</w:t>
      </w:r>
      <w:r w:rsidR="00571881">
        <w:t>,</w:t>
      </w:r>
      <w:r>
        <w:t xml:space="preserve"> from a </w:t>
      </w:r>
      <w:r w:rsidR="00C34677">
        <w:t xml:space="preserve">program or process </w:t>
      </w:r>
      <w:r>
        <w:t>standpoint</w:t>
      </w:r>
      <w:r w:rsidR="008A1951">
        <w:t>,</w:t>
      </w:r>
      <w:r w:rsidRPr="00DE36B9">
        <w:t xml:space="preserve"> the focus </w:t>
      </w:r>
      <w:r w:rsidR="00C34677">
        <w:t>should be</w:t>
      </w:r>
      <w:r w:rsidR="00C34677" w:rsidRPr="00DE36B9">
        <w:t xml:space="preserve"> </w:t>
      </w:r>
      <w:r w:rsidRPr="00DE36B9">
        <w:t>less on how the regressions perform for individual customers than it is on how the regressions perform for the average participant and for specific customer segments.  Overall, individual customers exhibit more variation and less con</w:t>
      </w:r>
      <w:r w:rsidR="00571881">
        <w:t>sistent energy usage</w:t>
      </w:r>
      <w:r w:rsidRPr="00DE36B9">
        <w:t xml:space="preserve"> patterns than the aggregate participant population</w:t>
      </w:r>
      <w:r>
        <w:t>.  Likewise, regressions</w:t>
      </w:r>
      <w:r w:rsidRPr="00DE36B9">
        <w:t xml:space="preserve"> better</w:t>
      </w:r>
      <w:r>
        <w:t xml:space="preserve"> explain</w:t>
      </w:r>
      <w:r w:rsidRPr="00DE36B9">
        <w:t xml:space="preserve"> the variation in electricity consumption and load impacts for the average customer (or average customer within a specific segment) </w:t>
      </w:r>
      <w:r>
        <w:t>than for individual</w:t>
      </w:r>
      <w:r w:rsidR="00292B1C">
        <w:t> </w:t>
      </w:r>
      <w:r>
        <w:t xml:space="preserve">customers.  </w:t>
      </w:r>
    </w:p>
    <w:p w:rsidR="0082444E" w:rsidRPr="00DE36B9" w:rsidRDefault="0082444E" w:rsidP="005C465D">
      <w:pPr>
        <w:pStyle w:val="BodyParagraph"/>
      </w:pPr>
      <w:r>
        <w:t>T</w:t>
      </w:r>
      <w:r w:rsidRPr="00DE36B9">
        <w:t>he R-squared goodness-of-fit statistic</w:t>
      </w:r>
      <w:r>
        <w:t xml:space="preserve"> is calculated as an indication of the in-sample predictive accuracy of the model across customer segments and in the aggregate.</w:t>
      </w:r>
      <w:r w:rsidRPr="00DE36B9">
        <w:t xml:space="preserve"> </w:t>
      </w:r>
      <w:r w:rsidR="001A54C9">
        <w:t xml:space="preserve"> In addition to the R-squared metric, in-sample predictions are plotted across the spectrum of event-like temperatures to determine how well the model predicts for event-like conditions in-sample.</w:t>
      </w:r>
    </w:p>
    <w:p w:rsidR="00584CF1" w:rsidRPr="00584CF1" w:rsidRDefault="0082444E" w:rsidP="005C465D">
      <w:pPr>
        <w:pStyle w:val="BodyParagraph"/>
      </w:pPr>
      <w:r w:rsidRPr="00DE36B9">
        <w:t xml:space="preserve">In order to estimate the average customer R-squared values for each industry, LCA or </w:t>
      </w:r>
      <w:r>
        <w:t>in the aggregate</w:t>
      </w:r>
      <w:r w:rsidRPr="00DE36B9">
        <w:t xml:space="preserve">, the regression-predicted and actual electricity usage values were averaged across </w:t>
      </w:r>
      <w:r>
        <w:t>customers</w:t>
      </w:r>
      <w:r w:rsidRPr="00DE36B9">
        <w:t xml:space="preserve"> for e</w:t>
      </w:r>
      <w:r>
        <w:t>ach date and hour</w:t>
      </w:r>
      <w:r w:rsidRPr="00DE36B9">
        <w:t xml:space="preserve"> for</w:t>
      </w:r>
      <w:r>
        <w:t xml:space="preserve"> all customers in a specific segment.  This process enabled the calculation </w:t>
      </w:r>
      <w:r w:rsidRPr="00DE36B9">
        <w:t>of the R-squared value.  Table 3-</w:t>
      </w:r>
      <w:r w:rsidR="00835F7B">
        <w:t>5</w:t>
      </w:r>
      <w:r w:rsidRPr="00DE36B9">
        <w:t xml:space="preserve"> summarizes the amount of variation explained by the regressions for each industry and for the average customer.  </w:t>
      </w:r>
    </w:p>
    <w:p w:rsidR="0082444E" w:rsidRPr="00DE36B9" w:rsidRDefault="0082444E" w:rsidP="005C465D">
      <w:pPr>
        <w:pStyle w:val="TableFigureCaption"/>
      </w:pPr>
      <w:r w:rsidRPr="00DE36B9">
        <w:t>Table 3-</w:t>
      </w:r>
      <w:r w:rsidR="00835F7B">
        <w:t>5</w:t>
      </w:r>
      <w:r w:rsidRPr="00DE36B9">
        <w:t>:</w:t>
      </w:r>
      <w:r w:rsidR="007E0558">
        <w:t xml:space="preserve"> </w:t>
      </w:r>
      <w:r w:rsidRPr="00DE36B9">
        <w:t xml:space="preserve">R-squared </w:t>
      </w:r>
      <w:r w:rsidR="00B57A43">
        <w:t>V</w:t>
      </w:r>
      <w:r w:rsidRPr="00DE36B9">
        <w:t>alues by Industry for Each Utility</w:t>
      </w:r>
    </w:p>
    <w:tbl>
      <w:tblPr>
        <w:tblW w:w="6058" w:type="dxa"/>
        <w:jc w:val="center"/>
        <w:tblLook w:val="04A0"/>
      </w:tblPr>
      <w:tblGrid>
        <w:gridCol w:w="3178"/>
        <w:gridCol w:w="966"/>
        <w:gridCol w:w="706"/>
        <w:gridCol w:w="1208"/>
      </w:tblGrid>
      <w:tr w:rsidR="0082444E" w:rsidRPr="00DE36B9" w:rsidTr="000577B8">
        <w:trPr>
          <w:trHeight w:val="300"/>
          <w:jc w:val="center"/>
        </w:trPr>
        <w:tc>
          <w:tcPr>
            <w:tcW w:w="3178" w:type="dxa"/>
            <w:vMerge w:val="restart"/>
            <w:tcBorders>
              <w:top w:val="single" w:sz="4" w:space="0" w:color="auto"/>
              <w:left w:val="single" w:sz="4" w:space="0" w:color="auto"/>
              <w:bottom w:val="single" w:sz="4" w:space="0" w:color="000000"/>
              <w:right w:val="single" w:sz="4" w:space="0" w:color="FFFFFF"/>
            </w:tcBorders>
            <w:shd w:val="clear" w:color="auto" w:fill="1F497D" w:themeFill="text2"/>
            <w:noWrap/>
            <w:vAlign w:val="center"/>
            <w:hideMark/>
          </w:tcPr>
          <w:p w:rsidR="0082444E" w:rsidRPr="00DE36B9" w:rsidRDefault="0082444E" w:rsidP="006720A1">
            <w:pPr>
              <w:pStyle w:val="TableHeader"/>
            </w:pPr>
            <w:r w:rsidRPr="00DE36B9">
              <w:t>Industry</w:t>
            </w:r>
          </w:p>
        </w:tc>
        <w:tc>
          <w:tcPr>
            <w:tcW w:w="2880" w:type="dxa"/>
            <w:gridSpan w:val="3"/>
            <w:tcBorders>
              <w:top w:val="single" w:sz="4" w:space="0" w:color="auto"/>
              <w:left w:val="nil"/>
              <w:bottom w:val="single" w:sz="4" w:space="0" w:color="FFFFFF"/>
              <w:right w:val="single" w:sz="4" w:space="0" w:color="000000"/>
            </w:tcBorders>
            <w:shd w:val="clear" w:color="auto" w:fill="1F497D" w:themeFill="text2"/>
            <w:noWrap/>
            <w:vAlign w:val="center"/>
            <w:hideMark/>
          </w:tcPr>
          <w:p w:rsidR="0082444E" w:rsidRPr="00DE36B9" w:rsidRDefault="0082444E" w:rsidP="006720A1">
            <w:pPr>
              <w:pStyle w:val="TableHeader"/>
            </w:pPr>
            <w:r w:rsidRPr="00DE36B9">
              <w:t>R-squared</w:t>
            </w:r>
          </w:p>
        </w:tc>
      </w:tr>
      <w:tr w:rsidR="0082444E" w:rsidRPr="00DE36B9" w:rsidTr="000577B8">
        <w:trPr>
          <w:trHeight w:val="300"/>
          <w:jc w:val="center"/>
        </w:trPr>
        <w:tc>
          <w:tcPr>
            <w:tcW w:w="3178" w:type="dxa"/>
            <w:vMerge/>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82444E" w:rsidRPr="00DE36B9" w:rsidRDefault="0082444E" w:rsidP="006720A1">
            <w:pPr>
              <w:pStyle w:val="TableHeader"/>
            </w:pPr>
          </w:p>
        </w:tc>
        <w:tc>
          <w:tcPr>
            <w:tcW w:w="966" w:type="dxa"/>
            <w:tcBorders>
              <w:top w:val="nil"/>
              <w:left w:val="nil"/>
              <w:bottom w:val="single" w:sz="4" w:space="0" w:color="auto"/>
              <w:right w:val="single" w:sz="4" w:space="0" w:color="FFFFFF"/>
            </w:tcBorders>
            <w:shd w:val="clear" w:color="auto" w:fill="1F497D" w:themeFill="text2"/>
            <w:noWrap/>
            <w:vAlign w:val="center"/>
            <w:hideMark/>
          </w:tcPr>
          <w:p w:rsidR="0082444E" w:rsidRPr="00DE36B9" w:rsidRDefault="0082444E" w:rsidP="006720A1">
            <w:pPr>
              <w:pStyle w:val="TableHeader"/>
            </w:pPr>
            <w:r w:rsidRPr="00DE36B9">
              <w:t>PG&amp;E</w:t>
            </w:r>
          </w:p>
        </w:tc>
        <w:tc>
          <w:tcPr>
            <w:tcW w:w="706" w:type="dxa"/>
            <w:tcBorders>
              <w:top w:val="nil"/>
              <w:left w:val="nil"/>
              <w:bottom w:val="single" w:sz="4" w:space="0" w:color="auto"/>
              <w:right w:val="single" w:sz="4" w:space="0" w:color="FFFFFF"/>
            </w:tcBorders>
            <w:shd w:val="clear" w:color="auto" w:fill="1F497D" w:themeFill="text2"/>
            <w:noWrap/>
            <w:vAlign w:val="center"/>
            <w:hideMark/>
          </w:tcPr>
          <w:p w:rsidR="0082444E" w:rsidRPr="00DE36B9" w:rsidRDefault="0082444E" w:rsidP="006720A1">
            <w:pPr>
              <w:pStyle w:val="TableHeader"/>
            </w:pPr>
            <w:r w:rsidRPr="00DE36B9">
              <w:t>SCE</w:t>
            </w:r>
          </w:p>
        </w:tc>
        <w:tc>
          <w:tcPr>
            <w:tcW w:w="1208" w:type="dxa"/>
            <w:tcBorders>
              <w:top w:val="nil"/>
              <w:left w:val="nil"/>
              <w:bottom w:val="single" w:sz="4" w:space="0" w:color="auto"/>
              <w:right w:val="single" w:sz="4" w:space="0" w:color="auto"/>
            </w:tcBorders>
            <w:shd w:val="clear" w:color="auto" w:fill="1F497D" w:themeFill="text2"/>
            <w:noWrap/>
            <w:vAlign w:val="center"/>
            <w:hideMark/>
          </w:tcPr>
          <w:p w:rsidR="0082444E" w:rsidRPr="00DE36B9" w:rsidRDefault="0082444E" w:rsidP="006720A1">
            <w:pPr>
              <w:pStyle w:val="TableHeader"/>
            </w:pPr>
            <w:r w:rsidRPr="00DE36B9">
              <w:t>SDG&amp;E</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Agriculture, Mining &amp; Construction</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0.79</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0.85</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0.78</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Manufacturing</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0.93</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0.94</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0.91</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Wholesale, Transport, Other utilities</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0.83</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2A5ABE" w:rsidP="006720A1">
            <w:pPr>
              <w:pStyle w:val="TableText"/>
              <w:jc w:val="center"/>
            </w:pPr>
            <w:r w:rsidRPr="002A5ABE">
              <w:t>0.48</w:t>
            </w:r>
            <w:r w:rsidRPr="002A5ABE">
              <w:rPr>
                <w:rStyle w:val="FootnoteReference"/>
              </w:rPr>
              <w:footnoteReference w:id="14"/>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0.74</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Retail stores</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0.99</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0.98</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0.96</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Offices, Hotels, Finance, Services</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0.98</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0.98</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0.93</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Schools</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0.90</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0.91</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0.89</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Institutional/Government</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0.98</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0.98</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0.93</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Other or undefined</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0.93</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0.90</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0.92</w:t>
            </w:r>
          </w:p>
        </w:tc>
      </w:tr>
      <w:tr w:rsidR="0082444E" w:rsidRPr="00DE36B9" w:rsidTr="000577B8">
        <w:trPr>
          <w:trHeight w:val="300"/>
          <w:jc w:val="center"/>
        </w:trPr>
        <w:tc>
          <w:tcPr>
            <w:tcW w:w="3178" w:type="dxa"/>
            <w:tcBorders>
              <w:top w:val="nil"/>
              <w:left w:val="single" w:sz="4" w:space="0" w:color="auto"/>
              <w:bottom w:val="single" w:sz="4" w:space="0" w:color="auto"/>
              <w:right w:val="single" w:sz="4" w:space="0" w:color="auto"/>
            </w:tcBorders>
            <w:shd w:val="clear" w:color="auto" w:fill="auto"/>
            <w:noWrap/>
            <w:vAlign w:val="center"/>
            <w:hideMark/>
          </w:tcPr>
          <w:p w:rsidR="001D1869" w:rsidRDefault="0082444E">
            <w:pPr>
              <w:pStyle w:val="TableText"/>
            </w:pPr>
            <w:r w:rsidRPr="00DE36B9">
              <w:t>All Customers</w:t>
            </w:r>
          </w:p>
        </w:tc>
        <w:tc>
          <w:tcPr>
            <w:tcW w:w="96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0.96</w:t>
            </w:r>
          </w:p>
        </w:tc>
        <w:tc>
          <w:tcPr>
            <w:tcW w:w="706"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0.95</w:t>
            </w:r>
          </w:p>
        </w:tc>
        <w:tc>
          <w:tcPr>
            <w:tcW w:w="1208" w:type="dxa"/>
            <w:tcBorders>
              <w:top w:val="nil"/>
              <w:left w:val="nil"/>
              <w:bottom w:val="single" w:sz="4" w:space="0" w:color="auto"/>
              <w:right w:val="single" w:sz="4" w:space="0" w:color="auto"/>
            </w:tcBorders>
            <w:shd w:val="clear" w:color="auto" w:fill="auto"/>
            <w:noWrap/>
            <w:vAlign w:val="center"/>
            <w:hideMark/>
          </w:tcPr>
          <w:p w:rsidR="0082444E" w:rsidRPr="00DE36B9" w:rsidRDefault="0082444E" w:rsidP="006720A1">
            <w:pPr>
              <w:pStyle w:val="TableText"/>
              <w:jc w:val="center"/>
            </w:pPr>
            <w:r w:rsidRPr="00DE36B9">
              <w:t>0.93</w:t>
            </w:r>
          </w:p>
        </w:tc>
      </w:tr>
    </w:tbl>
    <w:p w:rsidR="008C3CFB" w:rsidRDefault="008C3CFB" w:rsidP="005C465D">
      <w:pPr>
        <w:pStyle w:val="BodyParagraph"/>
      </w:pPr>
    </w:p>
    <w:p w:rsidR="00B02F37" w:rsidRDefault="00B02F37" w:rsidP="005C465D">
      <w:pPr>
        <w:pStyle w:val="BodyParagraph"/>
      </w:pPr>
      <w:r>
        <w:t xml:space="preserve">At the utility level, </w:t>
      </w:r>
      <w:r w:rsidRPr="00DE36B9">
        <w:t xml:space="preserve">the regressions explain </w:t>
      </w:r>
      <w:r>
        <w:t>between 93 and 96</w:t>
      </w:r>
      <w:r w:rsidRPr="00DE36B9">
        <w:t xml:space="preserve">% of </w:t>
      </w:r>
      <w:r>
        <w:t xml:space="preserve">the variation around the mean.  For </w:t>
      </w:r>
      <w:r w:rsidRPr="00DE36B9">
        <w:t xml:space="preserve">most industries in each utility, well over 90% of the variation in electricity use is explained.  </w:t>
      </w:r>
      <w:r w:rsidRPr="002A5ABE">
        <w:t>The R-squared values are lowest among industries with few customers and low or no weather sensitivity.</w:t>
      </w:r>
      <w:r w:rsidRPr="00DE36B9">
        <w:t xml:space="preserve"> </w:t>
      </w:r>
      <w:r>
        <w:t xml:space="preserve"> </w:t>
      </w:r>
      <w:r>
        <w:lastRenderedPageBreak/>
        <w:t>However, all of the out-of-sample tests for industries with low R-squared values such as Wholesale and Transport at SCE indicate the results for event-like days are unbiased.</w:t>
      </w:r>
      <w:r>
        <w:rPr>
          <w:rStyle w:val="FootnoteReference"/>
        </w:rPr>
        <w:footnoteReference w:id="15"/>
      </w:r>
      <w:r>
        <w:t xml:space="preserve">  </w:t>
      </w:r>
    </w:p>
    <w:p w:rsidR="001D37BD" w:rsidRDefault="001D37BD" w:rsidP="001D37BD">
      <w:pPr>
        <w:pStyle w:val="Heading2"/>
        <w:ind w:left="540" w:hanging="540"/>
      </w:pPr>
      <w:bookmarkStart w:id="59" w:name="_Toc289178000"/>
      <w:bookmarkStart w:id="60" w:name="_Toc326072101"/>
      <w:r>
        <w:t>Ex Ante Impact Estimation Methodology</w:t>
      </w:r>
      <w:bookmarkEnd w:id="59"/>
      <w:bookmarkEnd w:id="60"/>
    </w:p>
    <w:p w:rsidR="001D37BD" w:rsidRDefault="001D37BD" w:rsidP="001D37BD">
      <w:pPr>
        <w:pStyle w:val="BodyParagraph"/>
      </w:pPr>
      <w:r>
        <w:t xml:space="preserve">Whenever possible, ex ante load impacts are grounded on analysis of historical load impact performance.  </w:t>
      </w:r>
      <w:r w:rsidR="004612CA">
        <w:t xml:space="preserve">The ex-ante impacts are based on the similar models used for the ex post analysis but includes all </w:t>
      </w:r>
      <w:r w:rsidRPr="00E364E4">
        <w:t xml:space="preserve">2010 </w:t>
      </w:r>
      <w:r w:rsidR="004612CA">
        <w:t xml:space="preserve">and </w:t>
      </w:r>
      <w:r w:rsidRPr="00E364E4">
        <w:t>2011 events in order to better inform the event impact coefficients.  By including events from prior years, the ex ante regressions are better able to account for variation in impacts across different weather conditions.</w:t>
      </w:r>
      <w:r>
        <w:t xml:space="preserve">  </w:t>
      </w:r>
    </w:p>
    <w:p w:rsidR="001D37BD" w:rsidRDefault="001D37BD" w:rsidP="001D37BD">
      <w:pPr>
        <w:pStyle w:val="BodyParagraph"/>
      </w:pPr>
      <w:r>
        <w:t xml:space="preserve">For customers already enrolled in CPP, the ex ante impacts are reliable as long as there is a sufficiently long history of events under different weather conditions, including extreme ones.  </w:t>
      </w:r>
      <w:r w:rsidRPr="00F0334D">
        <w:rPr>
          <w:rFonts w:cs="Arial"/>
          <w:szCs w:val="20"/>
        </w:rPr>
        <w:t>The ex ante estimates implicitly assume that past event performance is indicative of future customer behavior. </w:t>
      </w:r>
      <w:r>
        <w:rPr>
          <w:rFonts w:cs="Arial"/>
          <w:szCs w:val="20"/>
        </w:rPr>
        <w:t xml:space="preserve"> </w:t>
      </w:r>
      <w:r>
        <w:t xml:space="preserve">The primary source of uncertainty in CPP ex ante impacts arises from program changes.  These include growth in program participants, changes in program rules or tariff design and policy shifts.  Put differently, it is much easier to estimate load impacts under a standard set of conditions for existing customers than it is to do so for a new set of customers, particularly if they differ substantially from existing ones. </w:t>
      </w:r>
    </w:p>
    <w:p w:rsidR="001D37BD" w:rsidRDefault="001D37BD" w:rsidP="001D37BD">
      <w:pPr>
        <w:pStyle w:val="BodyParagraph"/>
      </w:pPr>
      <w:r>
        <w:t xml:space="preserve">For all utilities, load impacts during the winter months are omitted. </w:t>
      </w:r>
      <w:r w:rsidR="004612CA">
        <w:t xml:space="preserve"> </w:t>
      </w:r>
      <w:r>
        <w:t xml:space="preserve">Recent CPP dynamic pricing events have occurred exclusively on hot summer days and, as a result, there is very limited information available (not just in California but elsewhere as well) concerning what load shifting behavior might be in the winter under dynamic rates.  </w:t>
      </w:r>
    </w:p>
    <w:p w:rsidR="001D37BD" w:rsidRDefault="001D37BD" w:rsidP="001D37BD">
      <w:pPr>
        <w:pStyle w:val="Heading3"/>
        <w:ind w:left="720"/>
      </w:pPr>
      <w:bookmarkStart w:id="61" w:name="_Toc289178001"/>
      <w:bookmarkStart w:id="62" w:name="_Toc326072102"/>
      <w:r>
        <w:t>Large C&amp;I Ex Ante Impact Development</w:t>
      </w:r>
      <w:bookmarkEnd w:id="61"/>
      <w:bookmarkEnd w:id="62"/>
    </w:p>
    <w:p w:rsidR="001D37BD" w:rsidRDefault="001D37BD" w:rsidP="001D37BD">
      <w:pPr>
        <w:pStyle w:val="BodyParagraph"/>
      </w:pPr>
      <w:r>
        <w:t xml:space="preserve">For large customers, the degree of uncertainty for ex ante load impacts has narrowed substantially because they have already been defaulted and bill protection period has expired for almost all large customers.  We now know how many of these customers tried out default CPP, how much load reduction they provided during events, what types of customers were more responsive and how many remained on CPP at the end of the summer.  In addition, while some changes in enrollment will occur as newly defaulted customers determine if CPP is the right rate for them, the customer mix for large CPP is expected to remain relatively stable.  </w:t>
      </w:r>
    </w:p>
    <w:p w:rsidR="001D37BD" w:rsidRDefault="001D37BD" w:rsidP="001D37BD">
      <w:pPr>
        <w:pStyle w:val="BodyParagraph"/>
      </w:pPr>
      <w:r>
        <w:t>For the most part, the ex ante load impacts for large customers describe the load reduction capability of existing resources under a standard set of 1-in-2 and 1-in-10 weather conditions.  To produce ex ante impacts, for each continuing customer, we:</w:t>
      </w:r>
    </w:p>
    <w:p w:rsidR="001D37BD" w:rsidRDefault="001D37BD" w:rsidP="001D37BD">
      <w:pPr>
        <w:pStyle w:val="Numbers"/>
        <w:numPr>
          <w:ilvl w:val="0"/>
          <w:numId w:val="14"/>
        </w:numPr>
      </w:pPr>
      <w:r>
        <w:t xml:space="preserve">Stored the regression parameters from the multi-year ex post regression models.  This includes parameters that describe customer hourly load patterns, weather sensitivity, average event load impacts absent weather, and how load impacts vary under different weather conditions; </w:t>
      </w:r>
    </w:p>
    <w:p w:rsidR="001D37BD" w:rsidRDefault="001D37BD" w:rsidP="001D37BD">
      <w:pPr>
        <w:pStyle w:val="Numbers"/>
      </w:pPr>
      <w:r>
        <w:t xml:space="preserve">Linked the 1-in-2 and 1-in-10 weather year conditions to each customer based on their location.  For example, in predicting the 1-in-2 August Peak Day impacts for a customer in the Greater Bay Area and one in Fresno, the ex-ante weather conditions reflected their local conditions. </w:t>
      </w:r>
    </w:p>
    <w:p w:rsidR="001D37BD" w:rsidRDefault="001D37BD" w:rsidP="001D37BD">
      <w:pPr>
        <w:pStyle w:val="Numbers"/>
      </w:pPr>
      <w:r>
        <w:lastRenderedPageBreak/>
        <w:t>Replicated the same variables used in the ex post regression models;</w:t>
      </w:r>
    </w:p>
    <w:p w:rsidR="001D37BD" w:rsidRDefault="001D37BD" w:rsidP="001D37BD">
      <w:pPr>
        <w:pStyle w:val="Numbers"/>
      </w:pPr>
      <w:r>
        <w:t>Predicted the customer electricity use patterns absent event day response – i.e. the reference loads – based on the regression coefficients and ex ante event-day conditions; and</w:t>
      </w:r>
    </w:p>
    <w:p w:rsidR="001D37BD" w:rsidRDefault="001D37BD" w:rsidP="001D37BD">
      <w:pPr>
        <w:pStyle w:val="Numbers"/>
      </w:pPr>
      <w:r>
        <w:t>Predicted the hourly electricity use pattern with event day response – the estimate load with DR – based on the regression coefficients and ex ante event-day conditions.</w:t>
      </w:r>
    </w:p>
    <w:p w:rsidR="001D37BD" w:rsidRDefault="001D37BD" w:rsidP="001D37BD">
      <w:pPr>
        <w:pStyle w:val="Numbers"/>
      </w:pPr>
      <w:r>
        <w:t>Accounted for changes in enrollment and customer mix, such as the mandatory default of PG&amp;E’s agricultural and SMB customers to PDP.</w:t>
      </w:r>
    </w:p>
    <w:p w:rsidR="001D37BD" w:rsidRDefault="001D37BD" w:rsidP="001D37BD">
      <w:pPr>
        <w:pStyle w:val="BodyParaAfterTableFigure"/>
      </w:pPr>
      <w:r>
        <w:t>Impacts were calculated as the difference in loads with and without DR.  The reference loads and impacts were then weighted to reflect any changes in enrollment levels and/or mix.  Finally, they were aggregated for the program as whole and for each local capacity area.  We produced both program specific and portfolio impacts.  Portfolio impacts apply attribution rules to ensure dually</w:t>
      </w:r>
      <w:r w:rsidR="00AF2BFF">
        <w:t xml:space="preserve"> </w:t>
      </w:r>
      <w:r>
        <w:t>enrolled customer impacts are not double-counted in the portfolio.  In general, programs with a higher degree of commitment are attributed load impacts.  For example, impacts for a customer dually</w:t>
      </w:r>
      <w:r w:rsidR="00AF2BFF">
        <w:t xml:space="preserve"> </w:t>
      </w:r>
      <w:r>
        <w:t>enrolled in an aggregator program and CPP would be attributed to the aggregator program because it involves a contractual commitment to deliver specific amounts of load reduction.</w:t>
      </w:r>
    </w:p>
    <w:p w:rsidR="001D37BD" w:rsidRDefault="001D37BD" w:rsidP="001D37BD">
      <w:pPr>
        <w:pStyle w:val="Heading3"/>
        <w:ind w:left="720"/>
      </w:pPr>
      <w:bookmarkStart w:id="63" w:name="_Toc289178002"/>
      <w:bookmarkStart w:id="64" w:name="_Toc326072103"/>
      <w:r w:rsidRPr="00095C9F">
        <w:t>Medium</w:t>
      </w:r>
      <w:r>
        <w:t xml:space="preserve"> C&amp;I Ex Ante Impact Development</w:t>
      </w:r>
      <w:bookmarkEnd w:id="63"/>
      <w:bookmarkEnd w:id="64"/>
    </w:p>
    <w:p w:rsidR="001D37BD" w:rsidRDefault="001D37BD" w:rsidP="001D37BD">
      <w:pPr>
        <w:pStyle w:val="BodyParagraph"/>
      </w:pPr>
      <w:r>
        <w:t xml:space="preserve">For medium customers, the magnitude of ex ante impacts under default dynamic pricing is less certain than it is for large customers.  Outside of California, no utility in the U.S. has defaulted medium customers onto dynamic pricing tariffs.  Within California, several hundred of the 250,000 medium customers have been defaulted onto CPP, mostly in SDG&amp;E, but it is necessary to account for differences between them and the far larger population of medium customers scheduled to default onto CPP.   </w:t>
      </w:r>
    </w:p>
    <w:p w:rsidR="001D37BD" w:rsidRDefault="001D37BD" w:rsidP="001D37BD">
      <w:pPr>
        <w:pStyle w:val="BodyParagraph"/>
      </w:pPr>
      <w:r>
        <w:t>To estimate medium customer impacts, we relied on customers that had already been defaulted onto CPP that were most similar to medium customers.  To obtain a larger and more diverse sample, customers with average hourly demand below 100 kW throughout the year were combined with medium customers.</w:t>
      </w:r>
      <w:r>
        <w:rPr>
          <w:rStyle w:val="FootnoteReference"/>
        </w:rPr>
        <w:footnoteReference w:id="16"/>
      </w:r>
      <w:r>
        <w:t xml:space="preserve">  In other words, customers that are only slightly above the large customer threshold were used as a proxy for medium customers.  This is possible for three reasons.  First, across all three utilities medium customer rates (20-200 Max kW) are very similar to the rates of customers in the next size category (200 to 500 Max kW).  For SDG&amp;E, the tariffs are nearly identical.  Although, the PG&amp;E medium customer tariff lacks a time of use component, the CPP prices that drive the load reductions are similar to those of large customers.  Second, a substantial number of customers are slightly above the large customer threshold.  Third, there is substantial overlap in the electricity use patterns and industry mix between medium and large customers. </w:t>
      </w:r>
    </w:p>
    <w:p w:rsidR="001D37BD" w:rsidRDefault="001D37BD" w:rsidP="001D37BD">
      <w:pPr>
        <w:pStyle w:val="BodyParagraph"/>
      </w:pPr>
      <w:r>
        <w:t xml:space="preserve">To produce ex ante impacts, we applied the same five step process described in Section 3.2.1, but excluded any customer that voluntarily enrolled in CPP prior to the default period.  There were two primary differences in producing the final impact estimates.  First, the estimating sample was weighted by industry and climate region to reflect the distribution of medium customers.  Second, the </w:t>
      </w:r>
      <w:r>
        <w:lastRenderedPageBreak/>
        <w:t>estimating sample load shapes were rescaled to the size of medium customers.  In other words, in producing medium customer ex ante impacts, we accounted for differences in the size, industry mix and geographic distribution between the estimating sample and the larger medium customer population.</w:t>
      </w:r>
    </w:p>
    <w:p w:rsidR="00AF2BFF" w:rsidRDefault="00AF2BFF" w:rsidP="001D37BD">
      <w:pPr>
        <w:pStyle w:val="BodyParagraph"/>
      </w:pPr>
      <w:r>
        <w:t xml:space="preserve">The biggest shifts in ex-ante impacts for medium customer occurred because of updated assumption regarding customer enrollments.  PG&amp;E updated their initial and post bill protection expiration </w:t>
      </w:r>
      <w:proofErr w:type="gramStart"/>
      <w:r>
        <w:t>opt</w:t>
      </w:r>
      <w:proofErr w:type="gramEnd"/>
      <w:r>
        <w:t xml:space="preserve"> out rates to reflect what they had observed among the large customer population.  Last year, they lacked empirical data about opt out rates after first year bill protection expired for customers.  SDG&amp;E updated their enrollment forecast to better reflect the medium customer population that will be defaulted onto CPP.  Last year, they assumed all SDG&amp;E customers on AL-TOU, the current standard rate for medium customers, would be defaulted.  This year, they included and additional crosscheck to ensure the customers fit the official SDG&amp;E definition of a medium customer.  By doing so, the enrollment forecast avoided incorrectly including small customers that had voluntarily enrolled on AL-TOU. </w:t>
      </w:r>
      <w:r w:rsidR="00B90FCF">
        <w:t xml:space="preserve"> In addition, utilities received an extension in the timing of the implementation of default CPP for medium customers. </w:t>
      </w:r>
    </w:p>
    <w:p w:rsidR="001D37BD" w:rsidRDefault="001D37BD" w:rsidP="001D37BD">
      <w:pPr>
        <w:pStyle w:val="Heading3"/>
        <w:ind w:left="720"/>
      </w:pPr>
      <w:bookmarkStart w:id="65" w:name="_Toc289178003"/>
      <w:bookmarkStart w:id="66" w:name="_Toc326072104"/>
      <w:r>
        <w:t>Small C&amp;I Ex Ante Impact Development</w:t>
      </w:r>
      <w:bookmarkEnd w:id="65"/>
      <w:bookmarkEnd w:id="66"/>
      <w:r>
        <w:t xml:space="preserve"> </w:t>
      </w:r>
    </w:p>
    <w:p w:rsidR="001D37BD" w:rsidRDefault="001D37BD" w:rsidP="001D37BD">
      <w:pPr>
        <w:pStyle w:val="BodyParagraph"/>
      </w:pPr>
      <w:r>
        <w:t>For small customers, there is less applicable evidence of customer response to default dynamic pricing.  Neither opt-out patterns nor impacts under default dynamic pricing have been empirically tested for this segment.</w:t>
      </w:r>
      <w:r w:rsidRPr="00036D21">
        <w:t xml:space="preserve"> </w:t>
      </w:r>
      <w:r>
        <w:t xml:space="preserve"> The benchmark study of small and medium C&amp;I price response under </w:t>
      </w:r>
      <w:r>
        <w:rPr>
          <w:i/>
        </w:rPr>
        <w:t>opt-in</w:t>
      </w:r>
      <w:r>
        <w:t xml:space="preserve"> </w:t>
      </w:r>
      <w:r>
        <w:rPr>
          <w:i/>
        </w:rPr>
        <w:t>dynamic pricing</w:t>
      </w:r>
      <w:r>
        <w:t xml:space="preserve">, the California Statewide Pricing Pilot, concluded that small C&amp;I customers did not provide load response in the absence of enabling technology.  Moreover, while the number of small customers is large, they account for a far smaller share of load coincident with the system peak then either small or medium customers.  For all of the above reasons, small customer ex ante load impacts under default CPP are assumed to be zero until empirical data of their response under default CPP is available. </w:t>
      </w:r>
    </w:p>
    <w:p w:rsidR="005C1B70" w:rsidRDefault="00181D50" w:rsidP="00204CD1">
      <w:pPr>
        <w:pStyle w:val="Heading1"/>
      </w:pPr>
      <w:r>
        <w:br w:type="column"/>
      </w:r>
      <w:bookmarkStart w:id="67" w:name="_Toc326072105"/>
      <w:r w:rsidR="00204CD1">
        <w:lastRenderedPageBreak/>
        <w:t>PG&amp;E Ex Post Load Impact Results</w:t>
      </w:r>
      <w:bookmarkEnd w:id="67"/>
    </w:p>
    <w:p w:rsidR="005C1B70" w:rsidRDefault="001929FC" w:rsidP="005C465D">
      <w:pPr>
        <w:pStyle w:val="BodyParagraph"/>
      </w:pPr>
      <w:r>
        <w:t xml:space="preserve">This section summarizes the ex post load impact evaluation for customers on PG&amp;E’s CPP tariff.  PG&amp;E called </w:t>
      </w:r>
      <w:r w:rsidR="005C1B70">
        <w:t>nine CPP events in 2011.  The first event occurred on June 21 and the last was held on September 20.  On average, load impacts were based on the 1,750 accounts that participated in these events, although there was some variation in the number of customers participating in each event, from a low of 1,726 to a high of 1,761.  The fluctuation in participation across events was the result of customer churn throughout the summer period, with some customers departing and others enrolling in</w:t>
      </w:r>
      <w:r w:rsidR="008A1951">
        <w:t>-</w:t>
      </w:r>
      <w:r w:rsidR="005C1B70">
        <w:t>between</w:t>
      </w:r>
      <w:r w:rsidR="006720A1">
        <w:t> </w:t>
      </w:r>
      <w:r w:rsidR="005C1B70">
        <w:t xml:space="preserve">events.  </w:t>
      </w:r>
    </w:p>
    <w:p w:rsidR="005C1B70" w:rsidRDefault="005C1B70" w:rsidP="005C465D">
      <w:pPr>
        <w:pStyle w:val="BodyParagraph"/>
      </w:pPr>
      <w:r>
        <w:t xml:space="preserve">Table 4-1 shows the estimated ex post load impacts for each event day and for the average event day in 2011. </w:t>
      </w:r>
      <w:r w:rsidR="00AB36AD">
        <w:t xml:space="preserve"> </w:t>
      </w:r>
      <w:r w:rsidR="001929FC">
        <w:t>The participant weighted average temperature during the peak period on event days ranged from a low of 82</w:t>
      </w:r>
      <w:r w:rsidR="001929FC">
        <w:rPr>
          <w:rFonts w:cs="Arial"/>
        </w:rPr>
        <w:t>°</w:t>
      </w:r>
      <w:r w:rsidR="001929FC">
        <w:t>F to a high of 93</w:t>
      </w:r>
      <w:r w:rsidR="001929FC">
        <w:rPr>
          <w:rFonts w:cs="Arial"/>
        </w:rPr>
        <w:t>°</w:t>
      </w:r>
      <w:r w:rsidR="001929FC">
        <w:t xml:space="preserve">F. </w:t>
      </w:r>
      <w:r>
        <w:t xml:space="preserve"> The percent, average and aggregate impacts are quite similar across all events, suggesting that there is relatively little weather sensitivity </w:t>
      </w:r>
      <w:r w:rsidR="001929FC">
        <w:t xml:space="preserve">for the average </w:t>
      </w:r>
      <w:r>
        <w:t>PG&amp;E CPP customer.  Percent impacts range from 5.6% to 6.2%, average im</w:t>
      </w:r>
      <w:r w:rsidR="00571881">
        <w:t>pacts range from 15.0 kW to 16.6</w:t>
      </w:r>
      <w:r>
        <w:t xml:space="preserve"> kW and aggregate impacts range from 26.2 MW to 29.0 MW.  On the average event day, the average participant reduced peak period load by 5.9%, or 15.9 kW.  In aggregate, PG&amp;E’s CPP customers reduced load by 27.8 MW on average across the nine event days in 2011.</w:t>
      </w:r>
    </w:p>
    <w:p w:rsidR="005C1B70" w:rsidRDefault="005C1B70" w:rsidP="005C465D">
      <w:pPr>
        <w:pStyle w:val="TableFigureCaption"/>
      </w:pPr>
      <w:r>
        <w:t>Table 4-1:</w:t>
      </w:r>
      <w:r w:rsidR="007E0558">
        <w:t xml:space="preserve"> </w:t>
      </w:r>
      <w:r>
        <w:t>Estimated Ex Post Load Impacts by Event Day</w:t>
      </w:r>
      <w:r>
        <w:br/>
        <w:t>2011 PG&amp;E CPP Events</w:t>
      </w:r>
    </w:p>
    <w:tbl>
      <w:tblPr>
        <w:tblW w:w="9080" w:type="dxa"/>
        <w:jc w:val="center"/>
        <w:tblLook w:val="04A0"/>
      </w:tblPr>
      <w:tblGrid>
        <w:gridCol w:w="1342"/>
        <w:gridCol w:w="1361"/>
        <w:gridCol w:w="1184"/>
        <w:gridCol w:w="1006"/>
        <w:gridCol w:w="1020"/>
        <w:gridCol w:w="880"/>
        <w:gridCol w:w="1206"/>
        <w:gridCol w:w="1428"/>
      </w:tblGrid>
      <w:tr w:rsidR="005C1B70" w:rsidRPr="00121223" w:rsidTr="006720A1">
        <w:trPr>
          <w:trHeight w:val="1020"/>
          <w:jc w:val="center"/>
        </w:trPr>
        <w:tc>
          <w:tcPr>
            <w:tcW w:w="1342"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Event Date</w:t>
            </w:r>
          </w:p>
        </w:tc>
        <w:tc>
          <w:tcPr>
            <w:tcW w:w="1239"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Number of Participants</w:t>
            </w:r>
          </w:p>
        </w:tc>
        <w:tc>
          <w:tcPr>
            <w:tcW w:w="1059"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 Load Impact</w:t>
            </w:r>
          </w:p>
        </w:tc>
        <w:tc>
          <w:tcPr>
            <w:tcW w:w="11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6720A1">
            <w:pPr>
              <w:pStyle w:val="TableHeader"/>
            </w:pPr>
            <w:r w:rsidRPr="00121223">
              <w:t>Aggregate Load Impact (MW)</w:t>
            </w:r>
          </w:p>
        </w:tc>
        <w:tc>
          <w:tcPr>
            <w:tcW w:w="1420"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121223" w:rsidRDefault="005C1B70" w:rsidP="006720A1">
            <w:pPr>
              <w:pStyle w:val="TableHeader"/>
            </w:pPr>
            <w:r w:rsidRPr="00121223">
              <w:t>Average Temperature During Event (°F)</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6/21/2011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1,726</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272.5</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257.1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5.7%</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26.7</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92.8</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7/5/2011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1,729</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266.1</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250.2</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15.9</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6.0%</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27.5</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90.2</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7/29/2011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1,752</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242.2</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227.2</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15.0</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6.2%</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26.2</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82.1</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8/23/2011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1,753</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278.3</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261.7</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16.6</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5.9%</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29.0</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90.0</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8/29/2011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1,757</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264.6</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249.1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15.5</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5.9%</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27.2</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82.4</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9/2/2011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1,753</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265.5</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249.0</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6.2%</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28.8</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86.5</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9/6/2011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1,760</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274.6</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258.9</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15.7</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5.7%</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27.7</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87.2</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9/7/2011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1,755</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281.8</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265.4</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5.8%</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28.7</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91.0</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9/20/2011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1,761</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288.8</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272.7</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16.1</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5.6%</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28.3</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91.2</w:t>
            </w:r>
          </w:p>
        </w:tc>
      </w:tr>
      <w:tr w:rsidR="005C1B70" w:rsidRPr="00121223" w:rsidTr="006720A1">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Average Event</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1,750</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270.5</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254.6</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15.9</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5.9%</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27.8</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88.1</w:t>
            </w:r>
          </w:p>
        </w:tc>
      </w:tr>
    </w:tbl>
    <w:p w:rsidR="005C1B70" w:rsidRDefault="005C1B70" w:rsidP="007E0558">
      <w:pPr>
        <w:pStyle w:val="Heading2"/>
        <w:spacing w:before="360"/>
      </w:pPr>
      <w:bookmarkStart w:id="68" w:name="_Toc326072106"/>
      <w:r>
        <w:t>Average Event Day Impacts</w:t>
      </w:r>
      <w:bookmarkEnd w:id="68"/>
    </w:p>
    <w:p w:rsidR="005C1B70" w:rsidRDefault="005C1B70" w:rsidP="005C465D">
      <w:pPr>
        <w:pStyle w:val="BodyParagraph"/>
      </w:pPr>
      <w:r>
        <w:t xml:space="preserve">Figure 4-1 shows the </w:t>
      </w:r>
      <w:r w:rsidR="001929FC">
        <w:t xml:space="preserve">aggregate </w:t>
      </w:r>
      <w:r>
        <w:t xml:space="preserve">hourly impacts for </w:t>
      </w:r>
      <w:r w:rsidR="001929FC">
        <w:t xml:space="preserve">all </w:t>
      </w:r>
      <w:r w:rsidR="00342900">
        <w:t xml:space="preserve">PG&amp;E </w:t>
      </w:r>
      <w:r w:rsidR="001929FC">
        <w:t>CPP customers</w:t>
      </w:r>
      <w:r>
        <w:t xml:space="preserve">.  It is a snapshot of the electronic tables filed with the CPUC along with this evaluation report.  Percent reductions in each hour </w:t>
      </w:r>
      <w:r w:rsidR="00342900">
        <w:t xml:space="preserve">vary little across </w:t>
      </w:r>
      <w:r>
        <w:t xml:space="preserve">the four hour event window, </w:t>
      </w:r>
      <w:r w:rsidR="00342900">
        <w:t xml:space="preserve">ranging </w:t>
      </w:r>
      <w:r>
        <w:t xml:space="preserve">from a high of 6.3% in the first hour to a low of 5.6% in the last hour.  Statistically, these differences are probably not significant.  </w:t>
      </w:r>
      <w:r w:rsidR="00342900">
        <w:t>R</w:t>
      </w:r>
      <w:r>
        <w:t xml:space="preserve">eference loads and load impacts vary more than percentage impacts.  </w:t>
      </w:r>
      <w:r w:rsidR="00571881">
        <w:t>The highest aggregate impact, 32</w:t>
      </w:r>
      <w:r>
        <w:t xml:space="preserve">.5 MW, occurs in the first hour and </w:t>
      </w:r>
      <w:r w:rsidR="00342900">
        <w:t xml:space="preserve">the </w:t>
      </w:r>
      <w:r>
        <w:t xml:space="preserve">lowest impact, 24.0 MW, occurs in the last hour.  The decline in </w:t>
      </w:r>
      <w:r>
        <w:lastRenderedPageBreak/>
        <w:t xml:space="preserve">impacts coincides with the decline in the aggregate reference load.  This </w:t>
      </w:r>
      <w:r w:rsidR="00342900">
        <w:t xml:space="preserve">represents a typical </w:t>
      </w:r>
      <w:r>
        <w:t xml:space="preserve">pattern </w:t>
      </w:r>
      <w:r w:rsidR="00342900">
        <w:t xml:space="preserve">for </w:t>
      </w:r>
      <w:r>
        <w:t xml:space="preserve">non-residential </w:t>
      </w:r>
      <w:r w:rsidR="00342900">
        <w:t xml:space="preserve">customers, showing a </w:t>
      </w:r>
      <w:r>
        <w:t xml:space="preserve">relatively </w:t>
      </w:r>
      <w:r w:rsidR="00342900">
        <w:t xml:space="preserve">steep decline in </w:t>
      </w:r>
      <w:r>
        <w:t xml:space="preserve">late afternoon and early evening, when </w:t>
      </w:r>
      <w:r w:rsidR="00914C66">
        <w:t xml:space="preserve">many </w:t>
      </w:r>
      <w:r>
        <w:t xml:space="preserve">manufacturing plants and </w:t>
      </w:r>
      <w:r w:rsidR="00342900">
        <w:t xml:space="preserve">many </w:t>
      </w:r>
      <w:r>
        <w:t xml:space="preserve">other </w:t>
      </w:r>
      <w:r w:rsidR="00342900">
        <w:t xml:space="preserve">businesses </w:t>
      </w:r>
      <w:r>
        <w:t xml:space="preserve">begin shutting down at the end of the work day.  </w:t>
      </w:r>
    </w:p>
    <w:p w:rsidR="0075616D" w:rsidRDefault="0075616D" w:rsidP="005C465D">
      <w:pPr>
        <w:pStyle w:val="BodyParagraph"/>
      </w:pPr>
    </w:p>
    <w:p w:rsidR="0075616D" w:rsidRDefault="0075616D" w:rsidP="005C465D">
      <w:pPr>
        <w:pStyle w:val="BodyParagraph"/>
      </w:pPr>
    </w:p>
    <w:p w:rsidR="0075616D" w:rsidRDefault="0075616D" w:rsidP="005C465D">
      <w:pPr>
        <w:pStyle w:val="BodyParagraph"/>
      </w:pPr>
    </w:p>
    <w:p w:rsidR="0075616D" w:rsidRDefault="0075616D" w:rsidP="005C465D">
      <w:pPr>
        <w:pStyle w:val="BodyParagraph"/>
      </w:pPr>
    </w:p>
    <w:p w:rsidR="0075616D" w:rsidRDefault="0075616D" w:rsidP="005C465D">
      <w:pPr>
        <w:pStyle w:val="BodyParagraph"/>
      </w:pPr>
    </w:p>
    <w:p w:rsidR="0075616D" w:rsidRDefault="0075616D" w:rsidP="005C465D">
      <w:pPr>
        <w:pStyle w:val="BodyParagraph"/>
      </w:pPr>
    </w:p>
    <w:p w:rsidR="0075616D" w:rsidRDefault="0075616D"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sectPr w:rsidR="0056258B" w:rsidSect="00D04113">
          <w:pgSz w:w="12240" w:h="15840"/>
          <w:pgMar w:top="1440" w:right="1440" w:bottom="1440" w:left="1440" w:header="720" w:footer="720" w:gutter="0"/>
          <w:pgNumType w:start="1"/>
          <w:cols w:space="720"/>
          <w:docGrid w:linePitch="360"/>
        </w:sectPr>
      </w:pPr>
    </w:p>
    <w:p w:rsidR="005C1B70" w:rsidRDefault="005C1B70" w:rsidP="005C465D">
      <w:pPr>
        <w:pStyle w:val="TableFigureCaption"/>
      </w:pPr>
      <w:r w:rsidRPr="00462B2D">
        <w:lastRenderedPageBreak/>
        <w:t>Figure</w:t>
      </w:r>
      <w:r>
        <w:t xml:space="preserve"> 4-1:</w:t>
      </w:r>
      <w:r w:rsidR="007E0558">
        <w:t xml:space="preserve"> </w:t>
      </w:r>
      <w:r>
        <w:t>Estimated Hourly Impacts for the Average Event Day</w:t>
      </w:r>
      <w:r w:rsidRPr="006E6018">
        <w:br/>
      </w:r>
      <w:r>
        <w:t>2011 PG&amp;E CPP Events</w:t>
      </w:r>
    </w:p>
    <w:p w:rsidR="0075616D" w:rsidRDefault="0056258B" w:rsidP="00345A24">
      <w:pPr>
        <w:pStyle w:val="BodyParagraph"/>
        <w:jc w:val="center"/>
      </w:pPr>
      <w:r>
        <w:rPr>
          <w:noProof/>
        </w:rPr>
        <w:drawing>
          <wp:inline distT="0" distB="0" distL="0" distR="0">
            <wp:extent cx="8229600" cy="4319504"/>
            <wp:effectExtent l="1905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8229600" cy="4319504"/>
                    </a:xfrm>
                    <a:prstGeom prst="rect">
                      <a:avLst/>
                    </a:prstGeom>
                    <a:noFill/>
                    <a:ln w="9525">
                      <a:noFill/>
                      <a:miter lim="800000"/>
                      <a:headEnd/>
                      <a:tailEnd/>
                    </a:ln>
                  </pic:spPr>
                </pic:pic>
              </a:graphicData>
            </a:graphic>
          </wp:inline>
        </w:drawing>
      </w:r>
    </w:p>
    <w:p w:rsidR="0056258B" w:rsidRDefault="0056258B" w:rsidP="005C465D">
      <w:pPr>
        <w:pStyle w:val="BodyParagraph"/>
        <w:sectPr w:rsidR="0056258B" w:rsidSect="00292B1C">
          <w:headerReference w:type="default" r:id="rId18"/>
          <w:pgSz w:w="15840" w:h="12240" w:orient="landscape"/>
          <w:pgMar w:top="1440" w:right="1440" w:bottom="1440" w:left="1440" w:header="720" w:footer="720" w:gutter="0"/>
          <w:cols w:space="720"/>
          <w:docGrid w:linePitch="360"/>
        </w:sectPr>
      </w:pPr>
    </w:p>
    <w:p w:rsidR="00EA6FB2" w:rsidRDefault="005C1B70">
      <w:pPr>
        <w:pStyle w:val="Heading2"/>
      </w:pPr>
      <w:bookmarkStart w:id="69" w:name="_Toc326072107"/>
      <w:r w:rsidRPr="008A1951">
        <w:lastRenderedPageBreak/>
        <w:t>Load</w:t>
      </w:r>
      <w:r>
        <w:t xml:space="preserve"> Impacts by Industry</w:t>
      </w:r>
      <w:bookmarkEnd w:id="69"/>
    </w:p>
    <w:p w:rsidR="00EA6FB2" w:rsidRDefault="005C1B70">
      <w:pPr>
        <w:pStyle w:val="BodyParagraph"/>
      </w:pPr>
      <w:r>
        <w:t>Table 4-2 shows the estimated ex post load impacts by industry.  About 4</w:t>
      </w:r>
      <w:r w:rsidR="00E13554">
        <w:t>1</w:t>
      </w:r>
      <w:r>
        <w:t>% of the accounts and 86% of the aggregate load reduction c</w:t>
      </w:r>
      <w:r w:rsidR="00914C66">
        <w:t>a</w:t>
      </w:r>
      <w:r>
        <w:t>me from three industry segments: Agriculture, Mining &amp; Construction; Manufacturing; and Wholesale, Transport &amp; Other Utilities.  These three industries ha</w:t>
      </w:r>
      <w:r w:rsidR="00914C66">
        <w:t>d</w:t>
      </w:r>
      <w:r>
        <w:t xml:space="preserve"> the highest percent impact and highest average impact per customer.  For the average event in 2011, participants in the Manufacturing s</w:t>
      </w:r>
      <w:r w:rsidR="00342900">
        <w:t>ector</w:t>
      </w:r>
      <w:r>
        <w:t xml:space="preserve"> provided 12.1 MW of aggregate load </w:t>
      </w:r>
      <w:r w:rsidR="00342900">
        <w:t>reduction</w:t>
      </w:r>
      <w:r>
        <w:t>, while the Wholesale, Transport &amp; Other Utilities segment provided 8.3 MW of aggregate load impact.  Larger aggregate impacts were expected f</w:t>
      </w:r>
      <w:r w:rsidR="00914C66">
        <w:t>rom</w:t>
      </w:r>
      <w:r>
        <w:t xml:space="preserve"> these sectors because the</w:t>
      </w:r>
      <w:r w:rsidR="00342900">
        <w:t xml:space="preserve"> number and size of </w:t>
      </w:r>
      <w:r>
        <w:t xml:space="preserve">participants, on average, </w:t>
      </w:r>
      <w:r w:rsidR="00342900">
        <w:t xml:space="preserve">is greater </w:t>
      </w:r>
      <w:r>
        <w:t xml:space="preserve">than </w:t>
      </w:r>
      <w:r w:rsidR="00342900">
        <w:t xml:space="preserve">for </w:t>
      </w:r>
      <w:r>
        <w:t xml:space="preserve">other </w:t>
      </w:r>
      <w:r w:rsidR="00342900">
        <w:t>customer segments</w:t>
      </w:r>
      <w:r>
        <w:t xml:space="preserve">.  </w:t>
      </w:r>
    </w:p>
    <w:p w:rsidR="005C1B70" w:rsidRDefault="005C1B70" w:rsidP="005C465D">
      <w:pPr>
        <w:pStyle w:val="BodyParagraph"/>
      </w:pPr>
      <w:r>
        <w:t xml:space="preserve">Load impacts for Schools were negligible, even though schools comprised roughly 16% of the number of participating accounts.  The variation in school occupancy and </w:t>
      </w:r>
      <w:r w:rsidR="00342900">
        <w:t xml:space="preserve">resulting </w:t>
      </w:r>
      <w:r>
        <w:t>loads across the summer period make it very difficult to estimate load impacts for this segment.  It may be that some schools provide</w:t>
      </w:r>
      <w:r w:rsidR="00914C66">
        <w:t>d</w:t>
      </w:r>
      <w:r>
        <w:t xml:space="preserve"> meaningful load reductions, but on average, there were no statistically significant impacts for this relatively large participant population.  The largest participant population, comprised of Offices, Hotels, Finance &amp; Services, had very small load reductions on both a percentage and absolute basis.  Load patterns for this segment are much more easily estimated.  </w:t>
      </w:r>
    </w:p>
    <w:p w:rsidR="005C1B70" w:rsidRDefault="005C1B70" w:rsidP="005C465D">
      <w:pPr>
        <w:pStyle w:val="TableFigureCaption"/>
      </w:pPr>
      <w:r>
        <w:t>Table 4-2:</w:t>
      </w:r>
      <w:r w:rsidR="007E0558">
        <w:t xml:space="preserve"> </w:t>
      </w:r>
      <w:r>
        <w:t>Estimated Ex Post Load Impacts by Industry</w:t>
      </w:r>
      <w:r>
        <w:br/>
        <w:t>Average 2011 PG&amp;E CPP Events</w:t>
      </w:r>
    </w:p>
    <w:tbl>
      <w:tblPr>
        <w:tblW w:w="10471" w:type="dxa"/>
        <w:jc w:val="center"/>
        <w:tblInd w:w="610" w:type="dxa"/>
        <w:tblLook w:val="04A0"/>
      </w:tblPr>
      <w:tblGrid>
        <w:gridCol w:w="2167"/>
        <w:gridCol w:w="1247"/>
        <w:gridCol w:w="1282"/>
        <w:gridCol w:w="1058"/>
        <w:gridCol w:w="1282"/>
        <w:gridCol w:w="797"/>
        <w:gridCol w:w="1186"/>
        <w:gridCol w:w="1480"/>
      </w:tblGrid>
      <w:tr w:rsidR="000577B8" w:rsidRPr="000577B8" w:rsidTr="000577B8">
        <w:trPr>
          <w:trHeight w:val="1020"/>
          <w:jc w:val="center"/>
        </w:trPr>
        <w:tc>
          <w:tcPr>
            <w:tcW w:w="2167"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Industry</w:t>
            </w:r>
          </w:p>
        </w:tc>
        <w:tc>
          <w:tcPr>
            <w:tcW w:w="1247"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Number of Participants</w:t>
            </w:r>
          </w:p>
        </w:tc>
        <w:tc>
          <w:tcPr>
            <w:tcW w:w="1282"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Average Reference Load  (kW)</w:t>
            </w:r>
          </w:p>
        </w:tc>
        <w:tc>
          <w:tcPr>
            <w:tcW w:w="1058"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Average Load with DR (kW)</w:t>
            </w:r>
          </w:p>
        </w:tc>
        <w:tc>
          <w:tcPr>
            <w:tcW w:w="1282"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Average Load Impact (kW)</w:t>
            </w:r>
          </w:p>
        </w:tc>
        <w:tc>
          <w:tcPr>
            <w:tcW w:w="769"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 Load Impact</w:t>
            </w:r>
          </w:p>
        </w:tc>
        <w:tc>
          <w:tcPr>
            <w:tcW w:w="118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Aggregate Load Impact (MW)</w:t>
            </w:r>
          </w:p>
        </w:tc>
        <w:tc>
          <w:tcPr>
            <w:tcW w:w="1480"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0577B8" w:rsidRDefault="005C1B70" w:rsidP="000577B8">
            <w:pPr>
              <w:pStyle w:val="TableHeader"/>
              <w:rPr>
                <w:sz w:val="18"/>
                <w:szCs w:val="18"/>
              </w:rPr>
            </w:pPr>
            <w:r w:rsidRPr="000577B8">
              <w:rPr>
                <w:sz w:val="18"/>
                <w:szCs w:val="18"/>
              </w:rPr>
              <w:t>Average Temperature During Event (</w:t>
            </w:r>
            <w:r w:rsidRPr="000577B8">
              <w:rPr>
                <w:rFonts w:ascii="Calibri" w:hAnsi="Calibri" w:cs="Calibri"/>
                <w:sz w:val="18"/>
                <w:szCs w:val="18"/>
              </w:rPr>
              <w:t>°</w:t>
            </w:r>
            <w:r w:rsidRPr="000577B8">
              <w:rPr>
                <w:sz w:val="18"/>
                <w:szCs w:val="18"/>
              </w:rPr>
              <w:t>F)</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Agriculture, Mining &amp; Construction</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120</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167.4</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139.4</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28.0</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16.7%</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3.4</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89.7</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Manufacturing</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352</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316.8</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282.3</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34.5</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10.9%</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12.1</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88.5</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Wholesale, Transport &amp; Other Utilities</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241</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199.7</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165.1</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34.6</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17.3%</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8.3</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88.8</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Retail Stores</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121</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279.5</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266.8</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12.7</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4.5%</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88.9</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Offices, Hotels, Finance, Services</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465</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350.0</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348.4</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0.4%</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0.7</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84.6</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Schools</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287</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188.2</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188.2</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0.0</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0.0%</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0.0</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91.9</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Institutional/Government</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139</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275.6</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265.7</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10.0</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3.6%</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1.4</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88.6</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Other or Unknown</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169.4</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154.5</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15.0</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0.4</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86.7</w:t>
            </w:r>
          </w:p>
        </w:tc>
      </w:tr>
      <w:tr w:rsidR="005C1B70" w:rsidRPr="00121223" w:rsidTr="000577B8">
        <w:trPr>
          <w:trHeight w:val="300"/>
          <w:jc w:val="center"/>
        </w:trPr>
        <w:tc>
          <w:tcPr>
            <w:tcW w:w="216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All Customers</w:t>
            </w:r>
          </w:p>
        </w:tc>
        <w:tc>
          <w:tcPr>
            <w:tcW w:w="124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1,750</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270.5</w:t>
            </w:r>
          </w:p>
        </w:tc>
        <w:tc>
          <w:tcPr>
            <w:tcW w:w="105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254.6</w:t>
            </w:r>
          </w:p>
        </w:tc>
        <w:tc>
          <w:tcPr>
            <w:tcW w:w="1282"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15.9</w:t>
            </w:r>
          </w:p>
        </w:tc>
        <w:tc>
          <w:tcPr>
            <w:tcW w:w="76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5.9%</w:t>
            </w:r>
          </w:p>
        </w:tc>
        <w:tc>
          <w:tcPr>
            <w:tcW w:w="118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27.8</w:t>
            </w:r>
          </w:p>
        </w:tc>
        <w:tc>
          <w:tcPr>
            <w:tcW w:w="14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88.1</w:t>
            </w:r>
          </w:p>
        </w:tc>
      </w:tr>
    </w:tbl>
    <w:p w:rsidR="00914C66" w:rsidRDefault="00914C66" w:rsidP="005C465D">
      <w:pPr>
        <w:pStyle w:val="BodyParaAfterTableFigure"/>
      </w:pPr>
    </w:p>
    <w:p w:rsidR="002A5ABE" w:rsidRDefault="00914C66" w:rsidP="005C465D">
      <w:pPr>
        <w:pStyle w:val="BodyParagraph"/>
      </w:pPr>
      <w:r>
        <w:br w:type="page"/>
      </w:r>
    </w:p>
    <w:p w:rsidR="0056258B" w:rsidRDefault="00584CF1" w:rsidP="005C465D">
      <w:pPr>
        <w:pStyle w:val="BodyParaAfterTableFigure"/>
      </w:pPr>
      <w:r>
        <w:lastRenderedPageBreak/>
        <w:t>Figure 4-2</w:t>
      </w:r>
      <w:r w:rsidR="0056258B">
        <w:t xml:space="preserve"> compares the </w:t>
      </w:r>
      <w:r w:rsidR="00914C66">
        <w:t>reference load, load impact and the number o</w:t>
      </w:r>
      <w:r w:rsidR="00B91DB2">
        <w:t>f accounts, in percentage terms</w:t>
      </w:r>
      <w:r w:rsidR="00914C66">
        <w:t xml:space="preserve"> for each customer segment</w:t>
      </w:r>
      <w:r w:rsidR="0056258B">
        <w:t>.</w:t>
      </w:r>
    </w:p>
    <w:p w:rsidR="0056258B" w:rsidRPr="00DF1D4A" w:rsidRDefault="00584CF1" w:rsidP="005C465D">
      <w:pPr>
        <w:pStyle w:val="TableFigureCaption"/>
      </w:pPr>
      <w:r>
        <w:t>Figure 4-2</w:t>
      </w:r>
      <w:r w:rsidR="0056258B" w:rsidRPr="00DF1D4A">
        <w:t>:</w:t>
      </w:r>
      <w:r w:rsidR="007E0558">
        <w:t xml:space="preserve"> </w:t>
      </w:r>
      <w:r w:rsidR="0056258B">
        <w:t xml:space="preserve">PG&amp;E </w:t>
      </w:r>
      <w:r w:rsidR="0056258B" w:rsidRPr="00DF1D4A">
        <w:t>Distribution of Event Period Reference Load and Impacts by Industry</w:t>
      </w:r>
    </w:p>
    <w:p w:rsidR="0056258B" w:rsidRDefault="0056258B" w:rsidP="007E0558">
      <w:pPr>
        <w:pStyle w:val="BodyParagraph"/>
        <w:jc w:val="center"/>
      </w:pPr>
      <w:r w:rsidRPr="008B2DA3">
        <w:rPr>
          <w:noProof/>
        </w:rPr>
        <w:drawing>
          <wp:inline distT="0" distB="0" distL="0" distR="0">
            <wp:extent cx="4572000" cy="2743200"/>
            <wp:effectExtent l="19050" t="0" r="1905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258B" w:rsidRDefault="0056258B" w:rsidP="005C465D">
      <w:pPr>
        <w:pStyle w:val="BodyParaAfterTableFigure"/>
      </w:pPr>
      <w:r>
        <w:t xml:space="preserve">The </w:t>
      </w:r>
      <w:r w:rsidR="00914C66">
        <w:t xml:space="preserve">reference </w:t>
      </w:r>
      <w:r w:rsidR="00584CF1">
        <w:t xml:space="preserve">load </w:t>
      </w:r>
      <w:r>
        <w:t xml:space="preserve">is concentrated among the Offices, Hotels, Finance and Services sector.  These are typically office buildings.  They accounted for 34% of the estimated </w:t>
      </w:r>
      <w:r w:rsidR="00914C66">
        <w:t xml:space="preserve">reference </w:t>
      </w:r>
      <w:r>
        <w:t xml:space="preserve">load (162.8 MW) but only produced about 3% of the load reduction (0.7 MW).  On average, offices reduced load by 0.4%.  In contrast, the Manufacturing and Wholesale, Transport and Other Utilities sectors </w:t>
      </w:r>
      <w:r w:rsidR="00914C66">
        <w:t xml:space="preserve">provided much larger load reductions.  </w:t>
      </w:r>
      <w:r>
        <w:t>Combined, they accounted for 34% of the reference load (159.6 MW) but produced 74% of the impacts (20.5 MW).</w:t>
      </w:r>
    </w:p>
    <w:p w:rsidR="002A5ABE" w:rsidRDefault="005C1B70" w:rsidP="005C465D">
      <w:pPr>
        <w:pStyle w:val="Heading2"/>
      </w:pPr>
      <w:bookmarkStart w:id="70" w:name="_Toc326072108"/>
      <w:r>
        <w:t>Load Impacts by Local Capacity Area</w:t>
      </w:r>
      <w:bookmarkEnd w:id="70"/>
    </w:p>
    <w:p w:rsidR="00052A56" w:rsidRDefault="005C1B70" w:rsidP="007E0558">
      <w:pPr>
        <w:pStyle w:val="BodyParagraph"/>
      </w:pPr>
      <w:r>
        <w:t xml:space="preserve">Table 4-3 shows the estimated ex post load impacts by local capacity area.  For the average event in 2011, participants in the Greater Bay Area provided 9.7 MW of aggregate load impact, while customers in </w:t>
      </w:r>
      <w:r w:rsidR="00914C66">
        <w:t xml:space="preserve">the </w:t>
      </w:r>
      <w:proofErr w:type="gramStart"/>
      <w:r>
        <w:t>Other</w:t>
      </w:r>
      <w:proofErr w:type="gramEnd"/>
      <w:r>
        <w:t xml:space="preserve"> or Unknown </w:t>
      </w:r>
      <w:r w:rsidR="00914C66">
        <w:t>LCA</w:t>
      </w:r>
      <w:r w:rsidR="00342900">
        <w:t xml:space="preserve"> </w:t>
      </w:r>
      <w:r>
        <w:t xml:space="preserve">provided 8.5 MW of aggregate load </w:t>
      </w:r>
      <w:r w:rsidR="00342900">
        <w:t>reduction</w:t>
      </w:r>
      <w:r>
        <w:t>.  These LCAs comprise</w:t>
      </w:r>
      <w:r w:rsidR="00914C66">
        <w:t>d</w:t>
      </w:r>
      <w:r>
        <w:t xml:space="preserve"> approximately 66% of the </w:t>
      </w:r>
      <w:r w:rsidR="00342900">
        <w:t xml:space="preserve">enrolled population and </w:t>
      </w:r>
      <w:r>
        <w:t>aggregate load impact.  Customers in the Greater Bay Area ha</w:t>
      </w:r>
      <w:r w:rsidR="00914C66">
        <w:t>d</w:t>
      </w:r>
      <w:r>
        <w:t xml:space="preserve"> the highest average reference loads of any LCA at 324.3 kW, while customers in the Kern LCA ha</w:t>
      </w:r>
      <w:r w:rsidR="00914C66">
        <w:t>d</w:t>
      </w:r>
      <w:r>
        <w:t xml:space="preserve"> the lowest average reference loads (102.6 kW).  However, customers in the Kern LCA show</w:t>
      </w:r>
      <w:r w:rsidR="00914C66">
        <w:t>ed</w:t>
      </w:r>
      <w:r>
        <w:t xml:space="preserve"> the greatest percent load impact of any LCA</w:t>
      </w:r>
      <w:r w:rsidR="005B4C37">
        <w:t>,</w:t>
      </w:r>
      <w:r>
        <w:t xml:space="preserve"> at 12.7%.  These large differences across LCAs are almost certainly due to differences in the underlying distribution of customers across industry segments and size</w:t>
      </w:r>
      <w:r w:rsidR="006720A1">
        <w:t> </w:t>
      </w:r>
      <w:r>
        <w:t xml:space="preserve">strata.  </w:t>
      </w:r>
    </w:p>
    <w:p w:rsidR="005C1B70" w:rsidRDefault="005C1B70" w:rsidP="005C1B70">
      <w:pPr>
        <w:rPr>
          <w:rFonts w:ascii="Arial" w:hAnsi="Arial"/>
          <w:b/>
        </w:rPr>
      </w:pPr>
      <w:r>
        <w:br w:type="page"/>
      </w:r>
    </w:p>
    <w:p w:rsidR="005C1B70" w:rsidRDefault="005C1B70" w:rsidP="005C465D">
      <w:pPr>
        <w:pStyle w:val="TableFigureCaption"/>
      </w:pPr>
      <w:r>
        <w:lastRenderedPageBreak/>
        <w:t>Table 4-3:</w:t>
      </w:r>
      <w:r w:rsidR="007E0558">
        <w:t xml:space="preserve"> </w:t>
      </w:r>
      <w:r>
        <w:t>Estimated Ex Post Load Impacts by LCA</w:t>
      </w:r>
      <w:r>
        <w:br/>
        <w:t>Average 2011 PG&amp;E CPP Events</w:t>
      </w:r>
    </w:p>
    <w:tbl>
      <w:tblPr>
        <w:tblW w:w="9669" w:type="dxa"/>
        <w:jc w:val="center"/>
        <w:tblInd w:w="1320" w:type="dxa"/>
        <w:tblLook w:val="04A0"/>
      </w:tblPr>
      <w:tblGrid>
        <w:gridCol w:w="1890"/>
        <w:gridCol w:w="1260"/>
        <w:gridCol w:w="1290"/>
        <w:gridCol w:w="1000"/>
        <w:gridCol w:w="860"/>
        <w:gridCol w:w="990"/>
        <w:gridCol w:w="1013"/>
        <w:gridCol w:w="1366"/>
      </w:tblGrid>
      <w:tr w:rsidR="000577B8" w:rsidRPr="00121223" w:rsidTr="000577B8">
        <w:trPr>
          <w:trHeight w:val="1020"/>
          <w:jc w:val="center"/>
        </w:trPr>
        <w:tc>
          <w:tcPr>
            <w:tcW w:w="1890" w:type="dxa"/>
            <w:tcBorders>
              <w:top w:val="single" w:sz="4" w:space="0" w:color="auto"/>
              <w:left w:val="single" w:sz="4" w:space="0" w:color="auto"/>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Local Capacity Area</w:t>
            </w:r>
          </w:p>
        </w:tc>
        <w:tc>
          <w:tcPr>
            <w:tcW w:w="1260" w:type="dxa"/>
            <w:tcBorders>
              <w:top w:val="single" w:sz="4" w:space="0" w:color="auto"/>
              <w:left w:val="nil"/>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Number of Participants</w:t>
            </w:r>
          </w:p>
        </w:tc>
        <w:tc>
          <w:tcPr>
            <w:tcW w:w="1290" w:type="dxa"/>
            <w:tcBorders>
              <w:top w:val="single" w:sz="4" w:space="0" w:color="auto"/>
              <w:left w:val="nil"/>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Average Load with DR (kW)</w:t>
            </w:r>
          </w:p>
        </w:tc>
        <w:tc>
          <w:tcPr>
            <w:tcW w:w="860" w:type="dxa"/>
            <w:tcBorders>
              <w:top w:val="single" w:sz="4" w:space="0" w:color="auto"/>
              <w:left w:val="nil"/>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Average Load Impact (kW)</w:t>
            </w:r>
          </w:p>
        </w:tc>
        <w:tc>
          <w:tcPr>
            <w:tcW w:w="990" w:type="dxa"/>
            <w:tcBorders>
              <w:top w:val="single" w:sz="4" w:space="0" w:color="auto"/>
              <w:left w:val="nil"/>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 Load Impact</w:t>
            </w:r>
          </w:p>
        </w:tc>
        <w:tc>
          <w:tcPr>
            <w:tcW w:w="1013" w:type="dxa"/>
            <w:tcBorders>
              <w:top w:val="single" w:sz="4" w:space="0" w:color="auto"/>
              <w:left w:val="nil"/>
              <w:bottom w:val="single" w:sz="4" w:space="0" w:color="auto"/>
              <w:right w:val="single" w:sz="4" w:space="0" w:color="FFFFFF"/>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Aggregate Load Impact (MW)</w:t>
            </w:r>
          </w:p>
        </w:tc>
        <w:tc>
          <w:tcPr>
            <w:tcW w:w="1366" w:type="dxa"/>
            <w:tcBorders>
              <w:top w:val="single" w:sz="4" w:space="0" w:color="auto"/>
              <w:left w:val="nil"/>
              <w:bottom w:val="single" w:sz="4" w:space="0" w:color="auto"/>
              <w:right w:val="single" w:sz="4" w:space="0" w:color="auto"/>
            </w:tcBorders>
            <w:shd w:val="clear" w:color="000000" w:fill="1F497D" w:themeFill="text2"/>
            <w:tcMar>
              <w:left w:w="29" w:type="dxa"/>
              <w:right w:w="43" w:type="dxa"/>
            </w:tcMar>
            <w:vAlign w:val="center"/>
            <w:hideMark/>
          </w:tcPr>
          <w:p w:rsidR="005C1B70" w:rsidRPr="000577B8" w:rsidRDefault="005C1B70" w:rsidP="000577B8">
            <w:pPr>
              <w:pStyle w:val="TableHeader"/>
              <w:rPr>
                <w:sz w:val="18"/>
                <w:szCs w:val="18"/>
              </w:rPr>
            </w:pPr>
            <w:r w:rsidRPr="000577B8">
              <w:rPr>
                <w:sz w:val="18"/>
                <w:szCs w:val="18"/>
              </w:rPr>
              <w:t>Average Temperature During Event (°F)</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Greater Bay Area</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798</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324.3</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312.1</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12.2</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3.8%</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9.7</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83.1</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Greater Fresno</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186</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258.9</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243.2</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15.7</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6.1%</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2.9</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98.7</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Kern</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138</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102.6</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89.6</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13.0</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12.7%</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1.8</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98.1</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Northern Coast</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99</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235.8</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219.0</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16.8</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7.1%</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1.7</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89.9</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Other</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350</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259.5</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235.2</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24.3</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9.4%</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8.5</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86.4</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Sierra</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82</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209.8</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191.7</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18.2</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8.7%</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1.5</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94.4</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Stockton</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96</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214.4</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196.7</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17.7</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8.2%</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1.7</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94.7</w:t>
            </w:r>
          </w:p>
        </w:tc>
      </w:tr>
      <w:tr w:rsidR="005C1B70" w:rsidRPr="00121223" w:rsidTr="000577B8">
        <w:trPr>
          <w:trHeight w:val="300"/>
          <w:jc w:val="center"/>
        </w:trPr>
        <w:tc>
          <w:tcPr>
            <w:tcW w:w="1890" w:type="dxa"/>
            <w:tcBorders>
              <w:top w:val="nil"/>
              <w:left w:val="single" w:sz="4" w:space="0" w:color="auto"/>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All Customers</w:t>
            </w:r>
          </w:p>
        </w:tc>
        <w:tc>
          <w:tcPr>
            <w:tcW w:w="12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1,750</w:t>
            </w:r>
          </w:p>
        </w:tc>
        <w:tc>
          <w:tcPr>
            <w:tcW w:w="12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270.5</w:t>
            </w:r>
          </w:p>
        </w:tc>
        <w:tc>
          <w:tcPr>
            <w:tcW w:w="100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254.6</w:t>
            </w:r>
          </w:p>
        </w:tc>
        <w:tc>
          <w:tcPr>
            <w:tcW w:w="86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15.9</w:t>
            </w:r>
          </w:p>
        </w:tc>
        <w:tc>
          <w:tcPr>
            <w:tcW w:w="990"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5.9%</w:t>
            </w:r>
          </w:p>
        </w:tc>
        <w:tc>
          <w:tcPr>
            <w:tcW w:w="1013"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27.8</w:t>
            </w:r>
          </w:p>
        </w:tc>
        <w:tc>
          <w:tcPr>
            <w:tcW w:w="1366" w:type="dxa"/>
            <w:tcBorders>
              <w:top w:val="nil"/>
              <w:left w:val="nil"/>
              <w:bottom w:val="single" w:sz="4" w:space="0" w:color="auto"/>
              <w:right w:val="single" w:sz="4" w:space="0" w:color="auto"/>
            </w:tcBorders>
            <w:shd w:val="clear" w:color="auto" w:fill="auto"/>
            <w:noWrap/>
            <w:tcMar>
              <w:left w:w="29" w:type="dxa"/>
              <w:right w:w="43" w:type="dxa"/>
            </w:tcMar>
            <w:vAlign w:val="center"/>
            <w:hideMark/>
          </w:tcPr>
          <w:p w:rsidR="005C1B70" w:rsidRPr="00121223" w:rsidRDefault="005C1B70" w:rsidP="006720A1">
            <w:pPr>
              <w:pStyle w:val="TableText"/>
              <w:jc w:val="center"/>
            </w:pPr>
            <w:r w:rsidRPr="00121223">
              <w:t>88.1</w:t>
            </w:r>
          </w:p>
        </w:tc>
      </w:tr>
    </w:tbl>
    <w:p w:rsidR="005C1B70" w:rsidRPr="005C7DAF" w:rsidRDefault="005C1B70" w:rsidP="007E0558">
      <w:pPr>
        <w:pStyle w:val="Heading2"/>
        <w:spacing w:before="360"/>
      </w:pPr>
      <w:bookmarkStart w:id="71" w:name="_Toc326072109"/>
      <w:r>
        <w:t>Load Impacts by Customer Size</w:t>
      </w:r>
      <w:bookmarkEnd w:id="71"/>
    </w:p>
    <w:p w:rsidR="00052A56" w:rsidRDefault="005C1B70" w:rsidP="007E0558">
      <w:pPr>
        <w:pStyle w:val="BodyParagraph"/>
      </w:pPr>
      <w:r>
        <w:t xml:space="preserve">Table 4-4 shows the estimated ex post load impacts </w:t>
      </w:r>
      <w:r w:rsidR="00AC59F3">
        <w:t>for five</w:t>
      </w:r>
      <w:r>
        <w:t xml:space="preserve"> customer size</w:t>
      </w:r>
      <w:r w:rsidR="00AC59F3">
        <w:t xml:space="preserve"> categories, defined by average usage per hour throughout the year (kWh/hr)</w:t>
      </w:r>
      <w:r>
        <w:t xml:space="preserve">.  Participants with average usage </w:t>
      </w:r>
      <w:proofErr w:type="gramStart"/>
      <w:r>
        <w:t>above 500 kW</w:t>
      </w:r>
      <w:r w:rsidR="00AC59F3">
        <w:t>h/hr</w:t>
      </w:r>
      <w:proofErr w:type="gramEnd"/>
      <w:r>
        <w:t xml:space="preserve"> provided the largest absolute average impact per customer (86.6 kW), percent impact per customer (7.1%</w:t>
      </w:r>
      <w:r w:rsidR="00571881">
        <w:t>) and aggregate load impact (9.3</w:t>
      </w:r>
      <w:r>
        <w:t xml:space="preserve"> MW).  These customers compris</w:t>
      </w:r>
      <w:r w:rsidR="00914C66">
        <w:t>ed</w:t>
      </w:r>
      <w:r>
        <w:t xml:space="preserve"> 34% of the aggregate load impact for all customers even though they </w:t>
      </w:r>
      <w:r w:rsidR="005B4C37">
        <w:t>represent</w:t>
      </w:r>
      <w:r w:rsidR="00914C66">
        <w:t>ed</w:t>
      </w:r>
      <w:r>
        <w:t xml:space="preserve"> only 6% of the </w:t>
      </w:r>
      <w:r w:rsidR="005B4C37">
        <w:t>enrolled population</w:t>
      </w:r>
      <w:r>
        <w:t>.  Participants with average usage between 100 and 200 kW</w:t>
      </w:r>
      <w:r w:rsidR="00AC59F3">
        <w:t>h/hr</w:t>
      </w:r>
      <w:r>
        <w:t xml:space="preserve"> provided the</w:t>
      </w:r>
      <w:r w:rsidR="00571881">
        <w:t xml:space="preserve"> lowest percent load impact (4.5</w:t>
      </w:r>
      <w:r>
        <w:t>%).  The percent load impact for the smallest customers (Under 50 kW</w:t>
      </w:r>
      <w:r w:rsidR="00AC59F3">
        <w:t>h/hr</w:t>
      </w:r>
      <w:r>
        <w:t xml:space="preserve">) </w:t>
      </w:r>
      <w:r w:rsidR="00914C66">
        <w:t>wa</w:t>
      </w:r>
      <w:r>
        <w:t>s 7.1%, which is similar to the percent load impact that the largest customers provide</w:t>
      </w:r>
      <w:r w:rsidR="00914C66">
        <w:t>d</w:t>
      </w:r>
      <w:r>
        <w:t xml:space="preserve"> and greater than the percent impact that customers in any other category provide</w:t>
      </w:r>
      <w:r w:rsidR="00914C66">
        <w:t>d</w:t>
      </w:r>
      <w:r>
        <w:t>.</w:t>
      </w:r>
    </w:p>
    <w:p w:rsidR="005C1B70" w:rsidRPr="00882D62" w:rsidRDefault="005C1B70" w:rsidP="005C465D">
      <w:pPr>
        <w:pStyle w:val="TableFigureCaption"/>
      </w:pPr>
      <w:r>
        <w:t>Table 4-4:</w:t>
      </w:r>
      <w:r w:rsidR="007E0558">
        <w:t xml:space="preserve"> </w:t>
      </w:r>
      <w:r>
        <w:t>Estimated Ex Post Load Impacts by Customer Size</w:t>
      </w:r>
      <w:r>
        <w:br/>
        <w:t>Average 2011 PG&amp;E CPP Events</w:t>
      </w:r>
    </w:p>
    <w:tbl>
      <w:tblPr>
        <w:tblW w:w="9474" w:type="dxa"/>
        <w:jc w:val="center"/>
        <w:tblInd w:w="1021" w:type="dxa"/>
        <w:tblLook w:val="04A0"/>
      </w:tblPr>
      <w:tblGrid>
        <w:gridCol w:w="1587"/>
        <w:gridCol w:w="1247"/>
        <w:gridCol w:w="1260"/>
        <w:gridCol w:w="990"/>
        <w:gridCol w:w="991"/>
        <w:gridCol w:w="945"/>
        <w:gridCol w:w="1137"/>
        <w:gridCol w:w="1431"/>
      </w:tblGrid>
      <w:tr w:rsidR="000577B8" w:rsidRPr="000577B8" w:rsidTr="000577B8">
        <w:trPr>
          <w:trHeight w:val="1020"/>
          <w:jc w:val="center"/>
        </w:trPr>
        <w:tc>
          <w:tcPr>
            <w:tcW w:w="1587"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AC59F3" w:rsidRPr="000577B8" w:rsidRDefault="00AC59F3" w:rsidP="000577B8">
            <w:pPr>
              <w:pStyle w:val="TableHeader"/>
              <w:rPr>
                <w:sz w:val="18"/>
                <w:szCs w:val="18"/>
              </w:rPr>
            </w:pPr>
            <w:r w:rsidRPr="000577B8">
              <w:rPr>
                <w:sz w:val="18"/>
                <w:szCs w:val="18"/>
              </w:rPr>
              <w:t>Size Category</w:t>
            </w:r>
            <w:r w:rsidR="000577B8">
              <w:rPr>
                <w:sz w:val="18"/>
                <w:szCs w:val="18"/>
              </w:rPr>
              <w:br/>
            </w:r>
            <w:r w:rsidRPr="000577B8">
              <w:rPr>
                <w:sz w:val="18"/>
                <w:szCs w:val="18"/>
              </w:rPr>
              <w:t>(By Average Annual KWh/hr)</w:t>
            </w:r>
          </w:p>
        </w:tc>
        <w:tc>
          <w:tcPr>
            <w:tcW w:w="1133" w:type="dxa"/>
            <w:tcBorders>
              <w:top w:val="single" w:sz="4" w:space="0" w:color="auto"/>
              <w:left w:val="nil"/>
              <w:bottom w:val="single" w:sz="4" w:space="0" w:color="auto"/>
              <w:right w:val="single" w:sz="4" w:space="0" w:color="FFFFFF"/>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Number of Participants</w:t>
            </w:r>
          </w:p>
        </w:tc>
        <w:tc>
          <w:tcPr>
            <w:tcW w:w="1260" w:type="dxa"/>
            <w:tcBorders>
              <w:top w:val="single" w:sz="4" w:space="0" w:color="auto"/>
              <w:left w:val="nil"/>
              <w:bottom w:val="single" w:sz="4" w:space="0" w:color="auto"/>
              <w:right w:val="single" w:sz="4" w:space="0" w:color="FFFFFF"/>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Average Reference Load  (kW)</w:t>
            </w:r>
          </w:p>
        </w:tc>
        <w:tc>
          <w:tcPr>
            <w:tcW w:w="990" w:type="dxa"/>
            <w:tcBorders>
              <w:top w:val="single" w:sz="4" w:space="0" w:color="auto"/>
              <w:left w:val="nil"/>
              <w:bottom w:val="single" w:sz="4" w:space="0" w:color="auto"/>
              <w:right w:val="single" w:sz="4" w:space="0" w:color="FFFFFF"/>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Average Load with DR (kW)</w:t>
            </w:r>
          </w:p>
        </w:tc>
        <w:tc>
          <w:tcPr>
            <w:tcW w:w="991" w:type="dxa"/>
            <w:tcBorders>
              <w:top w:val="single" w:sz="4" w:space="0" w:color="auto"/>
              <w:left w:val="nil"/>
              <w:bottom w:val="single" w:sz="4" w:space="0" w:color="auto"/>
              <w:right w:val="single" w:sz="4" w:space="0" w:color="FFFFFF"/>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Average Load Impact (kW)</w:t>
            </w:r>
          </w:p>
        </w:tc>
        <w:tc>
          <w:tcPr>
            <w:tcW w:w="945" w:type="dxa"/>
            <w:tcBorders>
              <w:top w:val="single" w:sz="4" w:space="0" w:color="auto"/>
              <w:left w:val="nil"/>
              <w:bottom w:val="single" w:sz="4" w:space="0" w:color="auto"/>
              <w:right w:val="single" w:sz="4" w:space="0" w:color="FFFFFF"/>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 Load Impact</w:t>
            </w:r>
          </w:p>
        </w:tc>
        <w:tc>
          <w:tcPr>
            <w:tcW w:w="1137" w:type="dxa"/>
            <w:tcBorders>
              <w:top w:val="single" w:sz="4" w:space="0" w:color="auto"/>
              <w:left w:val="nil"/>
              <w:bottom w:val="single" w:sz="4" w:space="0" w:color="auto"/>
              <w:right w:val="single" w:sz="4" w:space="0" w:color="FFFFFF"/>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Aggregate Load Impact (MW)</w:t>
            </w:r>
          </w:p>
        </w:tc>
        <w:tc>
          <w:tcPr>
            <w:tcW w:w="1431" w:type="dxa"/>
            <w:tcBorders>
              <w:top w:val="single" w:sz="4" w:space="0" w:color="auto"/>
              <w:left w:val="nil"/>
              <w:bottom w:val="single" w:sz="4" w:space="0" w:color="auto"/>
              <w:right w:val="single" w:sz="4" w:space="0" w:color="auto"/>
            </w:tcBorders>
            <w:shd w:val="clear" w:color="000000" w:fill="1F497D" w:themeFill="text2"/>
            <w:vAlign w:val="center"/>
            <w:hideMark/>
          </w:tcPr>
          <w:p w:rsidR="00AC59F3" w:rsidRPr="000577B8" w:rsidRDefault="00AC59F3" w:rsidP="006720A1">
            <w:pPr>
              <w:pStyle w:val="TableHeader"/>
              <w:rPr>
                <w:sz w:val="18"/>
                <w:szCs w:val="18"/>
              </w:rPr>
            </w:pPr>
            <w:r w:rsidRPr="000577B8">
              <w:rPr>
                <w:sz w:val="18"/>
                <w:szCs w:val="18"/>
              </w:rPr>
              <w:t>Average Temperature During Event (°F)</w:t>
            </w:r>
          </w:p>
        </w:tc>
      </w:tr>
      <w:tr w:rsidR="00AC59F3" w:rsidRPr="00121223" w:rsidTr="000577B8">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432C68">
              <w:t xml:space="preserve">Under 50 </w:t>
            </w:r>
          </w:p>
        </w:tc>
        <w:tc>
          <w:tcPr>
            <w:tcW w:w="1133"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264</w:t>
            </w:r>
          </w:p>
        </w:tc>
        <w:tc>
          <w:tcPr>
            <w:tcW w:w="126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39.8</w:t>
            </w:r>
          </w:p>
        </w:tc>
        <w:tc>
          <w:tcPr>
            <w:tcW w:w="99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37.0</w:t>
            </w:r>
          </w:p>
        </w:tc>
        <w:tc>
          <w:tcPr>
            <w:tcW w:w="991"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2.8</w:t>
            </w:r>
          </w:p>
        </w:tc>
        <w:tc>
          <w:tcPr>
            <w:tcW w:w="945"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7.1%</w:t>
            </w:r>
          </w:p>
        </w:tc>
        <w:tc>
          <w:tcPr>
            <w:tcW w:w="1137"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0.7</w:t>
            </w:r>
          </w:p>
        </w:tc>
        <w:tc>
          <w:tcPr>
            <w:tcW w:w="1431"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94.1</w:t>
            </w:r>
          </w:p>
        </w:tc>
      </w:tr>
      <w:tr w:rsidR="00AC59F3" w:rsidRPr="00121223" w:rsidTr="000577B8">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rsidR="00AC59F3" w:rsidRPr="00121223" w:rsidRDefault="00AC59F3" w:rsidP="00AC59F3">
            <w:pPr>
              <w:pStyle w:val="TableText"/>
              <w:jc w:val="center"/>
            </w:pPr>
            <w:r w:rsidRPr="00432C68">
              <w:t xml:space="preserve">50-100 </w:t>
            </w:r>
            <w:r>
              <w:t>KWh/hr</w:t>
            </w:r>
          </w:p>
        </w:tc>
        <w:tc>
          <w:tcPr>
            <w:tcW w:w="1133"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396</w:t>
            </w:r>
          </w:p>
        </w:tc>
        <w:tc>
          <w:tcPr>
            <w:tcW w:w="126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121.0</w:t>
            </w:r>
          </w:p>
        </w:tc>
        <w:tc>
          <w:tcPr>
            <w:tcW w:w="99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113.3</w:t>
            </w:r>
          </w:p>
        </w:tc>
        <w:tc>
          <w:tcPr>
            <w:tcW w:w="991"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7.7</w:t>
            </w:r>
          </w:p>
        </w:tc>
        <w:tc>
          <w:tcPr>
            <w:tcW w:w="945"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6.4%</w:t>
            </w:r>
          </w:p>
        </w:tc>
        <w:tc>
          <w:tcPr>
            <w:tcW w:w="1137"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3.1</w:t>
            </w:r>
          </w:p>
        </w:tc>
        <w:tc>
          <w:tcPr>
            <w:tcW w:w="1431"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89.2</w:t>
            </w:r>
          </w:p>
        </w:tc>
      </w:tr>
      <w:tr w:rsidR="00AC59F3" w:rsidRPr="00121223" w:rsidTr="000577B8">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rsidR="00AC59F3" w:rsidRPr="00121223" w:rsidRDefault="00AC59F3" w:rsidP="00AC59F3">
            <w:pPr>
              <w:pStyle w:val="TableText"/>
              <w:jc w:val="center"/>
            </w:pPr>
            <w:r w:rsidRPr="00432C68">
              <w:t>100-200 kW</w:t>
            </w:r>
            <w:r>
              <w:t>/hr</w:t>
            </w:r>
          </w:p>
        </w:tc>
        <w:tc>
          <w:tcPr>
            <w:tcW w:w="1133"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615</w:t>
            </w:r>
          </w:p>
        </w:tc>
        <w:tc>
          <w:tcPr>
            <w:tcW w:w="126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210.8</w:t>
            </w:r>
          </w:p>
        </w:tc>
        <w:tc>
          <w:tcPr>
            <w:tcW w:w="99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201.2</w:t>
            </w:r>
          </w:p>
        </w:tc>
        <w:tc>
          <w:tcPr>
            <w:tcW w:w="991"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9.6</w:t>
            </w:r>
          </w:p>
        </w:tc>
        <w:tc>
          <w:tcPr>
            <w:tcW w:w="945"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4.5%</w:t>
            </w:r>
          </w:p>
        </w:tc>
        <w:tc>
          <w:tcPr>
            <w:tcW w:w="1137"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5.9</w:t>
            </w:r>
          </w:p>
        </w:tc>
        <w:tc>
          <w:tcPr>
            <w:tcW w:w="1431"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86.8</w:t>
            </w:r>
          </w:p>
        </w:tc>
      </w:tr>
      <w:tr w:rsidR="00AC59F3" w:rsidRPr="00121223" w:rsidTr="000577B8">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432C68">
              <w:t>200-500 kW</w:t>
            </w:r>
            <w:r>
              <w:t>h/hr</w:t>
            </w:r>
          </w:p>
        </w:tc>
        <w:tc>
          <w:tcPr>
            <w:tcW w:w="1133"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368</w:t>
            </w:r>
          </w:p>
        </w:tc>
        <w:tc>
          <w:tcPr>
            <w:tcW w:w="126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423.6</w:t>
            </w:r>
          </w:p>
        </w:tc>
        <w:tc>
          <w:tcPr>
            <w:tcW w:w="99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399.6</w:t>
            </w:r>
          </w:p>
        </w:tc>
        <w:tc>
          <w:tcPr>
            <w:tcW w:w="991"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24.1</w:t>
            </w:r>
          </w:p>
        </w:tc>
        <w:tc>
          <w:tcPr>
            <w:tcW w:w="945"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5.7%</w:t>
            </w:r>
          </w:p>
        </w:tc>
        <w:tc>
          <w:tcPr>
            <w:tcW w:w="1137"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8.9</w:t>
            </w:r>
          </w:p>
        </w:tc>
        <w:tc>
          <w:tcPr>
            <w:tcW w:w="1431"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85.8</w:t>
            </w:r>
          </w:p>
        </w:tc>
      </w:tr>
      <w:tr w:rsidR="00AC59F3" w:rsidRPr="00121223" w:rsidTr="000577B8">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432C68">
              <w:t>Over 500 kW</w:t>
            </w:r>
            <w:r>
              <w:t>h/hr</w:t>
            </w:r>
          </w:p>
        </w:tc>
        <w:tc>
          <w:tcPr>
            <w:tcW w:w="1133"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108</w:t>
            </w:r>
          </w:p>
        </w:tc>
        <w:tc>
          <w:tcPr>
            <w:tcW w:w="126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1211.7</w:t>
            </w:r>
          </w:p>
        </w:tc>
        <w:tc>
          <w:tcPr>
            <w:tcW w:w="990"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1125.1</w:t>
            </w:r>
          </w:p>
        </w:tc>
        <w:tc>
          <w:tcPr>
            <w:tcW w:w="991"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86.6</w:t>
            </w:r>
          </w:p>
        </w:tc>
        <w:tc>
          <w:tcPr>
            <w:tcW w:w="945"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7.1%</w:t>
            </w:r>
          </w:p>
        </w:tc>
        <w:tc>
          <w:tcPr>
            <w:tcW w:w="1137" w:type="dxa"/>
            <w:tcBorders>
              <w:top w:val="nil"/>
              <w:left w:val="nil"/>
              <w:bottom w:val="single" w:sz="4" w:space="0" w:color="auto"/>
              <w:right w:val="single" w:sz="4" w:space="0" w:color="auto"/>
            </w:tcBorders>
            <w:shd w:val="clear" w:color="auto" w:fill="auto"/>
            <w:noWrap/>
            <w:vAlign w:val="bottom"/>
            <w:hideMark/>
          </w:tcPr>
          <w:p w:rsidR="00AC59F3" w:rsidRPr="00121223" w:rsidRDefault="00AC59F3" w:rsidP="006720A1">
            <w:pPr>
              <w:pStyle w:val="TableText"/>
              <w:jc w:val="center"/>
            </w:pPr>
            <w:r w:rsidRPr="00121223">
              <w:t>9.3</w:t>
            </w:r>
          </w:p>
        </w:tc>
        <w:tc>
          <w:tcPr>
            <w:tcW w:w="1431" w:type="dxa"/>
            <w:tcBorders>
              <w:top w:val="nil"/>
              <w:left w:val="nil"/>
              <w:bottom w:val="single" w:sz="4" w:space="0" w:color="auto"/>
              <w:right w:val="single" w:sz="4" w:space="0" w:color="auto"/>
            </w:tcBorders>
            <w:shd w:val="clear" w:color="auto" w:fill="auto"/>
            <w:noWrap/>
            <w:vAlign w:val="center"/>
            <w:hideMark/>
          </w:tcPr>
          <w:p w:rsidR="00AC59F3" w:rsidRPr="00121223" w:rsidRDefault="00AC59F3" w:rsidP="006720A1">
            <w:pPr>
              <w:pStyle w:val="TableText"/>
              <w:jc w:val="center"/>
            </w:pPr>
            <w:r w:rsidRPr="00121223">
              <w:t>85.4</w:t>
            </w:r>
          </w:p>
        </w:tc>
      </w:tr>
      <w:tr w:rsidR="005C1B70" w:rsidRPr="00121223" w:rsidTr="000577B8">
        <w:trPr>
          <w:trHeight w:val="300"/>
          <w:jc w:val="center"/>
        </w:trPr>
        <w:tc>
          <w:tcPr>
            <w:tcW w:w="1587"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All Customers</w:t>
            </w:r>
          </w:p>
        </w:tc>
        <w:tc>
          <w:tcPr>
            <w:tcW w:w="1133"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1,750</w:t>
            </w:r>
          </w:p>
        </w:tc>
        <w:tc>
          <w:tcPr>
            <w:tcW w:w="126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270.5</w:t>
            </w:r>
          </w:p>
        </w:tc>
        <w:tc>
          <w:tcPr>
            <w:tcW w:w="99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254.6</w:t>
            </w:r>
          </w:p>
        </w:tc>
        <w:tc>
          <w:tcPr>
            <w:tcW w:w="99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15.9</w:t>
            </w:r>
          </w:p>
        </w:tc>
        <w:tc>
          <w:tcPr>
            <w:tcW w:w="945"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5.9%</w:t>
            </w:r>
          </w:p>
        </w:tc>
        <w:tc>
          <w:tcPr>
            <w:tcW w:w="1137"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27.8</w:t>
            </w:r>
          </w:p>
        </w:tc>
        <w:tc>
          <w:tcPr>
            <w:tcW w:w="143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6720A1">
            <w:pPr>
              <w:pStyle w:val="TableText"/>
              <w:jc w:val="center"/>
            </w:pPr>
            <w:r w:rsidRPr="00121223">
              <w:t>88.1</w:t>
            </w:r>
          </w:p>
        </w:tc>
      </w:tr>
    </w:tbl>
    <w:p w:rsidR="00586C11" w:rsidRDefault="00586C11" w:rsidP="005C465D">
      <w:pPr>
        <w:pStyle w:val="BodyParagraph"/>
      </w:pPr>
    </w:p>
    <w:p w:rsidR="008143A0" w:rsidRDefault="008143A0" w:rsidP="005C465D">
      <w:pPr>
        <w:pStyle w:val="Heading2"/>
      </w:pPr>
      <w:bookmarkStart w:id="72" w:name="_Toc289178010"/>
      <w:bookmarkStart w:id="73" w:name="_Toc326072110"/>
      <w:r>
        <w:lastRenderedPageBreak/>
        <w:t>Load Impacts for Multi-DR P</w:t>
      </w:r>
      <w:r>
        <w:rPr>
          <w:rFonts w:hint="eastAsia"/>
        </w:rPr>
        <w:t>rogra</w:t>
      </w:r>
      <w:r>
        <w:t>m Participants</w:t>
      </w:r>
      <w:bookmarkEnd w:id="72"/>
      <w:bookmarkEnd w:id="73"/>
    </w:p>
    <w:p w:rsidR="008143A0" w:rsidRDefault="008143A0" w:rsidP="005C465D">
      <w:pPr>
        <w:pStyle w:val="BodyBeforeBullet"/>
      </w:pPr>
      <w:r>
        <w:t xml:space="preserve">PG&amp;E CPP participants are allowed to enroll in other selected DR programs.  Given this, to avoid double counting when multiple DR programs are called, it is necessary to estimate the demand response under the CPP tariff for customers that are dually enrolled in other programs.  CPP customers at PG&amp;E are allowed to also participate in the following DR programs: </w:t>
      </w:r>
    </w:p>
    <w:p w:rsidR="008143A0" w:rsidRDefault="008143A0" w:rsidP="005C465D">
      <w:pPr>
        <w:pStyle w:val="Bullets"/>
      </w:pPr>
      <w:r>
        <w:rPr>
          <w:b/>
        </w:rPr>
        <w:t xml:space="preserve">Base Interruptible Program (BIP):  </w:t>
      </w:r>
      <w:r>
        <w:t>P</w:t>
      </w:r>
      <w:r w:rsidRPr="00BB6C1C">
        <w:t xml:space="preserve">ays </w:t>
      </w:r>
      <w:r>
        <w:t xml:space="preserve">customers </w:t>
      </w:r>
      <w:r w:rsidRPr="00BB6C1C">
        <w:t xml:space="preserve">an incentive to reduce load to or below a </w:t>
      </w:r>
      <w:r>
        <w:t xml:space="preserve">pre-selected, customer specific level known as the firm service level </w:t>
      </w:r>
      <w:r w:rsidRPr="00BB6C1C">
        <w:t>(FSL</w:t>
      </w:r>
      <w:r>
        <w:t xml:space="preserve">).  Failure to comply results in penalties.  </w:t>
      </w:r>
    </w:p>
    <w:p w:rsidR="008143A0" w:rsidRDefault="008143A0" w:rsidP="005C465D">
      <w:pPr>
        <w:pStyle w:val="Bullets"/>
      </w:pPr>
      <w:r>
        <w:rPr>
          <w:b/>
        </w:rPr>
        <w:t>Aggregator Managed Portfolio (AMP</w:t>
      </w:r>
      <w:r w:rsidRPr="00BB6C1C">
        <w:t xml:space="preserve">):  </w:t>
      </w:r>
      <w:r>
        <w:t>A</w:t>
      </w:r>
      <w:r w:rsidRPr="00BB6C1C">
        <w:t xml:space="preserve"> non-tariff program that consists of bilateral contracts with aggregators to provide PG&amp;E with price-responsive demand response. </w:t>
      </w:r>
      <w:r>
        <w:t xml:space="preserve"> </w:t>
      </w:r>
      <w:r w:rsidRPr="00BB6C1C">
        <w:t xml:space="preserve">The program can be called at PG&amp;E’s discretion. </w:t>
      </w:r>
      <w:r>
        <w:t xml:space="preserve"> </w:t>
      </w:r>
      <w:r w:rsidRPr="00BB6C1C">
        <w:t>Each aggregator is responsible for designing and implementing its own demand response program, including customer acquisition, marketing, sales, retention, support, event notification and payments.</w:t>
      </w:r>
    </w:p>
    <w:p w:rsidR="008143A0" w:rsidRDefault="008143A0" w:rsidP="005C465D">
      <w:pPr>
        <w:pStyle w:val="BulletLast"/>
      </w:pPr>
      <w:r>
        <w:rPr>
          <w:b/>
        </w:rPr>
        <w:t>Capacity Bidding Program (CBP</w:t>
      </w:r>
      <w:r w:rsidRPr="004820F7">
        <w:t xml:space="preserve">):  </w:t>
      </w:r>
      <w:r>
        <w:t xml:space="preserve">A </w:t>
      </w:r>
      <w:r w:rsidRPr="004820F7">
        <w:t xml:space="preserve">monthly incentive </w:t>
      </w:r>
      <w:r>
        <w:t xml:space="preserve">is paid to </w:t>
      </w:r>
      <w:r w:rsidRPr="004820F7">
        <w:t xml:space="preserve">reduce energy use to a pre-determined amount once an electric-resource generation facility reaches or exceeds heat rates of 15,000 Btu (British thermal units) per kWh. </w:t>
      </w:r>
      <w:r>
        <w:t xml:space="preserve"> </w:t>
      </w:r>
      <w:r w:rsidRPr="004820F7">
        <w:t xml:space="preserve">Load reduction commitment is on a month-by-month basis, with nominations made </w:t>
      </w:r>
      <w:r w:rsidR="008A1951">
        <w:t>five</w:t>
      </w:r>
      <w:r w:rsidRPr="004820F7">
        <w:t xml:space="preserve"> days prior to the beginning of each month. </w:t>
      </w:r>
      <w:r>
        <w:t xml:space="preserve"> </w:t>
      </w:r>
      <w:r w:rsidRPr="004820F7">
        <w:t>Customers must enroll with (or as) a third-party aggregator to join the Capacity Bidding Program.</w:t>
      </w:r>
      <w:r>
        <w:t xml:space="preserve">  Customers can choose between day-ahead and day-of notification.  Only customers with day-of notification can be dually enrolled in CPP.  </w:t>
      </w:r>
    </w:p>
    <w:p w:rsidR="008143A0" w:rsidRDefault="008143A0" w:rsidP="005C465D">
      <w:pPr>
        <w:pStyle w:val="BodyParagraph"/>
      </w:pPr>
      <w:r>
        <w:t xml:space="preserve">Table 4-5 shows CPP load impacts for customers that dually enrolled in other demand response programs and customers who were enrolled in PG&amp;E’s historic voluntary CPP rates, </w:t>
      </w:r>
      <w:proofErr w:type="spellStart"/>
      <w:r>
        <w:t>SmartRate</w:t>
      </w:r>
      <w:proofErr w:type="spellEnd"/>
      <w:r>
        <w:t xml:space="preserve"> and voluntary CPP.  The latter two table entries are provided for historical perspective and to see if customers that had previously volunteered for a CPP rate respond</w:t>
      </w:r>
      <w:r w:rsidR="00914C66">
        <w:t>ed</w:t>
      </w:r>
      <w:r>
        <w:t xml:space="preserve"> more or less than customers that were defaulted onto PG&amp;E’s CPP rate but had not previously experienced dynamic tariffs.  The table also shows the average demand response for all customers </w:t>
      </w:r>
      <w:r w:rsidR="00914C66">
        <w:t xml:space="preserve">no </w:t>
      </w:r>
      <w:r>
        <w:t xml:space="preserve">dually enrolled or </w:t>
      </w:r>
      <w:r w:rsidR="00914C66">
        <w:t xml:space="preserve">who </w:t>
      </w:r>
      <w:r>
        <w:t xml:space="preserve">had </w:t>
      </w:r>
      <w:r w:rsidR="00914C66">
        <w:t xml:space="preserve">not </w:t>
      </w:r>
      <w:r>
        <w:t xml:space="preserve">migrated into the program through the voluntary CPP path.  </w:t>
      </w:r>
    </w:p>
    <w:p w:rsidR="008143A0" w:rsidRDefault="008143A0" w:rsidP="005C465D">
      <w:pPr>
        <w:pStyle w:val="BodyParagraph"/>
      </w:pPr>
      <w:r>
        <w:t>A word of caution is needed in reviewing Table 4-5.  There are relatively few dually enrolled customers in any single DR program, and in most cases, the number of customers is quite small.  For example, there are only 5 customers enrolled in both CPP and BIP and 12 in CPP and CBP.  Even the largest dual enrollment category, CPP and AMP, only has 41 customers.  Given this, the significant variation in average and aggregate load impacts across dual enrollment categories probably has less to do with dual enrollment than it does with fundamental differences in the average characteristics and price responsiveness of the customers who happen to be in each category.  The estimates are useful for adjusting portfolio impact estimates under assumptions that both programs are called on the same day, but it is not appropriate to claim that customers dually enrolled in CPP and CBP are 50% more price responsive compared with customers dually enrolled in CPP and AMP because the CBP program somehow supports CPP demand response better than the AMP program.  Said another way, while dual enrollment in CPP and CBP appears to correlat</w:t>
      </w:r>
      <w:r w:rsidR="00914C66">
        <w:t>e</w:t>
      </w:r>
      <w:r>
        <w:t xml:space="preserve"> with above average load reductions, there is no </w:t>
      </w:r>
      <w:r w:rsidR="00914C66">
        <w:t xml:space="preserve">basis </w:t>
      </w:r>
      <w:r>
        <w:t xml:space="preserve">to infer that any combination of dual enrollment listed in Table 4-5 causes CPP customers to respond better.  </w:t>
      </w:r>
    </w:p>
    <w:p w:rsidR="008143A0" w:rsidRDefault="008143A0" w:rsidP="005C465D">
      <w:pPr>
        <w:pStyle w:val="BodyParagraph"/>
      </w:pPr>
      <w:r>
        <w:t xml:space="preserve">Table 4-5 also shows the average load impacts for customers that had previously volunteered for opt-in CPP prices and were subsequently defaulted onto the new CPP rate.  Customers that had previously volunteered for PG&amp;E’s </w:t>
      </w:r>
      <w:proofErr w:type="spellStart"/>
      <w:r>
        <w:t>SmartRate</w:t>
      </w:r>
      <w:proofErr w:type="spellEnd"/>
      <w:r>
        <w:t xml:space="preserve"> tariff are quite small, with average reference loads equal to less </w:t>
      </w:r>
      <w:r>
        <w:lastRenderedPageBreak/>
        <w:t xml:space="preserve">than 1% of the overall CPP participant average.  The average load increase shown for these customers is probably not statistically significant and is almost certainly simply the result of random, day-to-day fluctuations in energy use rather than some conscious decision to use more electricity on days when prices are highest.  Customers that were previously on PG&amp;E’s voluntary CPP tariff are roughly the same size as the average CPP participant and have roughly the same price responsiveness (as measured by % impacts) as the general CPP participant.   </w:t>
      </w:r>
    </w:p>
    <w:p w:rsidR="008143A0" w:rsidRDefault="008143A0" w:rsidP="005C465D">
      <w:pPr>
        <w:pStyle w:val="TableFigureCaption"/>
      </w:pPr>
      <w:r>
        <w:t>Table 4-5:</w:t>
      </w:r>
      <w:r w:rsidR="007E0558">
        <w:t xml:space="preserve"> </w:t>
      </w:r>
      <w:r>
        <w:t>Estimated Ex Post Load Impacts CPP Participants Enrolled in Other DR Programs</w:t>
      </w:r>
      <w:r>
        <w:br/>
        <w:t>Average 2011 PG&amp;E CPP Event</w:t>
      </w:r>
    </w:p>
    <w:tbl>
      <w:tblPr>
        <w:tblW w:w="9807" w:type="dxa"/>
        <w:jc w:val="center"/>
        <w:tblInd w:w="627" w:type="dxa"/>
        <w:tblLook w:val="04A0"/>
      </w:tblPr>
      <w:tblGrid>
        <w:gridCol w:w="2204"/>
        <w:gridCol w:w="1247"/>
        <w:gridCol w:w="1087"/>
        <w:gridCol w:w="1000"/>
        <w:gridCol w:w="1020"/>
        <w:gridCol w:w="880"/>
        <w:gridCol w:w="1120"/>
        <w:gridCol w:w="1420"/>
      </w:tblGrid>
      <w:tr w:rsidR="008143A0" w:rsidRPr="000577B8" w:rsidTr="000577B8">
        <w:trPr>
          <w:trHeight w:val="1020"/>
          <w:jc w:val="center"/>
        </w:trPr>
        <w:tc>
          <w:tcPr>
            <w:tcW w:w="2204"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Dual and Previous Enrollment</w:t>
            </w:r>
          </w:p>
        </w:tc>
        <w:tc>
          <w:tcPr>
            <w:tcW w:w="1076"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Number of Participants</w:t>
            </w:r>
          </w:p>
        </w:tc>
        <w:tc>
          <w:tcPr>
            <w:tcW w:w="1087"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 Load Impact</w:t>
            </w:r>
          </w:p>
        </w:tc>
        <w:tc>
          <w:tcPr>
            <w:tcW w:w="112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Aggregate Load Impact (MW)</w:t>
            </w:r>
          </w:p>
        </w:tc>
        <w:tc>
          <w:tcPr>
            <w:tcW w:w="1420" w:type="dxa"/>
            <w:tcBorders>
              <w:top w:val="single" w:sz="4" w:space="0" w:color="auto"/>
              <w:left w:val="nil"/>
              <w:bottom w:val="single" w:sz="4" w:space="0" w:color="auto"/>
              <w:right w:val="single" w:sz="4" w:space="0" w:color="auto"/>
            </w:tcBorders>
            <w:shd w:val="clear" w:color="000000" w:fill="1F497D" w:themeFill="text2"/>
            <w:vAlign w:val="center"/>
            <w:hideMark/>
          </w:tcPr>
          <w:p w:rsidR="008143A0" w:rsidRPr="000577B8" w:rsidRDefault="008143A0" w:rsidP="008143A0">
            <w:pPr>
              <w:spacing w:after="0" w:line="240" w:lineRule="auto"/>
              <w:jc w:val="center"/>
              <w:rPr>
                <w:rFonts w:ascii="Arial" w:eastAsia="Times New Roman" w:hAnsi="Arial" w:cs="Arial"/>
                <w:b/>
                <w:bCs/>
                <w:color w:val="FFFFFF"/>
                <w:sz w:val="18"/>
                <w:szCs w:val="18"/>
              </w:rPr>
            </w:pPr>
            <w:r w:rsidRPr="000577B8">
              <w:rPr>
                <w:rFonts w:ascii="Arial" w:eastAsia="Times New Roman" w:hAnsi="Arial" w:cs="Arial"/>
                <w:b/>
                <w:bCs/>
                <w:color w:val="FFFFFF"/>
                <w:sz w:val="18"/>
                <w:szCs w:val="18"/>
              </w:rPr>
              <w:t>Average Temperature During Event (°F)</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Dually Enrolled: AMP</w:t>
            </w:r>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41</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307</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243</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64</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21%</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3</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91</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Dually Enrolled: BIP</w:t>
            </w:r>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5</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1085</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1079</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6</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0</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96</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Dually Enrolled: CBP</w:t>
            </w:r>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12</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200</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146</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54</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27%</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92</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 xml:space="preserve">Previously on </w:t>
            </w:r>
            <w:proofErr w:type="spellStart"/>
            <w:r w:rsidRPr="008143A0">
              <w:rPr>
                <w:rFonts w:eastAsia="Times New Roman"/>
              </w:rPr>
              <w:t>SmartRate</w:t>
            </w:r>
            <w:proofErr w:type="spellEnd"/>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79</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0</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-3%</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0</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98</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Previously on Voluntary CPP</w:t>
            </w:r>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220</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289</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269</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20</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7%</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4</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90</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Not Dually Enrolled</w:t>
            </w:r>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1393</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280</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265</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14</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5%</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20</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87</w:t>
            </w:r>
          </w:p>
        </w:tc>
      </w:tr>
      <w:tr w:rsidR="008143A0" w:rsidRPr="008143A0" w:rsidTr="000577B8">
        <w:trPr>
          <w:trHeight w:val="300"/>
          <w:jc w:val="center"/>
        </w:trPr>
        <w:tc>
          <w:tcPr>
            <w:tcW w:w="2204" w:type="dxa"/>
            <w:tcBorders>
              <w:top w:val="nil"/>
              <w:left w:val="single" w:sz="4" w:space="0" w:color="auto"/>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Population Totals</w:t>
            </w:r>
          </w:p>
        </w:tc>
        <w:tc>
          <w:tcPr>
            <w:tcW w:w="107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1750</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271</w:t>
            </w:r>
          </w:p>
        </w:tc>
        <w:tc>
          <w:tcPr>
            <w:tcW w:w="100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255</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16</w:t>
            </w:r>
          </w:p>
        </w:tc>
        <w:tc>
          <w:tcPr>
            <w:tcW w:w="8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6%</w:t>
            </w:r>
          </w:p>
        </w:tc>
        <w:tc>
          <w:tcPr>
            <w:tcW w:w="11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28</w:t>
            </w:r>
          </w:p>
        </w:tc>
        <w:tc>
          <w:tcPr>
            <w:tcW w:w="14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0577B8">
            <w:pPr>
              <w:pStyle w:val="TableText"/>
              <w:jc w:val="center"/>
              <w:rPr>
                <w:rFonts w:eastAsia="Times New Roman"/>
              </w:rPr>
            </w:pPr>
            <w:r w:rsidRPr="008143A0">
              <w:rPr>
                <w:rFonts w:eastAsia="Times New Roman"/>
              </w:rPr>
              <w:t>88</w:t>
            </w:r>
          </w:p>
        </w:tc>
      </w:tr>
    </w:tbl>
    <w:p w:rsidR="008143A0" w:rsidRDefault="008143A0" w:rsidP="007E0558">
      <w:pPr>
        <w:pStyle w:val="Heading2"/>
        <w:spacing w:before="360"/>
      </w:pPr>
      <w:bookmarkStart w:id="74" w:name="_Toc318473853"/>
      <w:bookmarkStart w:id="75" w:name="_Toc326072111"/>
      <w:r>
        <w:t xml:space="preserve">TI and </w:t>
      </w:r>
      <w:proofErr w:type="spellStart"/>
      <w:r>
        <w:t>AutoDR</w:t>
      </w:r>
      <w:proofErr w:type="spellEnd"/>
      <w:r>
        <w:t xml:space="preserve"> Load Impacts and Realization Rates</w:t>
      </w:r>
      <w:bookmarkEnd w:id="74"/>
      <w:bookmarkEnd w:id="75"/>
    </w:p>
    <w:p w:rsidR="008143A0" w:rsidRDefault="008143A0" w:rsidP="005C465D">
      <w:pPr>
        <w:pStyle w:val="BodyParagraph"/>
      </w:pPr>
      <w:r>
        <w:t xml:space="preserve">The Technical Incentive (TI) and </w:t>
      </w:r>
      <w:proofErr w:type="spellStart"/>
      <w:r>
        <w:t>AutoDR</w:t>
      </w:r>
      <w:proofErr w:type="spellEnd"/>
      <w:r>
        <w:t xml:space="preserve"> programs offered by PG&amp;E are designed to increase demand response for participating customers on CPP rates and ensure greater certainty regarding the amount of load shed during an event.  These programs involve a multi-step process that begins with technical assistance (TA), which consists of an audit to determine the potential for installing energy saving technology or processes at a particular premise.  A technical incentive (TI) is paid if a customer installs equipment or reconfigures processes and demonstrates that they produce load reductions.  Although the response is automated, customers must still decide whether and when to drop load.  </w:t>
      </w:r>
      <w:proofErr w:type="spellStart"/>
      <w:r>
        <w:t>AutoDR</w:t>
      </w:r>
      <w:proofErr w:type="spellEnd"/>
      <w:r>
        <w:t xml:space="preserve"> provides an incremental incentive to encourage customers to allow PG&amp;E to remotely dispatch the automated load</w:t>
      </w:r>
      <w:r w:rsidR="00292B1C">
        <w:t> </w:t>
      </w:r>
      <w:r>
        <w:t xml:space="preserve">reduction.  </w:t>
      </w:r>
    </w:p>
    <w:p w:rsidR="008143A0" w:rsidRDefault="008143A0" w:rsidP="005C465D">
      <w:pPr>
        <w:pStyle w:val="BodyParagraph"/>
      </w:pPr>
      <w:r>
        <w:t xml:space="preserve">From a policy perspective, it is important to understand if customers enrolled in these programs reach their approved load shed on </w:t>
      </w:r>
      <w:r w:rsidRPr="008A1951">
        <w:t>event</w:t>
      </w:r>
      <w:r>
        <w:t xml:space="preserve"> days.  The realization rate describes the percent of approved load shed that is met by the estimated impacts on event days.</w:t>
      </w:r>
      <w:r w:rsidR="001A62B1">
        <w:t xml:space="preserve">  It assumes that load reductions are due to automated reduction technology and not due to demand reductions from other end-uses.</w:t>
      </w:r>
    </w:p>
    <w:p w:rsidR="008143A0" w:rsidRDefault="008143A0" w:rsidP="005C465D">
      <w:pPr>
        <w:pStyle w:val="BodyParagraph"/>
      </w:pPr>
      <w:r>
        <w:t xml:space="preserve">A </w:t>
      </w:r>
      <w:r w:rsidRPr="008A1951">
        <w:t>statistically</w:t>
      </w:r>
      <w:r>
        <w:t xml:space="preserve"> valid assessment of TI and </w:t>
      </w:r>
      <w:proofErr w:type="spellStart"/>
      <w:r>
        <w:t>AutoDR</w:t>
      </w:r>
      <w:proofErr w:type="spellEnd"/>
      <w:r>
        <w:t xml:space="preserve"> is significantly hampered by the very small number of customers that participated in these complementary programs.  There were only two PG&amp;E accounts on the CPP tariff that received TI payments and only eight </w:t>
      </w:r>
      <w:proofErr w:type="spellStart"/>
      <w:r>
        <w:t>AutoDR</w:t>
      </w:r>
      <w:proofErr w:type="spellEnd"/>
      <w:r>
        <w:t xml:space="preserve"> customers.  Table 4-6 shows the load impact for the average customer on each of these programs on the average event day.  Customers on TI and </w:t>
      </w:r>
      <w:proofErr w:type="spellStart"/>
      <w:r>
        <w:t>AutoDR</w:t>
      </w:r>
      <w:proofErr w:type="spellEnd"/>
      <w:r>
        <w:t xml:space="preserve"> show</w:t>
      </w:r>
      <w:r w:rsidR="00914C66">
        <w:t>ed</w:t>
      </w:r>
      <w:r>
        <w:t xml:space="preserve"> larger than average percent impacts of 8.6% and 7.0%, </w:t>
      </w:r>
      <w:r>
        <w:lastRenderedPageBreak/>
        <w:t xml:space="preserve">respectively.  However, given the extremely small number of customers on TI and </w:t>
      </w:r>
      <w:proofErr w:type="spellStart"/>
      <w:r>
        <w:t>AutoDR</w:t>
      </w:r>
      <w:proofErr w:type="spellEnd"/>
      <w:r>
        <w:t>, the point impact estimates are surrounded by a significant amount of uncertainty.</w:t>
      </w:r>
    </w:p>
    <w:p w:rsidR="008143A0" w:rsidRDefault="008143A0" w:rsidP="005C465D">
      <w:pPr>
        <w:pStyle w:val="TableFigureCaption"/>
      </w:pPr>
      <w:r>
        <w:t>Table 4-6</w:t>
      </w:r>
      <w:r w:rsidRPr="00E96490">
        <w:t>:</w:t>
      </w:r>
      <w:r w:rsidR="007E0558">
        <w:t xml:space="preserve"> </w:t>
      </w:r>
      <w:r>
        <w:t xml:space="preserve">Estimated Ex Post Load Impacts of TI &amp; </w:t>
      </w:r>
      <w:proofErr w:type="spellStart"/>
      <w:r>
        <w:t>AutoDR</w:t>
      </w:r>
      <w:proofErr w:type="spellEnd"/>
      <w:r>
        <w:t xml:space="preserve"> Participants</w:t>
      </w:r>
      <w:r>
        <w:br/>
        <w:t>Average 2011 PG&amp;E CPP Event</w:t>
      </w:r>
    </w:p>
    <w:tbl>
      <w:tblPr>
        <w:tblW w:w="9281" w:type="dxa"/>
        <w:jc w:val="center"/>
        <w:tblInd w:w="94" w:type="dxa"/>
        <w:tblLook w:val="04A0"/>
      </w:tblPr>
      <w:tblGrid>
        <w:gridCol w:w="1401"/>
        <w:gridCol w:w="1247"/>
        <w:gridCol w:w="1087"/>
        <w:gridCol w:w="1020"/>
        <w:gridCol w:w="940"/>
        <w:gridCol w:w="1280"/>
        <w:gridCol w:w="1160"/>
        <w:gridCol w:w="1307"/>
      </w:tblGrid>
      <w:tr w:rsidR="008143A0" w:rsidRPr="008143A0" w:rsidTr="000577B8">
        <w:trPr>
          <w:trHeight w:val="960"/>
          <w:jc w:val="center"/>
        </w:trPr>
        <w:tc>
          <w:tcPr>
            <w:tcW w:w="1401"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Variable</w:t>
            </w:r>
          </w:p>
        </w:tc>
        <w:tc>
          <w:tcPr>
            <w:tcW w:w="1086"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Number of Participants</w:t>
            </w:r>
          </w:p>
        </w:tc>
        <w:tc>
          <w:tcPr>
            <w:tcW w:w="1087"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Average Reference Load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Average Load with DR (kW)</w:t>
            </w:r>
          </w:p>
        </w:tc>
        <w:tc>
          <w:tcPr>
            <w:tcW w:w="94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Average Load Impact (kW)</w:t>
            </w:r>
          </w:p>
        </w:tc>
        <w:tc>
          <w:tcPr>
            <w:tcW w:w="128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 Load Impact</w:t>
            </w:r>
          </w:p>
        </w:tc>
        <w:tc>
          <w:tcPr>
            <w:tcW w:w="1160" w:type="dxa"/>
            <w:tcBorders>
              <w:top w:val="single" w:sz="4" w:space="0" w:color="auto"/>
              <w:left w:val="nil"/>
              <w:bottom w:val="single" w:sz="4" w:space="0" w:color="auto"/>
              <w:right w:val="single" w:sz="4" w:space="0" w:color="FFFFFF"/>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Aggregate Load Impact (MW)</w:t>
            </w:r>
          </w:p>
        </w:tc>
        <w:tc>
          <w:tcPr>
            <w:tcW w:w="1307" w:type="dxa"/>
            <w:tcBorders>
              <w:top w:val="single" w:sz="4" w:space="0" w:color="auto"/>
              <w:left w:val="nil"/>
              <w:bottom w:val="single" w:sz="4" w:space="0" w:color="auto"/>
              <w:right w:val="single" w:sz="4" w:space="0" w:color="auto"/>
            </w:tcBorders>
            <w:shd w:val="clear" w:color="000000" w:fill="1F497D" w:themeFill="text2"/>
            <w:vAlign w:val="center"/>
            <w:hideMark/>
          </w:tcPr>
          <w:p w:rsidR="008143A0" w:rsidRPr="008143A0" w:rsidRDefault="008143A0" w:rsidP="008143A0">
            <w:pPr>
              <w:spacing w:after="0" w:line="240" w:lineRule="auto"/>
              <w:jc w:val="center"/>
              <w:rPr>
                <w:rFonts w:ascii="Arial" w:eastAsia="Times New Roman" w:hAnsi="Arial" w:cs="Arial"/>
                <w:b/>
                <w:bCs/>
                <w:color w:val="FFFFFF"/>
                <w:sz w:val="18"/>
                <w:szCs w:val="18"/>
              </w:rPr>
            </w:pPr>
            <w:r w:rsidRPr="008143A0">
              <w:rPr>
                <w:rFonts w:ascii="Arial" w:eastAsia="Times New Roman" w:hAnsi="Arial" w:cs="Arial"/>
                <w:b/>
                <w:bCs/>
                <w:color w:val="FFFFFF"/>
                <w:sz w:val="18"/>
                <w:szCs w:val="18"/>
              </w:rPr>
              <w:t>Average Temperature During Event (°F)</w:t>
            </w:r>
          </w:p>
        </w:tc>
      </w:tr>
      <w:tr w:rsidR="008143A0" w:rsidRPr="008143A0" w:rsidTr="000577B8">
        <w:trPr>
          <w:trHeight w:val="480"/>
          <w:jc w:val="center"/>
        </w:trPr>
        <w:tc>
          <w:tcPr>
            <w:tcW w:w="1401" w:type="dxa"/>
            <w:tcBorders>
              <w:top w:val="nil"/>
              <w:left w:val="single" w:sz="4" w:space="0" w:color="auto"/>
              <w:bottom w:val="single" w:sz="4" w:space="0" w:color="auto"/>
              <w:right w:val="single" w:sz="4" w:space="0" w:color="auto"/>
            </w:tcBorders>
            <w:shd w:val="clear" w:color="000000" w:fill="FFFFFF"/>
            <w:vAlign w:val="center"/>
            <w:hideMark/>
          </w:tcPr>
          <w:p w:rsidR="008143A0" w:rsidRPr="008143A0" w:rsidRDefault="008143A0" w:rsidP="008143A0">
            <w:pPr>
              <w:spacing w:after="0" w:line="240" w:lineRule="auto"/>
              <w:rPr>
                <w:rFonts w:ascii="Arial" w:eastAsia="Times New Roman" w:hAnsi="Arial" w:cs="Arial"/>
                <w:color w:val="000000"/>
                <w:sz w:val="18"/>
                <w:szCs w:val="18"/>
              </w:rPr>
            </w:pPr>
            <w:r w:rsidRPr="008143A0">
              <w:rPr>
                <w:rFonts w:ascii="Arial" w:eastAsia="Times New Roman" w:hAnsi="Arial" w:cs="Arial"/>
                <w:color w:val="000000"/>
                <w:sz w:val="18"/>
                <w:szCs w:val="18"/>
              </w:rPr>
              <w:t>Technical Incentives (TI)</w:t>
            </w:r>
          </w:p>
        </w:tc>
        <w:tc>
          <w:tcPr>
            <w:tcW w:w="108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2</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320</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298</w:t>
            </w:r>
          </w:p>
        </w:tc>
        <w:tc>
          <w:tcPr>
            <w:tcW w:w="94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22</w:t>
            </w:r>
          </w:p>
        </w:tc>
        <w:tc>
          <w:tcPr>
            <w:tcW w:w="12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7%</w:t>
            </w:r>
          </w:p>
        </w:tc>
        <w:tc>
          <w:tcPr>
            <w:tcW w:w="116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0</w:t>
            </w:r>
          </w:p>
        </w:tc>
        <w:tc>
          <w:tcPr>
            <w:tcW w:w="130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89</w:t>
            </w:r>
          </w:p>
        </w:tc>
      </w:tr>
      <w:tr w:rsidR="008143A0" w:rsidRPr="008143A0" w:rsidTr="000577B8">
        <w:trPr>
          <w:trHeight w:val="300"/>
          <w:jc w:val="center"/>
        </w:trPr>
        <w:tc>
          <w:tcPr>
            <w:tcW w:w="1401" w:type="dxa"/>
            <w:tcBorders>
              <w:top w:val="nil"/>
              <w:left w:val="single" w:sz="4" w:space="0" w:color="auto"/>
              <w:bottom w:val="single" w:sz="4" w:space="0" w:color="auto"/>
              <w:right w:val="single" w:sz="4" w:space="0" w:color="auto"/>
            </w:tcBorders>
            <w:shd w:val="clear" w:color="000000" w:fill="FFFFFF"/>
            <w:noWrap/>
            <w:vAlign w:val="center"/>
            <w:hideMark/>
          </w:tcPr>
          <w:p w:rsidR="008143A0" w:rsidRPr="008143A0" w:rsidRDefault="008143A0" w:rsidP="008143A0">
            <w:pPr>
              <w:spacing w:after="0" w:line="240" w:lineRule="auto"/>
              <w:rPr>
                <w:rFonts w:ascii="Arial" w:eastAsia="Times New Roman" w:hAnsi="Arial" w:cs="Arial"/>
                <w:color w:val="000000"/>
                <w:sz w:val="18"/>
                <w:szCs w:val="18"/>
              </w:rPr>
            </w:pPr>
            <w:proofErr w:type="spellStart"/>
            <w:r w:rsidRPr="008143A0">
              <w:rPr>
                <w:rFonts w:ascii="Arial" w:eastAsia="Times New Roman" w:hAnsi="Arial" w:cs="Arial"/>
                <w:color w:val="000000"/>
                <w:sz w:val="18"/>
                <w:szCs w:val="18"/>
              </w:rPr>
              <w:t>AutoDR</w:t>
            </w:r>
            <w:proofErr w:type="spellEnd"/>
          </w:p>
        </w:tc>
        <w:tc>
          <w:tcPr>
            <w:tcW w:w="1086"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8</w:t>
            </w:r>
          </w:p>
        </w:tc>
        <w:tc>
          <w:tcPr>
            <w:tcW w:w="108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357</w:t>
            </w:r>
          </w:p>
        </w:tc>
        <w:tc>
          <w:tcPr>
            <w:tcW w:w="102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326</w:t>
            </w:r>
          </w:p>
        </w:tc>
        <w:tc>
          <w:tcPr>
            <w:tcW w:w="94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31</w:t>
            </w:r>
          </w:p>
        </w:tc>
        <w:tc>
          <w:tcPr>
            <w:tcW w:w="128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9%</w:t>
            </w:r>
          </w:p>
        </w:tc>
        <w:tc>
          <w:tcPr>
            <w:tcW w:w="1160"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0</w:t>
            </w:r>
          </w:p>
        </w:tc>
        <w:tc>
          <w:tcPr>
            <w:tcW w:w="1307" w:type="dxa"/>
            <w:tcBorders>
              <w:top w:val="nil"/>
              <w:left w:val="nil"/>
              <w:bottom w:val="single" w:sz="4" w:space="0" w:color="auto"/>
              <w:right w:val="single" w:sz="4" w:space="0" w:color="auto"/>
            </w:tcBorders>
            <w:shd w:val="clear" w:color="auto" w:fill="auto"/>
            <w:noWrap/>
            <w:vAlign w:val="center"/>
            <w:hideMark/>
          </w:tcPr>
          <w:p w:rsidR="008143A0" w:rsidRPr="008143A0" w:rsidRDefault="008143A0" w:rsidP="008143A0">
            <w:pPr>
              <w:spacing w:after="0" w:line="240" w:lineRule="auto"/>
              <w:jc w:val="center"/>
              <w:rPr>
                <w:rFonts w:ascii="Arial" w:eastAsia="Times New Roman" w:hAnsi="Arial" w:cs="Arial"/>
                <w:color w:val="000000"/>
                <w:sz w:val="18"/>
                <w:szCs w:val="18"/>
              </w:rPr>
            </w:pPr>
            <w:r w:rsidRPr="008143A0">
              <w:rPr>
                <w:rFonts w:ascii="Arial" w:eastAsia="Times New Roman" w:hAnsi="Arial" w:cs="Arial"/>
                <w:color w:val="000000"/>
                <w:sz w:val="18"/>
                <w:szCs w:val="18"/>
              </w:rPr>
              <w:t>82</w:t>
            </w:r>
          </w:p>
        </w:tc>
      </w:tr>
    </w:tbl>
    <w:p w:rsidR="008143A0" w:rsidRDefault="008143A0" w:rsidP="005C465D">
      <w:pPr>
        <w:pStyle w:val="BodyParaAfterTableFigure"/>
      </w:pPr>
      <w:r>
        <w:t xml:space="preserve">Table 4-7 shows the distribution of estimated realization rates for both TI and </w:t>
      </w:r>
      <w:proofErr w:type="spellStart"/>
      <w:r>
        <w:t>AutoDR</w:t>
      </w:r>
      <w:proofErr w:type="spellEnd"/>
      <w:r>
        <w:t xml:space="preserve">.  Because of the very small sample sizes, these estimates must be used with extreme caution.  The realization rate estimates were developed by taking the average impact for customers who were enrolled in TI or </w:t>
      </w:r>
      <w:proofErr w:type="spellStart"/>
      <w:r>
        <w:t>AutoDR</w:t>
      </w:r>
      <w:proofErr w:type="spellEnd"/>
      <w:r>
        <w:t xml:space="preserve"> and dividing it by the average of the approved TI or </w:t>
      </w:r>
      <w:proofErr w:type="spellStart"/>
      <w:r>
        <w:t>AutoDR</w:t>
      </w:r>
      <w:proofErr w:type="spellEnd"/>
      <w:r>
        <w:t xml:space="preserve"> load shed.  Because individual customer impact estimates are highly uncertain, realization rates are also highly uncertain.  As such, estimates are presented for the 10</w:t>
      </w:r>
      <w:r w:rsidRPr="00262163">
        <w:rPr>
          <w:vertAlign w:val="superscript"/>
        </w:rPr>
        <w:t>th</w:t>
      </w:r>
      <w:r>
        <w:t xml:space="preserve"> through 90</w:t>
      </w:r>
      <w:r w:rsidRPr="00262163">
        <w:rPr>
          <w:vertAlign w:val="superscript"/>
        </w:rPr>
        <w:t>th</w:t>
      </w:r>
      <w:r>
        <w:t xml:space="preserve"> percentiles of impact uncertainty.  The wide range of realization rate values for TI, which includes a number of implausible values, reflects the fact that there are only </w:t>
      </w:r>
      <w:r w:rsidR="00D27D66">
        <w:t>two</w:t>
      </w:r>
      <w:r>
        <w:t xml:space="preserve"> PG&amp;E customers enrolled in TI and impact estimates are extremely inaccurate at such a granular level.  For TI, the realization rate depends on whether the equipment is typically used during event-like conditions and whether customers decide to drop load.  </w:t>
      </w:r>
    </w:p>
    <w:p w:rsidR="008143A0" w:rsidRDefault="008143A0" w:rsidP="005C465D">
      <w:pPr>
        <w:pStyle w:val="BodyParagraph"/>
      </w:pPr>
      <w:r>
        <w:t xml:space="preserve">Realization rates for </w:t>
      </w:r>
      <w:proofErr w:type="spellStart"/>
      <w:r>
        <w:t>AutoDR</w:t>
      </w:r>
      <w:proofErr w:type="spellEnd"/>
      <w:r>
        <w:t xml:space="preserve"> do not vary as drastically across the impact uncertainty percentiles, but still show a significant amount of variation from the 10</w:t>
      </w:r>
      <w:r w:rsidRPr="00BC74D9">
        <w:rPr>
          <w:vertAlign w:val="superscript"/>
        </w:rPr>
        <w:t>th</w:t>
      </w:r>
      <w:r>
        <w:t xml:space="preserve"> to 90</w:t>
      </w:r>
      <w:r w:rsidRPr="00BC74D9">
        <w:rPr>
          <w:vertAlign w:val="superscript"/>
        </w:rPr>
        <w:t>th</w:t>
      </w:r>
      <w:r>
        <w:t xml:space="preserve"> percentiles.  At 34.2%, the average realization rate calculated at the 50</w:t>
      </w:r>
      <w:r w:rsidRPr="00BC74D9">
        <w:rPr>
          <w:vertAlign w:val="superscript"/>
        </w:rPr>
        <w:t>th</w:t>
      </w:r>
      <w:r>
        <w:t xml:space="preserve"> percentile of impact uncertainty for </w:t>
      </w:r>
      <w:proofErr w:type="spellStart"/>
      <w:r>
        <w:t>AutoDR</w:t>
      </w:r>
      <w:proofErr w:type="spellEnd"/>
      <w:r>
        <w:t xml:space="preserve"> is larger than for TI </w:t>
      </w:r>
    </w:p>
    <w:p w:rsidR="008143A0" w:rsidRDefault="008143A0" w:rsidP="005C465D">
      <w:pPr>
        <w:pStyle w:val="TableFigureCaption"/>
      </w:pPr>
      <w:r>
        <w:t>Table 4-7</w:t>
      </w:r>
      <w:r w:rsidRPr="00E96490">
        <w:t>:</w:t>
      </w:r>
      <w:r w:rsidR="007E0558">
        <w:t xml:space="preserve"> </w:t>
      </w:r>
      <w:r>
        <w:t>Realization Rates</w:t>
      </w:r>
    </w:p>
    <w:tbl>
      <w:tblPr>
        <w:tblW w:w="8810" w:type="dxa"/>
        <w:jc w:val="center"/>
        <w:tblInd w:w="838" w:type="dxa"/>
        <w:tblLook w:val="04A0"/>
      </w:tblPr>
      <w:tblGrid>
        <w:gridCol w:w="1376"/>
        <w:gridCol w:w="707"/>
        <w:gridCol w:w="1260"/>
        <w:gridCol w:w="1077"/>
        <w:gridCol w:w="1150"/>
        <w:gridCol w:w="1080"/>
        <w:gridCol w:w="1260"/>
        <w:gridCol w:w="1077"/>
      </w:tblGrid>
      <w:tr w:rsidR="008143A0" w:rsidRPr="008143A0" w:rsidTr="000577B8">
        <w:trPr>
          <w:trHeight w:val="300"/>
          <w:jc w:val="center"/>
        </w:trPr>
        <w:tc>
          <w:tcPr>
            <w:tcW w:w="1376" w:type="dxa"/>
            <w:vMerge w:val="restart"/>
            <w:tcBorders>
              <w:top w:val="single" w:sz="4" w:space="0" w:color="auto"/>
              <w:left w:val="single" w:sz="4" w:space="0" w:color="auto"/>
              <w:bottom w:val="single" w:sz="4" w:space="0" w:color="000000"/>
              <w:right w:val="single" w:sz="4" w:space="0" w:color="FFFFFF"/>
            </w:tcBorders>
            <w:shd w:val="clear" w:color="000000" w:fill="1F497D"/>
            <w:noWrap/>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Variable</w:t>
            </w:r>
          </w:p>
        </w:tc>
        <w:tc>
          <w:tcPr>
            <w:tcW w:w="707"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Accts</w:t>
            </w:r>
          </w:p>
        </w:tc>
        <w:tc>
          <w:tcPr>
            <w:tcW w:w="1260" w:type="dxa"/>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Aggregate Approved kW</w:t>
            </w:r>
          </w:p>
        </w:tc>
        <w:tc>
          <w:tcPr>
            <w:tcW w:w="5467" w:type="dxa"/>
            <w:gridSpan w:val="5"/>
            <w:tcBorders>
              <w:top w:val="single" w:sz="4" w:space="0" w:color="auto"/>
              <w:left w:val="nil"/>
              <w:bottom w:val="single" w:sz="4" w:space="0" w:color="FFFFFF"/>
              <w:right w:val="single" w:sz="4" w:space="0" w:color="000000"/>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Realization Rate</w:t>
            </w:r>
          </w:p>
        </w:tc>
      </w:tr>
      <w:tr w:rsidR="000577B8" w:rsidRPr="008143A0" w:rsidTr="000577B8">
        <w:trPr>
          <w:trHeight w:val="300"/>
          <w:jc w:val="center"/>
        </w:trPr>
        <w:tc>
          <w:tcPr>
            <w:tcW w:w="1376" w:type="dxa"/>
            <w:vMerge/>
            <w:tcBorders>
              <w:top w:val="single" w:sz="4" w:space="0" w:color="auto"/>
              <w:left w:val="single" w:sz="4" w:space="0" w:color="auto"/>
              <w:bottom w:val="single" w:sz="4" w:space="0" w:color="000000"/>
              <w:right w:val="single" w:sz="4" w:space="0" w:color="FFFFFF"/>
            </w:tcBorders>
            <w:vAlign w:val="center"/>
            <w:hideMark/>
          </w:tcPr>
          <w:p w:rsidR="008143A0" w:rsidRPr="000577B8" w:rsidRDefault="008143A0" w:rsidP="000577B8">
            <w:pPr>
              <w:pStyle w:val="TableHeader"/>
              <w:rPr>
                <w:rFonts w:eastAsia="Times New Roman"/>
                <w:sz w:val="18"/>
                <w:szCs w:val="18"/>
              </w:rPr>
            </w:pPr>
          </w:p>
        </w:tc>
        <w:tc>
          <w:tcPr>
            <w:tcW w:w="707" w:type="dxa"/>
            <w:vMerge/>
            <w:tcBorders>
              <w:top w:val="single" w:sz="4" w:space="0" w:color="auto"/>
              <w:left w:val="single" w:sz="4" w:space="0" w:color="FFFFFF"/>
              <w:bottom w:val="single" w:sz="4" w:space="0" w:color="000000"/>
              <w:right w:val="single" w:sz="4" w:space="0" w:color="FFFFFF"/>
            </w:tcBorders>
            <w:vAlign w:val="center"/>
            <w:hideMark/>
          </w:tcPr>
          <w:p w:rsidR="008143A0" w:rsidRPr="000577B8" w:rsidRDefault="008143A0" w:rsidP="000577B8">
            <w:pPr>
              <w:pStyle w:val="TableHeader"/>
              <w:rPr>
                <w:rFonts w:eastAsia="Times New Roman"/>
                <w:sz w:val="18"/>
                <w:szCs w:val="18"/>
              </w:rPr>
            </w:pPr>
          </w:p>
        </w:tc>
        <w:tc>
          <w:tcPr>
            <w:tcW w:w="1260" w:type="dxa"/>
            <w:vMerge/>
            <w:tcBorders>
              <w:top w:val="single" w:sz="4" w:space="0" w:color="auto"/>
              <w:left w:val="single" w:sz="4" w:space="0" w:color="FFFFFF"/>
              <w:bottom w:val="single" w:sz="4" w:space="0" w:color="000000"/>
              <w:right w:val="single" w:sz="4" w:space="0" w:color="FFFFFF"/>
            </w:tcBorders>
            <w:vAlign w:val="center"/>
            <w:hideMark/>
          </w:tcPr>
          <w:p w:rsidR="008143A0" w:rsidRPr="000577B8" w:rsidRDefault="008143A0" w:rsidP="000577B8">
            <w:pPr>
              <w:pStyle w:val="TableHeader"/>
              <w:rPr>
                <w:rFonts w:eastAsia="Times New Roman"/>
                <w:sz w:val="18"/>
                <w:szCs w:val="18"/>
              </w:rPr>
            </w:pPr>
          </w:p>
        </w:tc>
        <w:tc>
          <w:tcPr>
            <w:tcW w:w="1077" w:type="dxa"/>
            <w:tcBorders>
              <w:top w:val="nil"/>
              <w:left w:val="nil"/>
              <w:bottom w:val="single" w:sz="4" w:space="0" w:color="auto"/>
              <w:right w:val="single" w:sz="4" w:space="0" w:color="FFFFFF"/>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10th Percentile</w:t>
            </w:r>
          </w:p>
        </w:tc>
        <w:tc>
          <w:tcPr>
            <w:tcW w:w="1150" w:type="dxa"/>
            <w:tcBorders>
              <w:top w:val="nil"/>
              <w:left w:val="nil"/>
              <w:bottom w:val="single" w:sz="4" w:space="0" w:color="auto"/>
              <w:right w:val="single" w:sz="4" w:space="0" w:color="FFFFFF"/>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30th Percentile</w:t>
            </w:r>
          </w:p>
        </w:tc>
        <w:tc>
          <w:tcPr>
            <w:tcW w:w="1080" w:type="dxa"/>
            <w:tcBorders>
              <w:top w:val="nil"/>
              <w:left w:val="nil"/>
              <w:bottom w:val="single" w:sz="4" w:space="0" w:color="auto"/>
              <w:right w:val="single" w:sz="4" w:space="0" w:color="FFFFFF"/>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50th Percentile</w:t>
            </w:r>
          </w:p>
        </w:tc>
        <w:tc>
          <w:tcPr>
            <w:tcW w:w="1260" w:type="dxa"/>
            <w:tcBorders>
              <w:top w:val="nil"/>
              <w:left w:val="nil"/>
              <w:bottom w:val="single" w:sz="4" w:space="0" w:color="auto"/>
              <w:right w:val="single" w:sz="4" w:space="0" w:color="FFFFFF"/>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70th Percentile</w:t>
            </w:r>
          </w:p>
        </w:tc>
        <w:tc>
          <w:tcPr>
            <w:tcW w:w="900" w:type="dxa"/>
            <w:tcBorders>
              <w:top w:val="nil"/>
              <w:left w:val="nil"/>
              <w:bottom w:val="single" w:sz="4" w:space="0" w:color="auto"/>
              <w:right w:val="single" w:sz="4" w:space="0" w:color="auto"/>
            </w:tcBorders>
            <w:shd w:val="clear" w:color="000000" w:fill="1F497D"/>
            <w:vAlign w:val="center"/>
            <w:hideMark/>
          </w:tcPr>
          <w:p w:rsidR="008143A0" w:rsidRPr="000577B8" w:rsidRDefault="008143A0" w:rsidP="000577B8">
            <w:pPr>
              <w:pStyle w:val="TableHeader"/>
              <w:rPr>
                <w:rFonts w:eastAsia="Times New Roman"/>
                <w:sz w:val="18"/>
                <w:szCs w:val="18"/>
              </w:rPr>
            </w:pPr>
            <w:r w:rsidRPr="000577B8">
              <w:rPr>
                <w:rFonts w:eastAsia="Times New Roman"/>
                <w:sz w:val="18"/>
                <w:szCs w:val="18"/>
              </w:rPr>
              <w:t>90th Percentile</w:t>
            </w:r>
          </w:p>
        </w:tc>
      </w:tr>
      <w:tr w:rsidR="000577B8" w:rsidRPr="008143A0" w:rsidTr="000577B8">
        <w:trPr>
          <w:trHeight w:val="300"/>
          <w:jc w:val="center"/>
        </w:trPr>
        <w:tc>
          <w:tcPr>
            <w:tcW w:w="1376" w:type="dxa"/>
            <w:tcBorders>
              <w:top w:val="nil"/>
              <w:left w:val="single" w:sz="4" w:space="0" w:color="auto"/>
              <w:bottom w:val="single" w:sz="4" w:space="0" w:color="auto"/>
              <w:right w:val="single" w:sz="4" w:space="0" w:color="auto"/>
            </w:tcBorders>
            <w:shd w:val="clear" w:color="000000" w:fill="FFFFFF"/>
            <w:noWrap/>
            <w:vAlign w:val="center"/>
            <w:hideMark/>
          </w:tcPr>
          <w:p w:rsidR="008143A0" w:rsidRPr="000577B8" w:rsidRDefault="008143A0" w:rsidP="000577B8">
            <w:pPr>
              <w:pStyle w:val="TableText"/>
              <w:jc w:val="center"/>
            </w:pPr>
            <w:r w:rsidRPr="000577B8">
              <w:t>Technical Incentives (TI)</w:t>
            </w:r>
          </w:p>
        </w:tc>
        <w:tc>
          <w:tcPr>
            <w:tcW w:w="707"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2</w:t>
            </w:r>
          </w:p>
        </w:tc>
        <w:tc>
          <w:tcPr>
            <w:tcW w:w="1260" w:type="dxa"/>
            <w:tcBorders>
              <w:top w:val="nil"/>
              <w:left w:val="nil"/>
              <w:bottom w:val="single" w:sz="4" w:space="0" w:color="auto"/>
              <w:right w:val="single" w:sz="4" w:space="0" w:color="auto"/>
            </w:tcBorders>
            <w:shd w:val="clear" w:color="000000" w:fill="FFFFFF"/>
            <w:noWrap/>
            <w:vAlign w:val="center"/>
            <w:hideMark/>
          </w:tcPr>
          <w:p w:rsidR="008143A0" w:rsidRPr="000577B8" w:rsidRDefault="008143A0" w:rsidP="000577B8">
            <w:pPr>
              <w:pStyle w:val="TableText"/>
              <w:jc w:val="center"/>
            </w:pPr>
            <w:r w:rsidRPr="000577B8">
              <w:t>292</w:t>
            </w:r>
          </w:p>
        </w:tc>
        <w:tc>
          <w:tcPr>
            <w:tcW w:w="1077"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-29%</w:t>
            </w:r>
          </w:p>
        </w:tc>
        <w:tc>
          <w:tcPr>
            <w:tcW w:w="115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0%</w:t>
            </w:r>
          </w:p>
        </w:tc>
        <w:tc>
          <w:tcPr>
            <w:tcW w:w="108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21%</w:t>
            </w:r>
          </w:p>
        </w:tc>
        <w:tc>
          <w:tcPr>
            <w:tcW w:w="126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41%</w:t>
            </w:r>
          </w:p>
        </w:tc>
        <w:tc>
          <w:tcPr>
            <w:tcW w:w="90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71%</w:t>
            </w:r>
          </w:p>
        </w:tc>
      </w:tr>
      <w:tr w:rsidR="000577B8" w:rsidRPr="008143A0" w:rsidTr="000577B8">
        <w:trPr>
          <w:trHeight w:val="300"/>
          <w:jc w:val="center"/>
        </w:trPr>
        <w:tc>
          <w:tcPr>
            <w:tcW w:w="1376" w:type="dxa"/>
            <w:tcBorders>
              <w:top w:val="nil"/>
              <w:left w:val="single" w:sz="4" w:space="0" w:color="auto"/>
              <w:bottom w:val="single" w:sz="4" w:space="0" w:color="auto"/>
              <w:right w:val="single" w:sz="4" w:space="0" w:color="auto"/>
            </w:tcBorders>
            <w:shd w:val="clear" w:color="000000" w:fill="FFFFFF"/>
            <w:noWrap/>
            <w:vAlign w:val="center"/>
            <w:hideMark/>
          </w:tcPr>
          <w:p w:rsidR="008143A0" w:rsidRPr="000577B8" w:rsidRDefault="008143A0" w:rsidP="000577B8">
            <w:pPr>
              <w:pStyle w:val="TableText"/>
              <w:jc w:val="center"/>
            </w:pPr>
            <w:proofErr w:type="spellStart"/>
            <w:r w:rsidRPr="000577B8">
              <w:t>AutoDR</w:t>
            </w:r>
            <w:proofErr w:type="spellEnd"/>
          </w:p>
        </w:tc>
        <w:tc>
          <w:tcPr>
            <w:tcW w:w="707"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8</w:t>
            </w:r>
          </w:p>
        </w:tc>
        <w:tc>
          <w:tcPr>
            <w:tcW w:w="1260" w:type="dxa"/>
            <w:tcBorders>
              <w:top w:val="nil"/>
              <w:left w:val="nil"/>
              <w:bottom w:val="single" w:sz="4" w:space="0" w:color="auto"/>
              <w:right w:val="single" w:sz="4" w:space="0" w:color="auto"/>
            </w:tcBorders>
            <w:shd w:val="clear" w:color="000000" w:fill="FFFFFF"/>
            <w:noWrap/>
            <w:vAlign w:val="center"/>
            <w:hideMark/>
          </w:tcPr>
          <w:p w:rsidR="008143A0" w:rsidRPr="000577B8" w:rsidRDefault="008143A0" w:rsidP="000577B8">
            <w:pPr>
              <w:pStyle w:val="TableText"/>
              <w:jc w:val="center"/>
            </w:pPr>
            <w:r w:rsidRPr="000577B8">
              <w:t>525</w:t>
            </w:r>
          </w:p>
        </w:tc>
        <w:tc>
          <w:tcPr>
            <w:tcW w:w="1077"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12%</w:t>
            </w:r>
          </w:p>
        </w:tc>
        <w:tc>
          <w:tcPr>
            <w:tcW w:w="115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25%</w:t>
            </w:r>
          </w:p>
        </w:tc>
        <w:tc>
          <w:tcPr>
            <w:tcW w:w="108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34%</w:t>
            </w:r>
          </w:p>
        </w:tc>
        <w:tc>
          <w:tcPr>
            <w:tcW w:w="126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43%</w:t>
            </w:r>
          </w:p>
        </w:tc>
        <w:tc>
          <w:tcPr>
            <w:tcW w:w="900" w:type="dxa"/>
            <w:tcBorders>
              <w:top w:val="nil"/>
              <w:left w:val="nil"/>
              <w:bottom w:val="single" w:sz="4" w:space="0" w:color="auto"/>
              <w:right w:val="single" w:sz="4" w:space="0" w:color="auto"/>
            </w:tcBorders>
            <w:shd w:val="clear" w:color="auto" w:fill="auto"/>
            <w:noWrap/>
            <w:vAlign w:val="center"/>
            <w:hideMark/>
          </w:tcPr>
          <w:p w:rsidR="008143A0" w:rsidRPr="000577B8" w:rsidRDefault="008143A0" w:rsidP="000577B8">
            <w:pPr>
              <w:pStyle w:val="TableText"/>
              <w:jc w:val="center"/>
            </w:pPr>
            <w:r w:rsidRPr="000577B8">
              <w:t>56%</w:t>
            </w:r>
          </w:p>
        </w:tc>
      </w:tr>
    </w:tbl>
    <w:p w:rsidR="00586C11" w:rsidRPr="00586C11" w:rsidRDefault="005C1B70" w:rsidP="007E0558">
      <w:pPr>
        <w:pStyle w:val="Heading2"/>
        <w:spacing w:before="360"/>
      </w:pPr>
      <w:bookmarkStart w:id="76" w:name="_Toc326072112"/>
      <w:r>
        <w:t>Comparison of 2010 and 2011 Ex Post Results</w:t>
      </w:r>
      <w:bookmarkEnd w:id="76"/>
    </w:p>
    <w:p w:rsidR="005C1B70" w:rsidRDefault="005C1B70" w:rsidP="005C465D">
      <w:pPr>
        <w:pStyle w:val="BodyParagraph"/>
      </w:pPr>
      <w:r>
        <w:t>In 2011, PG&amp;E lost a number of customers due to attrition, but added customers mostly from the agricultural sector, which tends to provide larger percent load reductions.  On a net basis</w:t>
      </w:r>
      <w:r w:rsidR="005B4C37">
        <w:t>,</w:t>
      </w:r>
      <w:r>
        <w:t xml:space="preserve"> the overall program reference load dropped</w:t>
      </w:r>
      <w:r w:rsidR="005B4C37">
        <w:t xml:space="preserve"> between 2010 and 2011</w:t>
      </w:r>
      <w:r>
        <w:t xml:space="preserve"> but the </w:t>
      </w:r>
      <w:r w:rsidR="005B4C37">
        <w:t xml:space="preserve">average demand response increased.  </w:t>
      </w:r>
      <w:r>
        <w:t>In 2010 the percent impacts on the average event day were 3.9%</w:t>
      </w:r>
      <w:r w:rsidR="005B4C37">
        <w:t>, while i</w:t>
      </w:r>
      <w:r>
        <w:t>n 2011</w:t>
      </w:r>
      <w:r w:rsidR="005B4C37">
        <w:t xml:space="preserve"> </w:t>
      </w:r>
      <w:r>
        <w:t xml:space="preserve">the </w:t>
      </w:r>
      <w:r w:rsidR="005B4C37">
        <w:t xml:space="preserve">average </w:t>
      </w:r>
      <w:r>
        <w:t>percent impact</w:t>
      </w:r>
      <w:r w:rsidR="005B4C37">
        <w:t xml:space="preserve"> equaled</w:t>
      </w:r>
      <w:r>
        <w:t xml:space="preserve"> 5.9%. </w:t>
      </w:r>
    </w:p>
    <w:p w:rsidR="005C1B70" w:rsidRDefault="005C1B70" w:rsidP="005C465D">
      <w:pPr>
        <w:pStyle w:val="BodyParagraph"/>
      </w:pPr>
      <w:r>
        <w:t xml:space="preserve">Differences in impacts between 2010 and 2011 are almost certainly not due to differences in weather since </w:t>
      </w:r>
      <w:r w:rsidR="00AA4E03">
        <w:t>neither</w:t>
      </w:r>
      <w:r>
        <w:t xml:space="preserve"> the average </w:t>
      </w:r>
      <w:r w:rsidR="00AA4E03">
        <w:t xml:space="preserve">nor </w:t>
      </w:r>
      <w:r>
        <w:t xml:space="preserve">percent impact </w:t>
      </w:r>
      <w:r w:rsidR="00AA4E03">
        <w:t>is</w:t>
      </w:r>
      <w:r>
        <w:t xml:space="preserve"> positively correlated with weather.  </w:t>
      </w:r>
      <w:r w:rsidR="00914C66">
        <w:t xml:space="preserve">Appendix F shows </w:t>
      </w:r>
      <w:r w:rsidR="00914C66">
        <w:lastRenderedPageBreak/>
        <w:t xml:space="preserve">a graph relating percent impact to weather, which illustrates that </w:t>
      </w:r>
      <w:r w:rsidR="00AA4E03">
        <w:t>t</w:t>
      </w:r>
      <w:r>
        <w:t xml:space="preserve">here is a very weak and slightly negative correlation between average temperature and </w:t>
      </w:r>
      <w:r w:rsidR="007C20D1" w:rsidRPr="007C20D1">
        <w:t>percentage</w:t>
      </w:r>
      <w:r w:rsidR="00AB36AD">
        <w:t> </w:t>
      </w:r>
      <w:r w:rsidR="007C20D1" w:rsidRPr="007C20D1">
        <w:t>impacts</w:t>
      </w:r>
      <w:r>
        <w:t xml:space="preserve">.     </w:t>
      </w:r>
    </w:p>
    <w:p w:rsidR="005C1B70" w:rsidRPr="005C7DAF" w:rsidRDefault="005C1B70" w:rsidP="005C465D">
      <w:pPr>
        <w:pStyle w:val="BodyParagraph"/>
      </w:pPr>
      <w:r>
        <w:t>At PG&amp;E the differenc</w:t>
      </w:r>
      <w:r w:rsidR="00914C66">
        <w:t>e</w:t>
      </w:r>
      <w:r>
        <w:t xml:space="preserve"> in load impacts between 2010 and 2011 across size categories reflect the fact that many customers who were not price responsive in 2010 opted out of CPP after bill protection expired and that the new, mostly agricultural enrollees, are more price responsive.  The difference in impacts between 2010 and 2011 was most noticeable for customers with average hourly usage above 200 kW.  At PG&amp;E the 523 customers with average hourly usage above 200 kW in 2010 provided a 15.2 MW (3.6%) average aggregate load impact on the average event day.  By 2011, 476 customers remained in this size cate</w:t>
      </w:r>
      <w:r w:rsidR="00571881">
        <w:t>gory and provided a</w:t>
      </w:r>
      <w:r w:rsidR="00914C66">
        <w:t xml:space="preserve">n </w:t>
      </w:r>
      <w:r w:rsidR="00571881">
        <w:t>18.2</w:t>
      </w:r>
      <w:r>
        <w:t xml:space="preserve"> MW (6.4%) average aggregate load impact on the average event</w:t>
      </w:r>
      <w:r w:rsidR="00D13343">
        <w:t> </w:t>
      </w:r>
      <w:r>
        <w:t>day.</w:t>
      </w:r>
    </w:p>
    <w:p w:rsidR="005C1B70" w:rsidRDefault="005C1B70" w:rsidP="005C465D">
      <w:pPr>
        <w:pStyle w:val="Heading2"/>
      </w:pPr>
      <w:r>
        <w:br w:type="page"/>
      </w:r>
    </w:p>
    <w:p w:rsidR="005C1B70" w:rsidRDefault="005C1B70" w:rsidP="005C465D">
      <w:pPr>
        <w:pStyle w:val="Heading1"/>
      </w:pPr>
      <w:bookmarkStart w:id="77" w:name="_Toc326072113"/>
      <w:r>
        <w:lastRenderedPageBreak/>
        <w:t>SCE Ex Post Load Impact Results</w:t>
      </w:r>
      <w:bookmarkEnd w:id="77"/>
    </w:p>
    <w:p w:rsidR="005C1B70" w:rsidRPr="00983BD4" w:rsidRDefault="00074B3F" w:rsidP="005C465D">
      <w:pPr>
        <w:pStyle w:val="BodyParagraph"/>
      </w:pPr>
      <w:r>
        <w:t xml:space="preserve">SCE called </w:t>
      </w:r>
      <w:r w:rsidR="007967F0">
        <w:t xml:space="preserve">12 </w:t>
      </w:r>
      <w:r w:rsidR="005C1B70">
        <w:t>CPP events in 2011</w:t>
      </w:r>
      <w:r>
        <w:t>, with t</w:t>
      </w:r>
      <w:r w:rsidR="005C1B70">
        <w:t xml:space="preserve">he </w:t>
      </w:r>
      <w:r w:rsidR="00717D3D">
        <w:t xml:space="preserve">first </w:t>
      </w:r>
      <w:r w:rsidR="005C1B70">
        <w:t>occurr</w:t>
      </w:r>
      <w:r>
        <w:t>ing</w:t>
      </w:r>
      <w:r w:rsidR="005C1B70">
        <w:t xml:space="preserve"> on June 21 and the last on September 23.  On average, 3,006 accounts </w:t>
      </w:r>
      <w:r>
        <w:t xml:space="preserve">were enrolled on SCE’s CPP tariff in the summer of 2011, </w:t>
      </w:r>
      <w:r w:rsidR="005C1B70">
        <w:t xml:space="preserve">although there was some variation in the number of customers </w:t>
      </w:r>
      <w:r>
        <w:t xml:space="preserve">enrolled during </w:t>
      </w:r>
      <w:r w:rsidR="005C1B70">
        <w:t>each event, from a low of 2,872 to a high of 3,094.  Th</w:t>
      </w:r>
      <w:r>
        <w:t>is</w:t>
      </w:r>
      <w:r w:rsidR="005C1B70">
        <w:t xml:space="preserve"> </w:t>
      </w:r>
      <w:r>
        <w:t xml:space="preserve">variation reflects normal </w:t>
      </w:r>
      <w:r w:rsidR="00C8702D">
        <w:t>CPP program “</w:t>
      </w:r>
      <w:r w:rsidR="005C1B70">
        <w:t>churn</w:t>
      </w:r>
      <w:r w:rsidR="00C8702D">
        <w:t>”</w:t>
      </w:r>
      <w:r w:rsidR="005C1B70">
        <w:t xml:space="preserve"> throughout the summer period, with some customers departing and other</w:t>
      </w:r>
      <w:r w:rsidR="00571881">
        <w:t>s</w:t>
      </w:r>
      <w:r w:rsidR="005C1B70">
        <w:t xml:space="preserve"> enrolling between events.  </w:t>
      </w:r>
    </w:p>
    <w:p w:rsidR="005C1B70" w:rsidRDefault="005C1B70" w:rsidP="005C465D">
      <w:pPr>
        <w:pStyle w:val="BodyParagraph"/>
      </w:pPr>
      <w:r>
        <w:t xml:space="preserve">Table 5-1 shows the estimated ex post load impacts for each event day and for the average event day in 2011. </w:t>
      </w:r>
      <w:r w:rsidR="007967F0">
        <w:t xml:space="preserve"> </w:t>
      </w:r>
      <w:r w:rsidR="00074B3F">
        <w:t>The participant weighted average temperature during the peak period on event days ranged from a low of 78</w:t>
      </w:r>
      <w:r w:rsidR="00074B3F" w:rsidRPr="00983BD4">
        <w:rPr>
          <w:rFonts w:eastAsia="Times New Roman" w:cs="Arial"/>
          <w:bCs/>
          <w:szCs w:val="20"/>
        </w:rPr>
        <w:t>°F</w:t>
      </w:r>
      <w:r w:rsidR="00074B3F">
        <w:rPr>
          <w:rFonts w:eastAsia="Times New Roman" w:cs="Arial"/>
          <w:bCs/>
          <w:szCs w:val="20"/>
        </w:rPr>
        <w:t xml:space="preserve"> to a high of </w:t>
      </w:r>
      <w:r w:rsidR="00074B3F">
        <w:t>91</w:t>
      </w:r>
      <w:r w:rsidR="00074B3F" w:rsidRPr="00983BD4">
        <w:rPr>
          <w:rFonts w:eastAsia="Times New Roman" w:cs="Arial"/>
          <w:bCs/>
          <w:szCs w:val="20"/>
        </w:rPr>
        <w:t>°F</w:t>
      </w:r>
      <w:r w:rsidR="00074B3F">
        <w:rPr>
          <w:rFonts w:eastAsia="Times New Roman" w:cs="Arial"/>
          <w:bCs/>
          <w:szCs w:val="20"/>
        </w:rPr>
        <w:t xml:space="preserve">.  </w:t>
      </w:r>
      <w:r>
        <w:t xml:space="preserve">The percent, average and aggregate impacts are similar across events, suggesting that there is </w:t>
      </w:r>
      <w:r w:rsidR="005F4FD7">
        <w:t>limited</w:t>
      </w:r>
      <w:r>
        <w:t xml:space="preserve"> weather sensitivity </w:t>
      </w:r>
      <w:r w:rsidR="00074B3F">
        <w:t xml:space="preserve">for the average </w:t>
      </w:r>
      <w:r>
        <w:t>SCE CPP customer.</w:t>
      </w:r>
      <w:r w:rsidR="00DE4E19">
        <w:rPr>
          <w:rStyle w:val="FootnoteReference"/>
        </w:rPr>
        <w:footnoteReference w:id="17"/>
      </w:r>
      <w:r>
        <w:t xml:space="preserve">  Percent impacts range</w:t>
      </w:r>
      <w:r w:rsidR="00074B3F">
        <w:t>d</w:t>
      </w:r>
      <w:r>
        <w:t xml:space="preserve"> from 5.4% to 6.0%, average customer impacts range</w:t>
      </w:r>
      <w:r w:rsidR="00074B3F">
        <w:t>d</w:t>
      </w:r>
      <w:r>
        <w:t xml:space="preserve"> from 10.6 kW to 12.4 kW and aggregate impacts range</w:t>
      </w:r>
      <w:r w:rsidR="00074B3F">
        <w:t>d</w:t>
      </w:r>
      <w:r>
        <w:t xml:space="preserve"> from 32.7 MW to 36.7 MW.  On the average event day, the average participant reduced peak period load by 5.7% or 11.6 kW.  In aggregate, SCE’s CPP customers reduced load by 35.0 MW on average across the </w:t>
      </w:r>
      <w:r w:rsidR="007967F0">
        <w:t xml:space="preserve">12 </w:t>
      </w:r>
      <w:r>
        <w:t>event days in 2011.</w:t>
      </w:r>
    </w:p>
    <w:p w:rsidR="005C1B70" w:rsidRDefault="005C1B70" w:rsidP="005C465D">
      <w:pPr>
        <w:pStyle w:val="TableFigureCaption"/>
      </w:pPr>
      <w:r>
        <w:t>Table 5-1:</w:t>
      </w:r>
      <w:r w:rsidR="007E0558">
        <w:t xml:space="preserve"> </w:t>
      </w:r>
      <w:r>
        <w:t>Estimated Ex Post Load Impacts by Event Day</w:t>
      </w:r>
      <w:r>
        <w:br/>
        <w:t>2011 SCE CPP Events</w:t>
      </w:r>
    </w:p>
    <w:tbl>
      <w:tblPr>
        <w:tblW w:w="9080" w:type="dxa"/>
        <w:jc w:val="center"/>
        <w:tblLook w:val="04A0"/>
      </w:tblPr>
      <w:tblGrid>
        <w:gridCol w:w="1342"/>
        <w:gridCol w:w="1361"/>
        <w:gridCol w:w="1184"/>
        <w:gridCol w:w="1006"/>
        <w:gridCol w:w="1020"/>
        <w:gridCol w:w="880"/>
        <w:gridCol w:w="1206"/>
        <w:gridCol w:w="1428"/>
      </w:tblGrid>
      <w:tr w:rsidR="005C1B70" w:rsidRPr="00121223" w:rsidTr="000577B8">
        <w:trPr>
          <w:trHeight w:val="1020"/>
          <w:jc w:val="center"/>
        </w:trPr>
        <w:tc>
          <w:tcPr>
            <w:tcW w:w="1342"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Event Date</w:t>
            </w:r>
          </w:p>
        </w:tc>
        <w:tc>
          <w:tcPr>
            <w:tcW w:w="1239"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Number of Participants</w:t>
            </w:r>
          </w:p>
        </w:tc>
        <w:tc>
          <w:tcPr>
            <w:tcW w:w="1059"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 Load Impact</w:t>
            </w:r>
          </w:p>
        </w:tc>
        <w:tc>
          <w:tcPr>
            <w:tcW w:w="11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Aggregate Load Impact (MW)</w:t>
            </w:r>
          </w:p>
        </w:tc>
        <w:tc>
          <w:tcPr>
            <w:tcW w:w="1420"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121223" w:rsidRDefault="005C1B70" w:rsidP="00D13343">
            <w:pPr>
              <w:pStyle w:val="TableHeader"/>
            </w:pPr>
            <w:r w:rsidRPr="00121223">
              <w:t>Average Temperature During Event (°F)</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6/21/2011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2,935</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213.1</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201.6</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11.6</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5.4%</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33.9</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82.0</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7/5/2011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2,953</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222.4</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210.0</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12.4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5.6%</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36.7</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85.8</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7/19/2011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2,872</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213.1</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200.7</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12.4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5.8%</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35.6</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84.6</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8/1/2011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2,992</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207.3</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195.2</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12.2</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5.9%</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36.4</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86.7</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8/3/2011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3,015</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206.2</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194.3</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12.0</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5.8%</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36.1</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84.8</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8/12/2011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3,094</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184.6</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174.1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10.6</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5.7%</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32.7</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78.1</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8/16/2011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3,014</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198.9</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187.7</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11.1</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5.6%</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33.6</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83.6</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8/18/2011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3,014</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200.6</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189.3</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11.3</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5.6%</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34.0</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83.6</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8/23/2011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3,024</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205.8</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194.4</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11.4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5.6%</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34.6</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86.4</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8/26/2011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3,038</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202.4</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190.3</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12.1</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6.0%</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36.6</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90.3</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9/6/2011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3,077</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215.9</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204.0</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11.9</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5.5%</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36.6</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90.9</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9/23/2011</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3,047</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187.8</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177.1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10.7</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5.7%</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32.7</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79.9</w:t>
            </w:r>
          </w:p>
        </w:tc>
      </w:tr>
      <w:tr w:rsidR="005C1B70" w:rsidRPr="00121223" w:rsidTr="000577B8">
        <w:trPr>
          <w:trHeight w:val="300"/>
          <w:jc w:val="center"/>
        </w:trPr>
        <w:tc>
          <w:tcPr>
            <w:tcW w:w="1342" w:type="dxa"/>
            <w:tcBorders>
              <w:top w:val="nil"/>
              <w:left w:val="single" w:sz="4" w:space="0" w:color="auto"/>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Average Event</w:t>
            </w:r>
          </w:p>
        </w:tc>
        <w:tc>
          <w:tcPr>
            <w:tcW w:w="123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3,006</w:t>
            </w:r>
          </w:p>
        </w:tc>
        <w:tc>
          <w:tcPr>
            <w:tcW w:w="1059"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204.7</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193.1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11.6</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5.7%</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35.0</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D13343">
            <w:pPr>
              <w:pStyle w:val="TableText"/>
              <w:jc w:val="center"/>
            </w:pPr>
            <w:r w:rsidRPr="00121223">
              <w:t>84.7</w:t>
            </w:r>
          </w:p>
        </w:tc>
      </w:tr>
    </w:tbl>
    <w:p w:rsidR="005C1B70" w:rsidRDefault="005C1B70" w:rsidP="005C465D">
      <w:pPr>
        <w:pStyle w:val="BodyParaAfterTableFigure"/>
      </w:pPr>
    </w:p>
    <w:p w:rsidR="005C1B70" w:rsidRPr="00003EA2" w:rsidRDefault="005C1B70" w:rsidP="005C465D">
      <w:pPr>
        <w:pStyle w:val="Heading2"/>
      </w:pPr>
      <w:bookmarkStart w:id="78" w:name="_Toc326072114"/>
      <w:r>
        <w:lastRenderedPageBreak/>
        <w:t>Average Event Day Impacts</w:t>
      </w:r>
      <w:bookmarkEnd w:id="78"/>
    </w:p>
    <w:p w:rsidR="005C1B70" w:rsidRDefault="005C1B70" w:rsidP="005C465D">
      <w:pPr>
        <w:pStyle w:val="BodyParagraph"/>
      </w:pPr>
      <w:r>
        <w:t xml:space="preserve">Figure 5-1 shows the </w:t>
      </w:r>
      <w:r w:rsidR="00074B3F">
        <w:t xml:space="preserve">aggregate </w:t>
      </w:r>
      <w:r>
        <w:t xml:space="preserve">hourly impact for </w:t>
      </w:r>
      <w:r w:rsidR="00074B3F">
        <w:t xml:space="preserve">CPP </w:t>
      </w:r>
      <w:r>
        <w:t>customer</w:t>
      </w:r>
      <w:r w:rsidR="0071272B">
        <w:t>s</w:t>
      </w:r>
      <w:r w:rsidR="00074B3F">
        <w:t xml:space="preserve"> for the average event in 2011</w:t>
      </w:r>
      <w:r>
        <w:t xml:space="preserve">.  Percent reductions </w:t>
      </w:r>
      <w:r w:rsidR="00B91DB2">
        <w:t>we</w:t>
      </w:r>
      <w:r w:rsidR="00EC07A4">
        <w:t xml:space="preserve">re essentially the same </w:t>
      </w:r>
      <w:r>
        <w:t>in each hour</w:t>
      </w:r>
      <w:r w:rsidR="00EC07A4">
        <w:t>, averaging 5.7%.  However, r</w:t>
      </w:r>
      <w:r>
        <w:t xml:space="preserve">eference loads and load impacts </w:t>
      </w:r>
      <w:r w:rsidR="00EC07A4">
        <w:t>decline</w:t>
      </w:r>
      <w:r w:rsidR="00B91DB2">
        <w:t>d</w:t>
      </w:r>
      <w:r w:rsidR="00EC07A4">
        <w:t xml:space="preserve"> by roughly 18% across the four hour event window.  The estimate</w:t>
      </w:r>
      <w:r w:rsidR="00B91DB2">
        <w:t>d</w:t>
      </w:r>
      <w:r w:rsidR="00EC07A4">
        <w:t xml:space="preserve"> load reduction </w:t>
      </w:r>
      <w:r w:rsidR="00B91DB2">
        <w:t>wa</w:t>
      </w:r>
      <w:r w:rsidR="00EC07A4">
        <w:t xml:space="preserve">s </w:t>
      </w:r>
      <w:r>
        <w:t>38.0 MW</w:t>
      </w:r>
      <w:r w:rsidR="00EC07A4">
        <w:t xml:space="preserve"> in the first hour and </w:t>
      </w:r>
      <w:r>
        <w:t>31.5 MW</w:t>
      </w:r>
      <w:r w:rsidR="00EC07A4">
        <w:t xml:space="preserve"> in the last event hour</w:t>
      </w:r>
      <w:r>
        <w:t xml:space="preserve">.  </w:t>
      </w:r>
      <w:r w:rsidR="007F0EE6">
        <w:t>For the average customer, t</w:t>
      </w:r>
      <w:r>
        <w:t>he decline in impacts coincide</w:t>
      </w:r>
      <w:r w:rsidR="00B91DB2">
        <w:t>d</w:t>
      </w:r>
      <w:r>
        <w:t xml:space="preserve"> with</w:t>
      </w:r>
      <w:r w:rsidR="00571881">
        <w:t xml:space="preserve"> a</w:t>
      </w:r>
      <w:r>
        <w:t xml:space="preserve"> decline in the aggregate reference load</w:t>
      </w:r>
      <w:r w:rsidR="00EC07A4">
        <w:t xml:space="preserve"> near the end of the event period</w:t>
      </w:r>
      <w:r>
        <w:t xml:space="preserve">.  </w:t>
      </w: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Default="0056258B" w:rsidP="005C465D">
      <w:pPr>
        <w:pStyle w:val="TableFigureCaption"/>
      </w:pPr>
    </w:p>
    <w:p w:rsidR="0056258B" w:rsidRPr="0056258B" w:rsidRDefault="0056258B" w:rsidP="005C465D">
      <w:pPr>
        <w:pStyle w:val="BodyParaAfterTableFigure"/>
      </w:pPr>
    </w:p>
    <w:p w:rsidR="0056258B" w:rsidRDefault="0056258B" w:rsidP="005C465D">
      <w:pPr>
        <w:pStyle w:val="TableFigureCaption"/>
      </w:pPr>
    </w:p>
    <w:p w:rsidR="0056258B" w:rsidRDefault="0056258B" w:rsidP="005C465D">
      <w:pPr>
        <w:pStyle w:val="BodyParaAfterTableFigure"/>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pPr>
    </w:p>
    <w:p w:rsidR="0056258B" w:rsidRDefault="0056258B" w:rsidP="005C465D">
      <w:pPr>
        <w:pStyle w:val="BodyParagraph"/>
        <w:sectPr w:rsidR="0056258B" w:rsidSect="00292B1C">
          <w:headerReference w:type="default" r:id="rId20"/>
          <w:pgSz w:w="12240" w:h="15840"/>
          <w:pgMar w:top="1440" w:right="1440" w:bottom="1440" w:left="1440" w:header="720" w:footer="720" w:gutter="0"/>
          <w:cols w:space="720"/>
          <w:docGrid w:linePitch="360"/>
        </w:sectPr>
      </w:pPr>
    </w:p>
    <w:p w:rsidR="005C1B70" w:rsidRDefault="005C1B70" w:rsidP="005C465D">
      <w:pPr>
        <w:pStyle w:val="TableFigureCaption"/>
      </w:pPr>
      <w:r w:rsidRPr="00462B2D">
        <w:lastRenderedPageBreak/>
        <w:t>Figure</w:t>
      </w:r>
      <w:r>
        <w:t xml:space="preserve"> 5-1:</w:t>
      </w:r>
      <w:r w:rsidR="007E0558">
        <w:t xml:space="preserve"> </w:t>
      </w:r>
      <w:r w:rsidR="0071272B">
        <w:t>Estimated Hourly Impacts for the Average Event Day</w:t>
      </w:r>
      <w:r w:rsidRPr="006E6018">
        <w:br/>
      </w:r>
      <w:r w:rsidR="0071272B">
        <w:t>2011 SCE CPP Events</w:t>
      </w:r>
    </w:p>
    <w:p w:rsidR="0056258B" w:rsidRDefault="0056258B" w:rsidP="005C465D">
      <w:pPr>
        <w:pStyle w:val="BodyParaAfterTableFigure"/>
      </w:pPr>
      <w:r>
        <w:rPr>
          <w:noProof/>
        </w:rPr>
        <w:drawing>
          <wp:inline distT="0" distB="0" distL="0" distR="0">
            <wp:extent cx="8229600" cy="4286272"/>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8229600" cy="4286272"/>
                    </a:xfrm>
                    <a:prstGeom prst="rect">
                      <a:avLst/>
                    </a:prstGeom>
                    <a:noFill/>
                    <a:ln w="9525">
                      <a:noFill/>
                      <a:miter lim="800000"/>
                      <a:headEnd/>
                      <a:tailEnd/>
                    </a:ln>
                  </pic:spPr>
                </pic:pic>
              </a:graphicData>
            </a:graphic>
          </wp:inline>
        </w:drawing>
      </w:r>
    </w:p>
    <w:p w:rsidR="0056258B" w:rsidRDefault="0056258B" w:rsidP="005C465D">
      <w:pPr>
        <w:pStyle w:val="BodyParagraph"/>
      </w:pPr>
    </w:p>
    <w:p w:rsidR="0056258B" w:rsidRDefault="0056258B" w:rsidP="005C465D">
      <w:pPr>
        <w:pStyle w:val="BodyParagraph"/>
        <w:sectPr w:rsidR="0056258B" w:rsidSect="004433C4">
          <w:headerReference w:type="default" r:id="rId22"/>
          <w:pgSz w:w="15840" w:h="12240" w:orient="landscape"/>
          <w:pgMar w:top="1440" w:right="1440" w:bottom="1440" w:left="1440" w:header="720" w:footer="720" w:gutter="0"/>
          <w:cols w:space="720"/>
          <w:docGrid w:linePitch="360"/>
        </w:sectPr>
      </w:pPr>
    </w:p>
    <w:p w:rsidR="005C1B70" w:rsidRPr="00003EA2" w:rsidRDefault="005C1B70" w:rsidP="005C465D">
      <w:pPr>
        <w:pStyle w:val="Heading2"/>
      </w:pPr>
      <w:bookmarkStart w:id="79" w:name="_Toc326072115"/>
      <w:r>
        <w:lastRenderedPageBreak/>
        <w:t>Load Impacts by Industry</w:t>
      </w:r>
      <w:bookmarkEnd w:id="79"/>
    </w:p>
    <w:p w:rsidR="00052A56" w:rsidRDefault="005C1B70" w:rsidP="005C465D">
      <w:pPr>
        <w:pStyle w:val="BodyParagraph"/>
      </w:pPr>
      <w:r>
        <w:t xml:space="preserve">Table 5-2 shows the estimated ex post load impacts by industry. </w:t>
      </w:r>
      <w:r w:rsidR="00A93ABE">
        <w:t xml:space="preserve"> </w:t>
      </w:r>
      <w:r w:rsidR="007A7286">
        <w:t>The distribution of load impacts is even</w:t>
      </w:r>
      <w:r w:rsidR="00D27D66">
        <w:t> </w:t>
      </w:r>
      <w:r w:rsidR="007A7286">
        <w:t xml:space="preserve">more concentrated </w:t>
      </w:r>
      <w:r w:rsidR="00EF702C">
        <w:t xml:space="preserve">for specific industries </w:t>
      </w:r>
      <w:r w:rsidR="007A7286">
        <w:t>in SCE’s service territory than it was for PG&amp;E.  The Manufacturing sector provide</w:t>
      </w:r>
      <w:r w:rsidR="00B91DB2">
        <w:t>d</w:t>
      </w:r>
      <w:r w:rsidR="007A7286">
        <w:t xml:space="preserve"> two thirds of the aggregate load reduction on the average day, while comprising only 26% of program enrollment.  The Manufacturing segment also ha</w:t>
      </w:r>
      <w:r w:rsidR="00B91DB2">
        <w:t>d</w:t>
      </w:r>
      <w:r w:rsidR="007A7286">
        <w:t xml:space="preserve"> the highest percentage demand response, equal to 14.1%.  When combined with the </w:t>
      </w:r>
      <w:r>
        <w:t>Wholesale, Transport &amp; Other</w:t>
      </w:r>
      <w:r w:rsidR="00D27D66">
        <w:t> </w:t>
      </w:r>
      <w:r>
        <w:t>Utilities</w:t>
      </w:r>
      <w:r w:rsidR="007A7286">
        <w:t>, the two segments account</w:t>
      </w:r>
      <w:r w:rsidR="00B91DB2">
        <w:t>ed</w:t>
      </w:r>
      <w:r w:rsidR="007A7286">
        <w:t xml:space="preserve"> for 43% of enrollment but more than 93% of aggregate load</w:t>
      </w:r>
      <w:r w:rsidR="00D27D66">
        <w:t> </w:t>
      </w:r>
      <w:r w:rsidR="007A7286">
        <w:t xml:space="preserve">reduction.  </w:t>
      </w:r>
      <w:r>
        <w:t xml:space="preserve">  </w:t>
      </w:r>
    </w:p>
    <w:p w:rsidR="005C1B70" w:rsidRPr="00E9256F" w:rsidRDefault="007A7286" w:rsidP="005C465D">
      <w:pPr>
        <w:pStyle w:val="BodyParagraph"/>
      </w:pPr>
      <w:r>
        <w:t xml:space="preserve">As with PG&amp;E’s CPP tariff, </w:t>
      </w:r>
      <w:r w:rsidR="00B91DB2">
        <w:t>S</w:t>
      </w:r>
      <w:r>
        <w:t xml:space="preserve">chools accounted for a relatively large percent of </w:t>
      </w:r>
      <w:r w:rsidR="003C237E">
        <w:t xml:space="preserve">program </w:t>
      </w:r>
      <w:r w:rsidR="00EF702C">
        <w:t>participants</w:t>
      </w:r>
      <w:r>
        <w:t xml:space="preserve">, </w:t>
      </w:r>
      <w:r w:rsidR="005C1B70">
        <w:t>13%</w:t>
      </w:r>
      <w:r>
        <w:t xml:space="preserve">, but </w:t>
      </w:r>
      <w:r w:rsidR="007F0EE6">
        <w:t>did not produce statistically significant load reductions</w:t>
      </w:r>
      <w:r>
        <w:t xml:space="preserve">.  Several other business segments also accounted for a large share of enrollment but </w:t>
      </w:r>
      <w:r w:rsidR="007F0EE6">
        <w:t>a small share of the load impacts</w:t>
      </w:r>
      <w:r>
        <w:t xml:space="preserve">.  The Offices, Hotels, Finance and Services sector actually showed a slight increase in energy use on the average event day, and the Institutional/Governmental segment showed </w:t>
      </w:r>
      <w:r w:rsidR="007F0EE6">
        <w:t>small</w:t>
      </w:r>
      <w:r>
        <w:t xml:space="preserve"> </w:t>
      </w:r>
      <w:r w:rsidR="003C237E">
        <w:t xml:space="preserve">load </w:t>
      </w:r>
      <w:r w:rsidR="007F0EE6">
        <w:t>reductions</w:t>
      </w:r>
      <w:r>
        <w:t xml:space="preserve">.  In total, 8 of the 10 business segments comprised 57% of enrolled customers but provided only 7% of aggregate </w:t>
      </w:r>
      <w:r w:rsidR="003C237E">
        <w:t>ex post load impacts</w:t>
      </w:r>
      <w:r>
        <w:t xml:space="preserve">.  </w:t>
      </w:r>
    </w:p>
    <w:p w:rsidR="005C1B70" w:rsidRDefault="005C1B70" w:rsidP="005C465D">
      <w:pPr>
        <w:pStyle w:val="TableFigureCaption"/>
      </w:pPr>
      <w:r>
        <w:t>Table 5-2:</w:t>
      </w:r>
      <w:r w:rsidR="007E0558">
        <w:t xml:space="preserve"> </w:t>
      </w:r>
      <w:r>
        <w:t>Estimated Ex Post Load Impacts by Industry</w:t>
      </w:r>
      <w:r>
        <w:br/>
        <w:t>Average 2011 SCE CPP Events</w:t>
      </w:r>
    </w:p>
    <w:tbl>
      <w:tblPr>
        <w:tblW w:w="10401" w:type="dxa"/>
        <w:jc w:val="center"/>
        <w:tblLook w:val="04A0"/>
      </w:tblPr>
      <w:tblGrid>
        <w:gridCol w:w="2316"/>
        <w:gridCol w:w="1361"/>
        <w:gridCol w:w="1184"/>
        <w:gridCol w:w="1006"/>
        <w:gridCol w:w="1020"/>
        <w:gridCol w:w="880"/>
        <w:gridCol w:w="1206"/>
        <w:gridCol w:w="1428"/>
      </w:tblGrid>
      <w:tr w:rsidR="005C1B70" w:rsidRPr="00121223" w:rsidTr="000577B8">
        <w:trPr>
          <w:trHeight w:val="1020"/>
          <w:jc w:val="center"/>
        </w:trPr>
        <w:tc>
          <w:tcPr>
            <w:tcW w:w="2316"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t>Industry</w:t>
            </w:r>
          </w:p>
        </w:tc>
        <w:tc>
          <w:tcPr>
            <w:tcW w:w="1361"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Number of Participants</w:t>
            </w:r>
          </w:p>
        </w:tc>
        <w:tc>
          <w:tcPr>
            <w:tcW w:w="1184"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121223" w:rsidRDefault="005C1B70" w:rsidP="00D13343">
            <w:pPr>
              <w:pStyle w:val="TableHeader"/>
            </w:pPr>
            <w:r w:rsidRPr="00121223">
              <w:t>Average Temperature During Event (</w:t>
            </w:r>
            <w:r w:rsidRPr="00121223">
              <w:rPr>
                <w:rFonts w:ascii="Calibri" w:hAnsi="Calibri" w:cs="Calibri"/>
              </w:rPr>
              <w:t>°</w:t>
            </w:r>
            <w:r w:rsidRPr="00121223">
              <w:t>F)</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Agriculture, Mining &amp; Construction</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75</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159.5</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156.1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3.3</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2.1%</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0.2</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87.4</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Manufacturing</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777</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216.0</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185.5</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30.5</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14.1%</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23.7</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84.2</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Wholesale, Transport &amp; Other Utilities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511</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204.8</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187.3</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17.5</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8.5%</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8.9</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84.5</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Retail Stores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209</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237.1</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228.8</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8.3</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3.5%</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1.7</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83.2</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Offices, Hotels, Finance, Services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772</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186.7</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187.5</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-0.8</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-0.4%</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-0.6</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84.8</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Schools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387</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182.1</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182.1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0.0</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0.0%</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0.0</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85.6</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Institutional/Government</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235</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259.4</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258.3</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1.1</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0.4%</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0.3</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85.6</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Other or Unknown</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40</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148.6</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131.4</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17.2</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11.6%</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0.7</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84.0</w:t>
            </w:r>
          </w:p>
        </w:tc>
      </w:tr>
      <w:tr w:rsidR="005C1B70" w:rsidRPr="00121223" w:rsidTr="00FB5727">
        <w:trPr>
          <w:trHeight w:val="300"/>
          <w:jc w:val="center"/>
        </w:trPr>
        <w:tc>
          <w:tcPr>
            <w:tcW w:w="2316"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All Customers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3,006</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204.7</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193.1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11.6</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5.7%</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35.0</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121223" w:rsidRDefault="005C1B70" w:rsidP="00FB5727">
            <w:pPr>
              <w:pStyle w:val="TableText"/>
              <w:jc w:val="center"/>
            </w:pPr>
            <w:r w:rsidRPr="00121223">
              <w:t>84.7</w:t>
            </w:r>
          </w:p>
        </w:tc>
      </w:tr>
    </w:tbl>
    <w:p w:rsidR="00B91DB2" w:rsidRDefault="00B91DB2" w:rsidP="005C465D">
      <w:pPr>
        <w:pStyle w:val="BodyParaAfterTableFigure"/>
      </w:pPr>
    </w:p>
    <w:p w:rsidR="002A5ABE" w:rsidRDefault="00B91DB2" w:rsidP="005C465D">
      <w:pPr>
        <w:pStyle w:val="BodyParagraph"/>
      </w:pPr>
      <w:r>
        <w:br w:type="page"/>
      </w:r>
    </w:p>
    <w:p w:rsidR="00184B0C" w:rsidRDefault="00B91DB2" w:rsidP="005C465D">
      <w:pPr>
        <w:pStyle w:val="BodyParagraph"/>
      </w:pPr>
      <w:r>
        <w:lastRenderedPageBreak/>
        <w:t>Figure 5-2 compares the reference load, load impact and the number of accounts, in percentage terms, for each customer segment.</w:t>
      </w:r>
    </w:p>
    <w:p w:rsidR="00184B0C" w:rsidRDefault="00184B0C" w:rsidP="005C465D">
      <w:pPr>
        <w:pStyle w:val="TableFigureCaption"/>
      </w:pPr>
      <w:r w:rsidRPr="000E686E">
        <w:t>Figure</w:t>
      </w:r>
      <w:r w:rsidR="00584CF1">
        <w:t xml:space="preserve"> 5-2</w:t>
      </w:r>
      <w:r w:rsidRPr="00DF1D4A">
        <w:t>:</w:t>
      </w:r>
      <w:r w:rsidR="007E0558">
        <w:t xml:space="preserve"> </w:t>
      </w:r>
      <w:r>
        <w:t xml:space="preserve">SCE </w:t>
      </w:r>
      <w:r w:rsidRPr="00DF1D4A">
        <w:t xml:space="preserve">Distribution of Event Period Reference Load and Impacts by </w:t>
      </w:r>
      <w:r>
        <w:t>I</w:t>
      </w:r>
      <w:r w:rsidRPr="00DF1D4A">
        <w:t>ndustry</w:t>
      </w:r>
    </w:p>
    <w:p w:rsidR="00184B0C" w:rsidRDefault="00184B0C" w:rsidP="00184B0C">
      <w:pPr>
        <w:jc w:val="center"/>
      </w:pPr>
      <w:r w:rsidRPr="0016081E">
        <w:rPr>
          <w:noProof/>
        </w:rPr>
        <w:drawing>
          <wp:inline distT="0" distB="0" distL="0" distR="0">
            <wp:extent cx="4921250" cy="2743200"/>
            <wp:effectExtent l="19050" t="0" r="12700" b="0"/>
            <wp:docPr id="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4B0C" w:rsidRDefault="00184B0C" w:rsidP="005C465D">
      <w:pPr>
        <w:pStyle w:val="BodyParaAfterTableFigure"/>
      </w:pPr>
      <w:r>
        <w:t xml:space="preserve">In total, </w:t>
      </w:r>
      <w:r w:rsidR="00B91DB2">
        <w:t xml:space="preserve">the reference load indicates that </w:t>
      </w:r>
      <w:r>
        <w:t xml:space="preserve">SCE participants would have averaged 615.4 MW of load during the event periods if not for CPP.  Instead, they averaged 580.5 MW, a 35.0 MW reduction.  The two largest sectors among enrolled participants </w:t>
      </w:r>
      <w:r w:rsidR="00B91DB2">
        <w:t>we</w:t>
      </w:r>
      <w:r>
        <w:t xml:space="preserve">re Office, Hotels, Finance and Services and Manufacturing.  Offices accounted for 23% of the </w:t>
      </w:r>
      <w:r w:rsidR="00B91DB2">
        <w:t xml:space="preserve">reference </w:t>
      </w:r>
      <w:r>
        <w:t xml:space="preserve">load (144.2 MW) but did not produce any load impacts.  On the other hand, Manufacturing accounted for 27% of the event period </w:t>
      </w:r>
      <w:r w:rsidR="00B91DB2">
        <w:t xml:space="preserve">reference </w:t>
      </w:r>
      <w:r>
        <w:t>load (167.8 MW), but delivered 68% of the impacts (23.7 MW).</w:t>
      </w:r>
    </w:p>
    <w:p w:rsidR="005C1B70" w:rsidRDefault="005C1B70" w:rsidP="005C465D">
      <w:pPr>
        <w:pStyle w:val="Heading2"/>
      </w:pPr>
      <w:bookmarkStart w:id="80" w:name="_Toc326072116"/>
      <w:r>
        <w:t>Load Impacts by Local Capacity Area</w:t>
      </w:r>
      <w:bookmarkEnd w:id="80"/>
    </w:p>
    <w:p w:rsidR="005C1B70" w:rsidRDefault="005C1B70" w:rsidP="005C465D">
      <w:pPr>
        <w:pStyle w:val="BodyParagraph"/>
      </w:pPr>
      <w:r>
        <w:t xml:space="preserve">Table 5-3 shows the estimated ex post load impacts by local capacity area.  </w:t>
      </w:r>
      <w:r w:rsidR="000D4DBD">
        <w:t>Almost 80% of enrolled customers and 90% of aggregate load reduction c</w:t>
      </w:r>
      <w:r w:rsidR="00B91DB2">
        <w:t>a</w:t>
      </w:r>
      <w:r w:rsidR="000D4DBD">
        <w:t xml:space="preserve">me from the LA Basin LCA.  </w:t>
      </w:r>
    </w:p>
    <w:p w:rsidR="00B91DB2" w:rsidRDefault="00B91DB2">
      <w:pPr>
        <w:rPr>
          <w:rFonts w:ascii="Arial" w:hAnsi="Arial"/>
          <w:b/>
        </w:rPr>
      </w:pPr>
      <w:r>
        <w:br w:type="page"/>
      </w:r>
    </w:p>
    <w:p w:rsidR="005C1B70" w:rsidRDefault="005C1B70" w:rsidP="005C465D">
      <w:pPr>
        <w:pStyle w:val="TableFigureCaption"/>
      </w:pPr>
      <w:r>
        <w:lastRenderedPageBreak/>
        <w:t>Table 5-3:</w:t>
      </w:r>
      <w:r w:rsidR="007E0558">
        <w:t xml:space="preserve"> </w:t>
      </w:r>
      <w:r>
        <w:t>Estimated Ex Post Load Impacts by LCA</w:t>
      </w:r>
      <w:r>
        <w:br/>
        <w:t>Average 2011 SCE CPP Event</w:t>
      </w:r>
    </w:p>
    <w:tbl>
      <w:tblPr>
        <w:tblW w:w="10325" w:type="dxa"/>
        <w:jc w:val="center"/>
        <w:tblLook w:val="04A0"/>
      </w:tblPr>
      <w:tblGrid>
        <w:gridCol w:w="2240"/>
        <w:gridCol w:w="1361"/>
        <w:gridCol w:w="1184"/>
        <w:gridCol w:w="1006"/>
        <w:gridCol w:w="1020"/>
        <w:gridCol w:w="880"/>
        <w:gridCol w:w="1206"/>
        <w:gridCol w:w="1428"/>
      </w:tblGrid>
      <w:tr w:rsidR="005C1B70" w:rsidRPr="00121223" w:rsidTr="000577B8">
        <w:trPr>
          <w:trHeight w:val="1020"/>
          <w:jc w:val="center"/>
        </w:trPr>
        <w:tc>
          <w:tcPr>
            <w:tcW w:w="2240"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t>Local Capacity Area</w:t>
            </w:r>
          </w:p>
        </w:tc>
        <w:tc>
          <w:tcPr>
            <w:tcW w:w="1361"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Number of Participants</w:t>
            </w:r>
          </w:p>
        </w:tc>
        <w:tc>
          <w:tcPr>
            <w:tcW w:w="1184"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121223" w:rsidRDefault="005C1B70" w:rsidP="00D13343">
            <w:pPr>
              <w:pStyle w:val="TableHeader"/>
            </w:pPr>
            <w:r w:rsidRPr="00121223">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121223" w:rsidRDefault="005C1B70" w:rsidP="00D13343">
            <w:pPr>
              <w:pStyle w:val="TableHeader"/>
            </w:pPr>
            <w:r w:rsidRPr="00121223">
              <w:t>Average Temperature During Event (</w:t>
            </w:r>
            <w:r w:rsidRPr="00121223">
              <w:rPr>
                <w:rFonts w:ascii="Calibri" w:hAnsi="Calibri" w:cs="Calibri"/>
              </w:rPr>
              <w:t>°</w:t>
            </w:r>
            <w:r w:rsidRPr="00121223">
              <w:t>F)</w:t>
            </w:r>
          </w:p>
        </w:tc>
      </w:tr>
      <w:tr w:rsidR="005C1B70" w:rsidRPr="00121223" w:rsidTr="000577B8">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LA Basin</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2365</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217.5</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204.3</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13.2</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6.1%</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31.3</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84.0</w:t>
            </w:r>
          </w:p>
        </w:tc>
      </w:tr>
      <w:tr w:rsidR="005C1B70" w:rsidRPr="00121223" w:rsidTr="000577B8">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Outside</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168</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197.7</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191.7</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6.0</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3.1%</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1.0</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90.5</w:t>
            </w:r>
          </w:p>
        </w:tc>
      </w:tr>
      <w:tr w:rsidR="005C1B70" w:rsidRPr="00121223" w:rsidTr="000577B8">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Ventura</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473</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143.4</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137.8</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5.7</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4.0%</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2.7</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86.3</w:t>
            </w:r>
          </w:p>
        </w:tc>
      </w:tr>
      <w:tr w:rsidR="005C1B70" w:rsidRPr="00121223" w:rsidTr="000577B8">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All Customers</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3,006</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204.7</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193.1</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11.6</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5.7%</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35.0</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121223" w:rsidRDefault="005C1B70" w:rsidP="00D13343">
            <w:pPr>
              <w:pStyle w:val="TableText"/>
              <w:jc w:val="center"/>
            </w:pPr>
            <w:r w:rsidRPr="00121223">
              <w:t>84.7</w:t>
            </w:r>
          </w:p>
        </w:tc>
      </w:tr>
    </w:tbl>
    <w:p w:rsidR="005C1B70" w:rsidRDefault="005C1B70" w:rsidP="007E0558">
      <w:pPr>
        <w:pStyle w:val="Heading2"/>
        <w:spacing w:before="360"/>
      </w:pPr>
      <w:bookmarkStart w:id="81" w:name="_Toc326072117"/>
      <w:r>
        <w:t>Load Impacts by Customer Size</w:t>
      </w:r>
      <w:bookmarkEnd w:id="81"/>
    </w:p>
    <w:p w:rsidR="005C1B70" w:rsidRDefault="005C1B70" w:rsidP="005C465D">
      <w:pPr>
        <w:pStyle w:val="BodyParagraph"/>
      </w:pPr>
      <w:r>
        <w:t xml:space="preserve">Table 5-4 shows the estimated ex post load impacts </w:t>
      </w:r>
      <w:r w:rsidR="007F0EE6">
        <w:t>for five</w:t>
      </w:r>
      <w:r>
        <w:t xml:space="preserve"> customer size</w:t>
      </w:r>
      <w:r w:rsidR="003C237E">
        <w:t xml:space="preserve"> categor</w:t>
      </w:r>
      <w:r w:rsidR="007F0EE6">
        <w:t>ies, defined by average hourly usage throughout the year</w:t>
      </w:r>
      <w:r>
        <w:t xml:space="preserve">.  </w:t>
      </w:r>
      <w:r w:rsidR="000D4DBD">
        <w:t xml:space="preserve">Customers with average </w:t>
      </w:r>
      <w:r w:rsidR="007F0EE6">
        <w:t xml:space="preserve">hourly usage </w:t>
      </w:r>
      <w:r w:rsidR="000D4DBD">
        <w:t>above 200 kW</w:t>
      </w:r>
      <w:r>
        <w:t xml:space="preserve"> </w:t>
      </w:r>
      <w:r w:rsidR="000D4DBD">
        <w:t>account</w:t>
      </w:r>
      <w:r w:rsidR="00B91DB2">
        <w:t>ed</w:t>
      </w:r>
      <w:r w:rsidR="000D4DBD">
        <w:t xml:space="preserve"> for only 19% of total enrollment but deliver</w:t>
      </w:r>
      <w:r w:rsidR="00B91DB2">
        <w:t>ed</w:t>
      </w:r>
      <w:r w:rsidR="000D4DBD">
        <w:t xml:space="preserve"> 76% of total demand response on the average event day.  Customers with average </w:t>
      </w:r>
      <w:r w:rsidR="007F0EE6">
        <w:t xml:space="preserve">hourly usage </w:t>
      </w:r>
      <w:r w:rsidR="000D4DBD">
        <w:t>exceeding 500 kW account</w:t>
      </w:r>
      <w:r w:rsidR="00B91DB2">
        <w:t>ed</w:t>
      </w:r>
      <w:r w:rsidR="000D4DBD">
        <w:t xml:space="preserve"> for less than 4% of enrollment but deliver</w:t>
      </w:r>
      <w:r w:rsidR="00B91DB2">
        <w:t>ed</w:t>
      </w:r>
      <w:r w:rsidR="000D4DBD">
        <w:t xml:space="preserve"> more than a third of total demand reduction on the average event day.  Small customers</w:t>
      </w:r>
      <w:r w:rsidR="003C237E">
        <w:t xml:space="preserve"> (below 100kW</w:t>
      </w:r>
      <w:r w:rsidR="007F0EE6">
        <w:t>h/hr</w:t>
      </w:r>
      <w:r w:rsidR="003C237E">
        <w:t>)</w:t>
      </w:r>
      <w:r w:rsidR="000D4DBD">
        <w:t>, on the other hand, provide little or no demand response.  The 604 customers with peak demands less than 50kW, which comprise roughly 20% of total enrollment, provide no statistically significant demand reduction.  Customers</w:t>
      </w:r>
      <w:r w:rsidR="007F0EE6">
        <w:t xml:space="preserve"> with average usage</w:t>
      </w:r>
      <w:r w:rsidR="000D4DBD">
        <w:t xml:space="preserve"> </w:t>
      </w:r>
      <w:proofErr w:type="gramStart"/>
      <w:r w:rsidR="000D4DBD">
        <w:t>below 100 kW</w:t>
      </w:r>
      <w:r w:rsidR="007F0EE6">
        <w:t>h/hr</w:t>
      </w:r>
      <w:proofErr w:type="gramEnd"/>
      <w:r w:rsidR="000D4DBD">
        <w:t xml:space="preserve"> comprise more than 50% of total enrollment but collectively deliver less than 5% of total demand response.  </w:t>
      </w:r>
      <w:r>
        <w:t xml:space="preserve"> </w:t>
      </w:r>
    </w:p>
    <w:p w:rsidR="005C1B70" w:rsidRDefault="005C1B70" w:rsidP="005C465D">
      <w:pPr>
        <w:pStyle w:val="TableFigureCaption"/>
      </w:pPr>
      <w:r>
        <w:t>Table 5-4:</w:t>
      </w:r>
      <w:r w:rsidR="007E0558">
        <w:t xml:space="preserve"> </w:t>
      </w:r>
      <w:r>
        <w:t>Estimated Ex Post Load Impacts by Customer Size</w:t>
      </w:r>
      <w:r>
        <w:br/>
        <w:t>Average 2011 SCE CPP Event</w:t>
      </w:r>
    </w:p>
    <w:tbl>
      <w:tblPr>
        <w:tblW w:w="10341" w:type="dxa"/>
        <w:jc w:val="center"/>
        <w:tblLook w:val="04A0"/>
      </w:tblPr>
      <w:tblGrid>
        <w:gridCol w:w="2256"/>
        <w:gridCol w:w="1361"/>
        <w:gridCol w:w="1184"/>
        <w:gridCol w:w="1006"/>
        <w:gridCol w:w="1020"/>
        <w:gridCol w:w="880"/>
        <w:gridCol w:w="1206"/>
        <w:gridCol w:w="1428"/>
      </w:tblGrid>
      <w:tr w:rsidR="005C1B70" w:rsidRPr="00432C68" w:rsidTr="0060183E">
        <w:trPr>
          <w:trHeight w:val="1020"/>
          <w:jc w:val="center"/>
        </w:trPr>
        <w:tc>
          <w:tcPr>
            <w:tcW w:w="2256"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Default="005C1B70" w:rsidP="00D13343">
            <w:pPr>
              <w:pStyle w:val="TableHeader"/>
            </w:pPr>
            <w:r w:rsidRPr="00432C68">
              <w:t>Size Category</w:t>
            </w:r>
          </w:p>
          <w:p w:rsidR="007F0EE6" w:rsidRPr="00432C68" w:rsidRDefault="007F0EE6" w:rsidP="00D13343">
            <w:pPr>
              <w:pStyle w:val="TableHeader"/>
            </w:pPr>
            <w:r>
              <w:t>(By Average Annual KWh/hr)</w:t>
            </w:r>
          </w:p>
        </w:tc>
        <w:tc>
          <w:tcPr>
            <w:tcW w:w="1361"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Number of Participants</w:t>
            </w:r>
          </w:p>
        </w:tc>
        <w:tc>
          <w:tcPr>
            <w:tcW w:w="1184"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432C68" w:rsidRDefault="005C1B70" w:rsidP="00D13343">
            <w:pPr>
              <w:pStyle w:val="TableHeader"/>
            </w:pPr>
            <w:r w:rsidRPr="00432C68">
              <w:t>Average Temperature During Event (°F)</w:t>
            </w:r>
          </w:p>
        </w:tc>
      </w:tr>
      <w:tr w:rsidR="005C1B70" w:rsidRPr="00432C68" w:rsidTr="0060183E">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7F0EE6">
            <w:pPr>
              <w:pStyle w:val="TableText"/>
              <w:jc w:val="center"/>
            </w:pPr>
            <w:r w:rsidRPr="00432C68">
              <w:t xml:space="preserve">Under 50 </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604</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34.1</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34.1</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-0.1</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-0.2%</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0.0</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87.6</w:t>
            </w:r>
          </w:p>
        </w:tc>
      </w:tr>
      <w:tr w:rsidR="005C1B70" w:rsidRPr="00432C68" w:rsidTr="0060183E">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AC59F3">
            <w:pPr>
              <w:pStyle w:val="TableText"/>
              <w:jc w:val="center"/>
            </w:pPr>
            <w:r w:rsidRPr="00432C68">
              <w:t xml:space="preserve">50-100 </w:t>
            </w:r>
            <w:r w:rsidR="007F0EE6">
              <w:t>KWh</w:t>
            </w:r>
            <w:r w:rsidR="00AC59F3">
              <w:t>/hr</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918</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124.3</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122.6</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1.7</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1.4%</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1.6</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84.5</w:t>
            </w:r>
          </w:p>
        </w:tc>
      </w:tr>
      <w:tr w:rsidR="005C1B70" w:rsidRPr="00432C68" w:rsidTr="0060183E">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AC59F3">
            <w:pPr>
              <w:pStyle w:val="TableText"/>
              <w:jc w:val="center"/>
            </w:pPr>
            <w:r w:rsidRPr="00432C68">
              <w:t>100-200 kW</w:t>
            </w:r>
            <w:r w:rsidR="00AC59F3">
              <w:t>/</w:t>
            </w:r>
            <w:r w:rsidR="007F0EE6">
              <w:t>hr</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918</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199.9</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192.5</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7.5</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3.7%</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6.8</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83.8</w:t>
            </w:r>
          </w:p>
        </w:tc>
      </w:tr>
      <w:tr w:rsidR="005C1B70" w:rsidRPr="00432C68" w:rsidTr="0060183E">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AC59F3">
            <w:pPr>
              <w:pStyle w:val="TableText"/>
              <w:jc w:val="center"/>
            </w:pPr>
            <w:r w:rsidRPr="00432C68">
              <w:t>200-500 kW</w:t>
            </w:r>
            <w:r w:rsidR="00AC59F3">
              <w:t>h/hr</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460</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385.5</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356.6</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28.9</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7.5%</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13.3</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83.6</w:t>
            </w:r>
          </w:p>
        </w:tc>
      </w:tr>
      <w:tr w:rsidR="005C1B70" w:rsidRPr="00432C68" w:rsidTr="0060183E">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AC59F3">
            <w:pPr>
              <w:pStyle w:val="TableText"/>
              <w:jc w:val="center"/>
            </w:pPr>
            <w:r w:rsidRPr="00432C68">
              <w:t>Over 500 kW</w:t>
            </w:r>
            <w:r w:rsidR="00AC59F3">
              <w:t>h/hr</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107</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1121.1</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996.7</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124.4</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11.1%</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13.3</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83.8</w:t>
            </w:r>
          </w:p>
        </w:tc>
      </w:tr>
      <w:tr w:rsidR="005C1B70" w:rsidRPr="00432C68" w:rsidTr="0060183E">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All Customers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3,006</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204.7</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193.1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11.6</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5.7%</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35.0</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84.7</w:t>
            </w:r>
          </w:p>
        </w:tc>
      </w:tr>
    </w:tbl>
    <w:p w:rsidR="008143A0" w:rsidRDefault="008143A0" w:rsidP="007E0558">
      <w:pPr>
        <w:pStyle w:val="Heading2"/>
        <w:spacing w:before="360"/>
      </w:pPr>
      <w:bookmarkStart w:id="82" w:name="_Toc326072118"/>
      <w:r>
        <w:t>Load Impacts for Multi-DR P</w:t>
      </w:r>
      <w:r>
        <w:rPr>
          <w:rFonts w:hint="eastAsia"/>
        </w:rPr>
        <w:t>rogra</w:t>
      </w:r>
      <w:r>
        <w:t>m Participants</w:t>
      </w:r>
      <w:bookmarkEnd w:id="82"/>
    </w:p>
    <w:p w:rsidR="008143A0" w:rsidRDefault="008143A0" w:rsidP="005C465D">
      <w:pPr>
        <w:pStyle w:val="BodyParagraph"/>
      </w:pPr>
      <w:r>
        <w:t xml:space="preserve">At SCE, CPP customers can also enroll in several other DR programs.  In 2011, out of the 3,006 accounts enrolled </w:t>
      </w:r>
      <w:r w:rsidR="00B91DB2">
        <w:t>o</w:t>
      </w:r>
      <w:r>
        <w:t xml:space="preserve">n CPP, 58 were also enrolled </w:t>
      </w:r>
      <w:r w:rsidR="00B91DB2">
        <w:t>o</w:t>
      </w:r>
      <w:r>
        <w:t>n one of three other DR programs: BIP, CBP and DRRC.  Table 5-5 shows the estimated load impacts for dual participation customers in SCE’s CPP and DR programs.  As was discussed in Section 4.5, difference</w:t>
      </w:r>
      <w:r w:rsidR="00B91DB2">
        <w:t>s</w:t>
      </w:r>
      <w:r>
        <w:t xml:space="preserve"> in average and aggregate impacts across </w:t>
      </w:r>
      <w:r>
        <w:lastRenderedPageBreak/>
        <w:t xml:space="preserve">the dual enrollment categories is probably due to variation in customer characteristics in these small samples, not due to any influence of the other DR programs on CPP price response.  </w:t>
      </w:r>
    </w:p>
    <w:p w:rsidR="008143A0" w:rsidRDefault="008143A0" w:rsidP="005C465D">
      <w:pPr>
        <w:pStyle w:val="TableFigureCaption"/>
      </w:pPr>
      <w:r>
        <w:t>Table 5-5:</w:t>
      </w:r>
      <w:r w:rsidR="007E0558">
        <w:t xml:space="preserve"> </w:t>
      </w:r>
      <w:r>
        <w:t>Estimated Ex Post Load Impacts of Multi-DR Participants</w:t>
      </w:r>
      <w:r>
        <w:br/>
        <w:t>Average 2011 SCE CPP Event</w:t>
      </w:r>
    </w:p>
    <w:tbl>
      <w:tblPr>
        <w:tblW w:w="10745" w:type="dxa"/>
        <w:jc w:val="center"/>
        <w:tblLook w:val="04A0"/>
      </w:tblPr>
      <w:tblGrid>
        <w:gridCol w:w="2660"/>
        <w:gridCol w:w="1363"/>
        <w:gridCol w:w="1184"/>
        <w:gridCol w:w="1006"/>
        <w:gridCol w:w="1020"/>
        <w:gridCol w:w="880"/>
        <w:gridCol w:w="1206"/>
        <w:gridCol w:w="1428"/>
      </w:tblGrid>
      <w:tr w:rsidR="00710A83" w:rsidRPr="00710A83" w:rsidTr="00F960F4">
        <w:trPr>
          <w:trHeight w:val="1020"/>
          <w:jc w:val="center"/>
        </w:trPr>
        <w:tc>
          <w:tcPr>
            <w:tcW w:w="2660"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Dual and Previous Enrollment</w:t>
            </w:r>
          </w:p>
        </w:tc>
        <w:tc>
          <w:tcPr>
            <w:tcW w:w="1363"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Number of Participants</w:t>
            </w:r>
          </w:p>
        </w:tc>
        <w:tc>
          <w:tcPr>
            <w:tcW w:w="1182"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Temperature During Event (°F)</w:t>
            </w:r>
          </w:p>
        </w:tc>
      </w:tr>
      <w:tr w:rsidR="00710A83" w:rsidRPr="00710A83" w:rsidTr="00F960F4">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Dually Enrolled: BIP</w:t>
            </w:r>
          </w:p>
        </w:tc>
        <w:tc>
          <w:tcPr>
            <w:tcW w:w="1363"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19</w:t>
            </w:r>
          </w:p>
        </w:tc>
        <w:tc>
          <w:tcPr>
            <w:tcW w:w="1182"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274</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172</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102</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37%</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86</w:t>
            </w:r>
          </w:p>
        </w:tc>
      </w:tr>
      <w:tr w:rsidR="00710A83" w:rsidRPr="00710A83" w:rsidTr="00F960F4">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Dually Enrolled: CBP</w:t>
            </w:r>
          </w:p>
        </w:tc>
        <w:tc>
          <w:tcPr>
            <w:tcW w:w="1363"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7</w:t>
            </w:r>
          </w:p>
        </w:tc>
        <w:tc>
          <w:tcPr>
            <w:tcW w:w="1182"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173</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172</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0</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0%</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0</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79</w:t>
            </w:r>
          </w:p>
        </w:tc>
      </w:tr>
      <w:tr w:rsidR="00710A83" w:rsidRPr="00710A83" w:rsidTr="00F960F4">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Dually Enrolled: DRRC</w:t>
            </w:r>
          </w:p>
        </w:tc>
        <w:tc>
          <w:tcPr>
            <w:tcW w:w="1363"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32</w:t>
            </w:r>
          </w:p>
        </w:tc>
        <w:tc>
          <w:tcPr>
            <w:tcW w:w="1182"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420</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357</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63</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15%</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87</w:t>
            </w:r>
          </w:p>
        </w:tc>
      </w:tr>
      <w:tr w:rsidR="00710A83" w:rsidRPr="00710A83" w:rsidTr="00F960F4">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F960F4" w:rsidP="000577B8">
            <w:pPr>
              <w:pStyle w:val="TableText"/>
              <w:jc w:val="center"/>
              <w:rPr>
                <w:rFonts w:eastAsia="Times New Roman"/>
              </w:rPr>
            </w:pPr>
            <w:r>
              <w:rPr>
                <w:rFonts w:eastAsia="Times New Roman"/>
              </w:rPr>
              <w:t>Legacy Voluntary</w:t>
            </w:r>
            <w:r w:rsidR="00710A83" w:rsidRPr="00710A83">
              <w:rPr>
                <w:rFonts w:eastAsia="Times New Roman"/>
              </w:rPr>
              <w:t xml:space="preserve"> CPP</w:t>
            </w:r>
          </w:p>
        </w:tc>
        <w:tc>
          <w:tcPr>
            <w:tcW w:w="1363"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325</w:t>
            </w:r>
          </w:p>
        </w:tc>
        <w:tc>
          <w:tcPr>
            <w:tcW w:w="1182"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261</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200</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61</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23%</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20</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85</w:t>
            </w:r>
          </w:p>
        </w:tc>
      </w:tr>
      <w:tr w:rsidR="00710A83" w:rsidRPr="00710A83" w:rsidTr="00F960F4">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Not Dually Enrolled</w:t>
            </w:r>
            <w:r w:rsidR="00F960F4">
              <w:rPr>
                <w:rFonts w:eastAsia="Times New Roman"/>
              </w:rPr>
              <w:t xml:space="preserve"> or Legacy</w:t>
            </w:r>
          </w:p>
        </w:tc>
        <w:tc>
          <w:tcPr>
            <w:tcW w:w="1363"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2623</w:t>
            </w:r>
          </w:p>
        </w:tc>
        <w:tc>
          <w:tcPr>
            <w:tcW w:w="1182"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195</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190</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4</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11</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85</w:t>
            </w:r>
          </w:p>
        </w:tc>
      </w:tr>
      <w:tr w:rsidR="00710A83" w:rsidRPr="00710A83" w:rsidTr="00F960F4">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Population Totals</w:t>
            </w:r>
          </w:p>
        </w:tc>
        <w:tc>
          <w:tcPr>
            <w:tcW w:w="1363"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3,006</w:t>
            </w:r>
          </w:p>
        </w:tc>
        <w:tc>
          <w:tcPr>
            <w:tcW w:w="1182"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205</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193</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12</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6%</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35</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85</w:t>
            </w:r>
          </w:p>
        </w:tc>
      </w:tr>
    </w:tbl>
    <w:p w:rsidR="008143A0" w:rsidRDefault="008143A0" w:rsidP="005C465D">
      <w:pPr>
        <w:pStyle w:val="BodyParaAfterTableFigure"/>
      </w:pPr>
      <w:r>
        <w:t>Table 5-5 also shows the average and aggregate load impacts for customers that had been previously enrolled on SCE’s</w:t>
      </w:r>
      <w:r w:rsidR="00584CF1">
        <w:t xml:space="preserve"> voluntary CPP rate.  Figure 5-3</w:t>
      </w:r>
      <w:r>
        <w:t xml:space="preserve"> shows the average hourly impacts for this group of prior volunteers.  These customers account</w:t>
      </w:r>
      <w:r w:rsidR="002E2EA4">
        <w:t>ed</w:t>
      </w:r>
      <w:r>
        <w:t xml:space="preserve"> for only 11% of participants but more than half of the aggregate load impact for the program.  </w:t>
      </w:r>
      <w:r w:rsidR="002E2EA4">
        <w:t xml:space="preserve">Average usage for these </w:t>
      </w:r>
      <w:r>
        <w:t xml:space="preserve">customers is not significantly larger than the average customer on CPP, but their percentage </w:t>
      </w:r>
      <w:r w:rsidR="002E2EA4">
        <w:t xml:space="preserve">load </w:t>
      </w:r>
      <w:r>
        <w:t xml:space="preserve">reduction is an order of magnitude larger than that of the average CPP customer.   </w:t>
      </w:r>
    </w:p>
    <w:p w:rsidR="00710A83" w:rsidRDefault="00710A83" w:rsidP="005C465D">
      <w:pPr>
        <w:pStyle w:val="BodyParagraph"/>
      </w:pPr>
    </w:p>
    <w:p w:rsidR="00710A83" w:rsidRDefault="00710A83" w:rsidP="005C465D">
      <w:pPr>
        <w:pStyle w:val="BodyParagraph"/>
        <w:sectPr w:rsidR="00710A83" w:rsidSect="004433C4">
          <w:headerReference w:type="default" r:id="rId24"/>
          <w:pgSz w:w="12240" w:h="15840"/>
          <w:pgMar w:top="1440" w:right="1440" w:bottom="1440" w:left="1440" w:header="720" w:footer="720" w:gutter="0"/>
          <w:cols w:space="720"/>
          <w:docGrid w:linePitch="360"/>
        </w:sectPr>
      </w:pPr>
    </w:p>
    <w:p w:rsidR="008143A0" w:rsidRDefault="00584CF1" w:rsidP="005C465D">
      <w:pPr>
        <w:pStyle w:val="TableFigureCaption"/>
      </w:pPr>
      <w:r>
        <w:lastRenderedPageBreak/>
        <w:t>Figure 5-3</w:t>
      </w:r>
      <w:r w:rsidR="008143A0" w:rsidRPr="00753C27">
        <w:t>:</w:t>
      </w:r>
      <w:r w:rsidR="007E0558">
        <w:t xml:space="preserve"> </w:t>
      </w:r>
      <w:r w:rsidR="008143A0">
        <w:t>2011</w:t>
      </w:r>
      <w:r w:rsidR="008143A0" w:rsidRPr="00753C27">
        <w:t xml:space="preserve"> </w:t>
      </w:r>
      <w:r w:rsidR="008143A0">
        <w:t xml:space="preserve">Hourly Ex Post Load Impacts for </w:t>
      </w:r>
      <w:r w:rsidR="008143A0" w:rsidRPr="00753C27">
        <w:t>Average Customer</w:t>
      </w:r>
      <w:r w:rsidR="008143A0">
        <w:t xml:space="preserve"> Previously Enrolled in Voluntary CPP on the</w:t>
      </w:r>
      <w:r w:rsidR="008143A0" w:rsidRPr="00753C27">
        <w:t xml:space="preserve"> Average Event</w:t>
      </w:r>
      <w:r w:rsidR="00710A83">
        <w:t xml:space="preserve"> Day</w:t>
      </w:r>
    </w:p>
    <w:p w:rsidR="00EA6FB2" w:rsidRDefault="00710A83">
      <w:pPr>
        <w:pStyle w:val="BodyParagraph"/>
      </w:pPr>
      <w:r>
        <w:rPr>
          <w:noProof/>
        </w:rPr>
        <w:drawing>
          <wp:inline distT="0" distB="0" distL="0" distR="0">
            <wp:extent cx="8229600" cy="4308311"/>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229600" cy="4308311"/>
                    </a:xfrm>
                    <a:prstGeom prst="rect">
                      <a:avLst/>
                    </a:prstGeom>
                    <a:noFill/>
                    <a:ln w="9525">
                      <a:noFill/>
                      <a:miter lim="800000"/>
                      <a:headEnd/>
                      <a:tailEnd/>
                    </a:ln>
                  </pic:spPr>
                </pic:pic>
              </a:graphicData>
            </a:graphic>
          </wp:inline>
        </w:drawing>
      </w:r>
    </w:p>
    <w:p w:rsidR="00710A83" w:rsidRDefault="00710A83" w:rsidP="005C465D">
      <w:pPr>
        <w:pStyle w:val="BodyParagraph"/>
      </w:pPr>
    </w:p>
    <w:p w:rsidR="00710A83" w:rsidRDefault="00710A83" w:rsidP="005C465D">
      <w:pPr>
        <w:pStyle w:val="BodyParagraph"/>
      </w:pPr>
    </w:p>
    <w:p w:rsidR="00710A83" w:rsidRDefault="00710A83" w:rsidP="005C465D">
      <w:pPr>
        <w:pStyle w:val="BodyParagraph"/>
      </w:pPr>
    </w:p>
    <w:p w:rsidR="00710A83" w:rsidRDefault="00710A83" w:rsidP="005C465D">
      <w:pPr>
        <w:pStyle w:val="BodyParagraph"/>
        <w:sectPr w:rsidR="00710A83" w:rsidSect="004433C4">
          <w:headerReference w:type="default" r:id="rId26"/>
          <w:pgSz w:w="15840" w:h="12240" w:orient="landscape"/>
          <w:pgMar w:top="1440" w:right="1440" w:bottom="1440" w:left="1440" w:header="720" w:footer="720" w:gutter="0"/>
          <w:cols w:space="720"/>
          <w:docGrid w:linePitch="360"/>
        </w:sectPr>
      </w:pPr>
    </w:p>
    <w:p w:rsidR="008143A0" w:rsidRDefault="008143A0" w:rsidP="005C465D">
      <w:pPr>
        <w:pStyle w:val="Heading2"/>
      </w:pPr>
      <w:bookmarkStart w:id="83" w:name="_Toc318473861"/>
      <w:bookmarkStart w:id="84" w:name="_Toc326072119"/>
      <w:r>
        <w:lastRenderedPageBreak/>
        <w:t xml:space="preserve">TI and </w:t>
      </w:r>
      <w:proofErr w:type="spellStart"/>
      <w:r>
        <w:t>AutoDR</w:t>
      </w:r>
      <w:proofErr w:type="spellEnd"/>
      <w:r>
        <w:t xml:space="preserve"> Load Impacts and Realization Rates</w:t>
      </w:r>
      <w:bookmarkEnd w:id="83"/>
      <w:r>
        <w:t xml:space="preserve"> </w:t>
      </w:r>
      <w:r w:rsidR="00D27D66">
        <w:t>–</w:t>
      </w:r>
      <w:r>
        <w:t xml:space="preserve"> SCE</w:t>
      </w:r>
      <w:bookmarkEnd w:id="84"/>
    </w:p>
    <w:p w:rsidR="002A5ABE" w:rsidRDefault="008143A0" w:rsidP="005C465D">
      <w:pPr>
        <w:pStyle w:val="BodyParagraph"/>
      </w:pPr>
      <w:r w:rsidRPr="00C51A9D">
        <w:t>Table 5-</w:t>
      </w:r>
      <w:r>
        <w:t>6</w:t>
      </w:r>
      <w:r w:rsidRPr="00C51A9D">
        <w:t xml:space="preserve"> shows the load impact </w:t>
      </w:r>
      <w:r>
        <w:t xml:space="preserve">for the average CPP customer that </w:t>
      </w:r>
      <w:r w:rsidR="002E2EA4">
        <w:t>took</w:t>
      </w:r>
      <w:r>
        <w:t xml:space="preserve"> advantage of the complementary </w:t>
      </w:r>
      <w:r w:rsidRPr="00C51A9D">
        <w:t xml:space="preserve">TI and </w:t>
      </w:r>
      <w:proofErr w:type="spellStart"/>
      <w:r w:rsidRPr="00C51A9D">
        <w:t>AutoDR</w:t>
      </w:r>
      <w:proofErr w:type="spellEnd"/>
      <w:r w:rsidRPr="00C51A9D">
        <w:t xml:space="preserve"> pr</w:t>
      </w:r>
      <w:r>
        <w:t>ograms</w:t>
      </w:r>
      <w:r w:rsidRPr="00C51A9D">
        <w:t xml:space="preserve">.  Customers on TI and </w:t>
      </w:r>
      <w:proofErr w:type="spellStart"/>
      <w:r w:rsidRPr="00C51A9D">
        <w:t>AutoDR</w:t>
      </w:r>
      <w:proofErr w:type="spellEnd"/>
      <w:r w:rsidRPr="00C51A9D">
        <w:t xml:space="preserve"> show</w:t>
      </w:r>
      <w:r w:rsidR="002E2EA4">
        <w:t>ed</w:t>
      </w:r>
      <w:r w:rsidRPr="00C51A9D">
        <w:t xml:space="preserve"> much larger than</w:t>
      </w:r>
      <w:r w:rsidR="00710A83">
        <w:t xml:space="preserve"> average percent impacts of 26% and 21</w:t>
      </w:r>
      <w:r w:rsidRPr="00C51A9D">
        <w:t xml:space="preserve">%, respectively.  </w:t>
      </w:r>
      <w:r>
        <w:t>T</w:t>
      </w:r>
      <w:r w:rsidRPr="00C51A9D">
        <w:t>he aggregate load impact fr</w:t>
      </w:r>
      <w:r>
        <w:t>om these customers account</w:t>
      </w:r>
      <w:r w:rsidR="002E2EA4">
        <w:t>ed</w:t>
      </w:r>
      <w:r>
        <w:t xml:space="preserve"> for </w:t>
      </w:r>
      <w:r w:rsidRPr="00C51A9D">
        <w:t>1</w:t>
      </w:r>
      <w:r w:rsidR="00781192">
        <w:t>4</w:t>
      </w:r>
      <w:r w:rsidRPr="00C51A9D">
        <w:t>% of the total aggregate load impact on the average event day even though the 38 customer</w:t>
      </w:r>
      <w:r>
        <w:t>s</w:t>
      </w:r>
      <w:r w:rsidRPr="00C51A9D">
        <w:t xml:space="preserve"> enrolled in TI and </w:t>
      </w:r>
      <w:proofErr w:type="spellStart"/>
      <w:r w:rsidRPr="00C51A9D">
        <w:t>AutoDR</w:t>
      </w:r>
      <w:proofErr w:type="spellEnd"/>
      <w:r w:rsidRPr="00C51A9D">
        <w:t xml:space="preserve"> ma</w:t>
      </w:r>
      <w:r w:rsidR="002E2EA4">
        <w:t>d</w:t>
      </w:r>
      <w:r w:rsidRPr="00C51A9D">
        <w:t xml:space="preserve">e up just over 1% of the CPP population.  However, given the relatively few customers enrolled on TI and </w:t>
      </w:r>
      <w:proofErr w:type="spellStart"/>
      <w:r w:rsidRPr="00C51A9D">
        <w:t>AutoDR</w:t>
      </w:r>
      <w:proofErr w:type="spellEnd"/>
      <w:r w:rsidRPr="00C51A9D">
        <w:t>, the point impact estimates are surrounded by a significant amount of uncertainty.</w:t>
      </w:r>
    </w:p>
    <w:p w:rsidR="008143A0" w:rsidRDefault="008143A0" w:rsidP="005C465D">
      <w:pPr>
        <w:pStyle w:val="TableFigureCaption"/>
      </w:pPr>
      <w:r>
        <w:t>Table 5-6</w:t>
      </w:r>
      <w:r w:rsidRPr="00E96490">
        <w:t>:</w:t>
      </w:r>
      <w:r w:rsidR="007E0558">
        <w:t xml:space="preserve"> </w:t>
      </w:r>
      <w:r>
        <w:t xml:space="preserve">Estimated Ex Post Load Impacts of TI &amp; </w:t>
      </w:r>
      <w:proofErr w:type="spellStart"/>
      <w:r>
        <w:t>AutoDR</w:t>
      </w:r>
      <w:proofErr w:type="spellEnd"/>
      <w:r>
        <w:t xml:space="preserve"> Participants</w:t>
      </w:r>
      <w:r>
        <w:br/>
        <w:t>Average 2011 SCE CPP Event</w:t>
      </w:r>
    </w:p>
    <w:tbl>
      <w:tblPr>
        <w:tblW w:w="9860" w:type="dxa"/>
        <w:jc w:val="center"/>
        <w:tblLook w:val="04A0"/>
      </w:tblPr>
      <w:tblGrid>
        <w:gridCol w:w="2120"/>
        <w:gridCol w:w="1361"/>
        <w:gridCol w:w="1184"/>
        <w:gridCol w:w="1006"/>
        <w:gridCol w:w="1020"/>
        <w:gridCol w:w="880"/>
        <w:gridCol w:w="1206"/>
        <w:gridCol w:w="1428"/>
      </w:tblGrid>
      <w:tr w:rsidR="00710A83" w:rsidRPr="00710A83" w:rsidTr="000577B8">
        <w:trPr>
          <w:trHeight w:val="960"/>
          <w:jc w:val="center"/>
        </w:trPr>
        <w:tc>
          <w:tcPr>
            <w:tcW w:w="2120"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Variable</w:t>
            </w:r>
          </w:p>
        </w:tc>
        <w:tc>
          <w:tcPr>
            <w:tcW w:w="124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Number of Participants</w:t>
            </w:r>
          </w:p>
        </w:tc>
        <w:tc>
          <w:tcPr>
            <w:tcW w:w="106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 Load Impact</w:t>
            </w:r>
          </w:p>
        </w:tc>
        <w:tc>
          <w:tcPr>
            <w:tcW w:w="112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Aggregate Load Impact (MW)</w:t>
            </w:r>
          </w:p>
        </w:tc>
        <w:tc>
          <w:tcPr>
            <w:tcW w:w="1420" w:type="dxa"/>
            <w:tcBorders>
              <w:top w:val="single" w:sz="4" w:space="0" w:color="auto"/>
              <w:left w:val="nil"/>
              <w:bottom w:val="single" w:sz="4" w:space="0" w:color="auto"/>
              <w:right w:val="single" w:sz="4" w:space="0" w:color="auto"/>
            </w:tcBorders>
            <w:shd w:val="clear" w:color="000000" w:fill="1F497D" w:themeFill="text2"/>
            <w:vAlign w:val="center"/>
            <w:hideMark/>
          </w:tcPr>
          <w:p w:rsidR="00710A83" w:rsidRPr="00710A83" w:rsidRDefault="00710A83" w:rsidP="000577B8">
            <w:pPr>
              <w:pStyle w:val="TableHeader"/>
              <w:rPr>
                <w:rFonts w:eastAsia="Times New Roman"/>
              </w:rPr>
            </w:pPr>
            <w:r w:rsidRPr="00710A83">
              <w:rPr>
                <w:rFonts w:eastAsia="Times New Roman"/>
              </w:rPr>
              <w:t>Average Temperature During Event (°F)</w:t>
            </w:r>
          </w:p>
        </w:tc>
      </w:tr>
      <w:tr w:rsidR="00710A83" w:rsidRPr="00710A83" w:rsidTr="000577B8">
        <w:trPr>
          <w:trHeight w:val="300"/>
          <w:jc w:val="center"/>
        </w:trPr>
        <w:tc>
          <w:tcPr>
            <w:tcW w:w="2120" w:type="dxa"/>
            <w:tcBorders>
              <w:top w:val="nil"/>
              <w:left w:val="single" w:sz="4" w:space="0" w:color="auto"/>
              <w:bottom w:val="single" w:sz="4" w:space="0" w:color="auto"/>
              <w:right w:val="single" w:sz="4" w:space="0" w:color="auto"/>
            </w:tcBorders>
            <w:shd w:val="clear" w:color="000000" w:fill="FFFFFF"/>
            <w:vAlign w:val="center"/>
            <w:hideMark/>
          </w:tcPr>
          <w:p w:rsidR="00710A83" w:rsidRPr="00710A83" w:rsidRDefault="00710A83" w:rsidP="000577B8">
            <w:pPr>
              <w:pStyle w:val="TableText"/>
              <w:jc w:val="center"/>
              <w:rPr>
                <w:rFonts w:eastAsia="Times New Roman"/>
              </w:rPr>
            </w:pPr>
            <w:r w:rsidRPr="00710A83">
              <w:rPr>
                <w:rFonts w:eastAsia="Times New Roman"/>
              </w:rPr>
              <w:t>Technical Incentives (TI)</w:t>
            </w:r>
          </w:p>
        </w:tc>
        <w:tc>
          <w:tcPr>
            <w:tcW w:w="124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w:t>
            </w:r>
          </w:p>
        </w:tc>
        <w:tc>
          <w:tcPr>
            <w:tcW w:w="106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755</w:t>
            </w:r>
          </w:p>
        </w:tc>
        <w:tc>
          <w:tcPr>
            <w:tcW w:w="100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556</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199</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26%</w:t>
            </w:r>
          </w:p>
        </w:tc>
        <w:tc>
          <w:tcPr>
            <w:tcW w:w="11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w:t>
            </w:r>
          </w:p>
        </w:tc>
        <w:tc>
          <w:tcPr>
            <w:tcW w:w="14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78</w:t>
            </w:r>
          </w:p>
        </w:tc>
      </w:tr>
      <w:tr w:rsidR="00710A83" w:rsidRPr="00710A83" w:rsidTr="000577B8">
        <w:trPr>
          <w:trHeight w:val="300"/>
          <w:jc w:val="center"/>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rsidR="00710A83" w:rsidRPr="00710A83" w:rsidRDefault="00710A83" w:rsidP="000577B8">
            <w:pPr>
              <w:pStyle w:val="TableText"/>
              <w:jc w:val="center"/>
              <w:rPr>
                <w:rFonts w:eastAsia="Times New Roman"/>
              </w:rPr>
            </w:pPr>
            <w:proofErr w:type="spellStart"/>
            <w:r w:rsidRPr="00710A83">
              <w:rPr>
                <w:rFonts w:eastAsia="Times New Roman"/>
              </w:rPr>
              <w:t>AutoDR</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35</w:t>
            </w:r>
          </w:p>
        </w:tc>
        <w:tc>
          <w:tcPr>
            <w:tcW w:w="106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500</w:t>
            </w:r>
          </w:p>
        </w:tc>
        <w:tc>
          <w:tcPr>
            <w:tcW w:w="100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398</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103</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21%</w:t>
            </w:r>
          </w:p>
        </w:tc>
        <w:tc>
          <w:tcPr>
            <w:tcW w:w="11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4</w:t>
            </w:r>
          </w:p>
        </w:tc>
        <w:tc>
          <w:tcPr>
            <w:tcW w:w="14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0577B8">
            <w:pPr>
              <w:pStyle w:val="TableText"/>
              <w:jc w:val="center"/>
              <w:rPr>
                <w:rFonts w:eastAsia="Times New Roman"/>
              </w:rPr>
            </w:pPr>
            <w:r w:rsidRPr="00710A83">
              <w:rPr>
                <w:rFonts w:eastAsia="Times New Roman"/>
              </w:rPr>
              <w:t>83</w:t>
            </w:r>
          </w:p>
        </w:tc>
      </w:tr>
    </w:tbl>
    <w:p w:rsidR="008143A0" w:rsidRDefault="008143A0" w:rsidP="005C465D">
      <w:pPr>
        <w:pStyle w:val="BodyParaAfterTableFigure"/>
      </w:pPr>
      <w:r>
        <w:t xml:space="preserve">Table 5-7 shows the distribution of realization rates for both TI and </w:t>
      </w:r>
      <w:proofErr w:type="spellStart"/>
      <w:r>
        <w:t>AutoDR</w:t>
      </w:r>
      <w:proofErr w:type="spellEnd"/>
      <w:r>
        <w:t xml:space="preserve"> for SCE customers who took advantage of these program options.  The realization rate describes the percent of approved load shed that is met by the estimated impacts on event days.</w:t>
      </w:r>
      <w:r w:rsidR="001A62B1">
        <w:t xml:space="preserve"> </w:t>
      </w:r>
      <w:r>
        <w:t xml:space="preserve">As discussed in Section 4.6, these realization estimates must be viewed with extreme caution because of the small number of customers underlying the estimates.  This is particularly true for the TI estimates, which are based on only three customers.  The estimates for </w:t>
      </w:r>
      <w:proofErr w:type="spellStart"/>
      <w:r>
        <w:t>AutoDR</w:t>
      </w:r>
      <w:proofErr w:type="spellEnd"/>
      <w:r>
        <w:t xml:space="preserve">, which are based on 35 customers show less variability.  </w:t>
      </w:r>
    </w:p>
    <w:p w:rsidR="00710A83" w:rsidRDefault="008143A0" w:rsidP="005C465D">
      <w:pPr>
        <w:pStyle w:val="BodyParagraph"/>
      </w:pPr>
      <w:r>
        <w:t xml:space="preserve">The realization rate estimates were developed by taking the average impact for customers who were enrolled in TI or </w:t>
      </w:r>
      <w:proofErr w:type="spellStart"/>
      <w:r>
        <w:t>AutoDR</w:t>
      </w:r>
      <w:proofErr w:type="spellEnd"/>
      <w:r>
        <w:t xml:space="preserve"> and dividing it by the average of the approved TI or </w:t>
      </w:r>
      <w:proofErr w:type="spellStart"/>
      <w:r>
        <w:t>AutoDR</w:t>
      </w:r>
      <w:proofErr w:type="spellEnd"/>
      <w:r>
        <w:t xml:space="preserve"> load shed.</w:t>
      </w:r>
      <w:r w:rsidR="001A62B1">
        <w:t xml:space="preserve">  It assumes that load reductions are due to automated reduction technology and not due to demand reductions from other end-uses.  </w:t>
      </w:r>
      <w:r>
        <w:t xml:space="preserve">For TI the realization rate depends on whether the equipment is typically in use during event-like conditions and whether the customer decides to drop load.  The realization rates for </w:t>
      </w:r>
      <w:proofErr w:type="spellStart"/>
      <w:r>
        <w:t>AutoDR</w:t>
      </w:r>
      <w:proofErr w:type="spellEnd"/>
      <w:r>
        <w:t xml:space="preserve"> do not vary nearly as drastically because there is much more data on </w:t>
      </w:r>
      <w:proofErr w:type="spellStart"/>
      <w:r>
        <w:t>AutoDR</w:t>
      </w:r>
      <w:proofErr w:type="spellEnd"/>
      <w:r>
        <w:t xml:space="preserve"> as compared to TI.  From the 10</w:t>
      </w:r>
      <w:r w:rsidRPr="00BD25E3">
        <w:rPr>
          <w:vertAlign w:val="superscript"/>
        </w:rPr>
        <w:t>th</w:t>
      </w:r>
      <w:r>
        <w:t xml:space="preserve"> to 90</w:t>
      </w:r>
      <w:r w:rsidRPr="00BD25E3">
        <w:rPr>
          <w:vertAlign w:val="superscript"/>
        </w:rPr>
        <w:t>th</w:t>
      </w:r>
      <w:r>
        <w:t xml:space="preserve"> percentiles of impact uncertainty, the realization rates for </w:t>
      </w:r>
      <w:proofErr w:type="spellStart"/>
      <w:r>
        <w:t>AutoDR</w:t>
      </w:r>
      <w:proofErr w:type="spellEnd"/>
      <w:r>
        <w:t xml:space="preserve"> vary by about 11 percentage points.  The realization rate for </w:t>
      </w:r>
      <w:proofErr w:type="spellStart"/>
      <w:r>
        <w:t>AutoDR</w:t>
      </w:r>
      <w:proofErr w:type="spellEnd"/>
      <w:r>
        <w:t xml:space="preserve"> cannot be expected to be 100% because the loads that are under automated control are not always operating during events.  </w:t>
      </w:r>
    </w:p>
    <w:p w:rsidR="002E2EA4" w:rsidRDefault="002E2EA4">
      <w:pPr>
        <w:rPr>
          <w:rFonts w:ascii="Arial" w:hAnsi="Arial"/>
          <w:b/>
        </w:rPr>
      </w:pPr>
      <w:r>
        <w:br w:type="page"/>
      </w:r>
    </w:p>
    <w:p w:rsidR="008143A0" w:rsidRDefault="008143A0" w:rsidP="005C465D">
      <w:pPr>
        <w:pStyle w:val="TableFigureCaption"/>
      </w:pPr>
      <w:r>
        <w:lastRenderedPageBreak/>
        <w:t>Table 5-7</w:t>
      </w:r>
      <w:r w:rsidRPr="00E96490">
        <w:t>:</w:t>
      </w:r>
      <w:r w:rsidR="007E0558">
        <w:t xml:space="preserve"> </w:t>
      </w:r>
      <w:r>
        <w:t>Realization Rates</w:t>
      </w:r>
    </w:p>
    <w:tbl>
      <w:tblPr>
        <w:tblW w:w="5000" w:type="pct"/>
        <w:jc w:val="center"/>
        <w:tblLook w:val="04A0"/>
      </w:tblPr>
      <w:tblGrid>
        <w:gridCol w:w="2177"/>
        <w:gridCol w:w="907"/>
        <w:gridCol w:w="1107"/>
        <w:gridCol w:w="1077"/>
        <w:gridCol w:w="1077"/>
        <w:gridCol w:w="1077"/>
        <w:gridCol w:w="1077"/>
        <w:gridCol w:w="1077"/>
      </w:tblGrid>
      <w:tr w:rsidR="00710A83" w:rsidRPr="00710A83" w:rsidTr="000577B8">
        <w:trPr>
          <w:trHeight w:val="300"/>
          <w:jc w:val="center"/>
        </w:trPr>
        <w:tc>
          <w:tcPr>
            <w:tcW w:w="1085" w:type="pct"/>
            <w:vMerge w:val="restart"/>
            <w:tcBorders>
              <w:top w:val="single" w:sz="4" w:space="0" w:color="auto"/>
              <w:left w:val="single" w:sz="4" w:space="0" w:color="auto"/>
              <w:bottom w:val="single" w:sz="4" w:space="0" w:color="000000"/>
              <w:right w:val="single" w:sz="4" w:space="0" w:color="FFFFFF"/>
            </w:tcBorders>
            <w:shd w:val="clear" w:color="auto" w:fill="1F497D" w:themeFill="text2"/>
            <w:noWrap/>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Variable</w:t>
            </w:r>
          </w:p>
        </w:tc>
        <w:tc>
          <w:tcPr>
            <w:tcW w:w="494" w:type="pct"/>
            <w:vMerge w:val="restart"/>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Accts</w:t>
            </w:r>
          </w:p>
        </w:tc>
        <w:tc>
          <w:tcPr>
            <w:tcW w:w="584" w:type="pct"/>
            <w:vMerge w:val="restart"/>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Aggregate Approved kW</w:t>
            </w:r>
          </w:p>
        </w:tc>
        <w:tc>
          <w:tcPr>
            <w:tcW w:w="2837" w:type="pct"/>
            <w:gridSpan w:val="5"/>
            <w:tcBorders>
              <w:top w:val="single" w:sz="4" w:space="0" w:color="auto"/>
              <w:left w:val="nil"/>
              <w:bottom w:val="single" w:sz="4" w:space="0" w:color="FFFFFF"/>
              <w:right w:val="single" w:sz="4" w:space="0" w:color="000000"/>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Realization Rate</w:t>
            </w:r>
          </w:p>
        </w:tc>
      </w:tr>
      <w:tr w:rsidR="00710A83" w:rsidRPr="00710A83" w:rsidTr="000577B8">
        <w:trPr>
          <w:trHeight w:val="765"/>
          <w:jc w:val="center"/>
        </w:trPr>
        <w:tc>
          <w:tcPr>
            <w:tcW w:w="1085" w:type="pct"/>
            <w:vMerge/>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p>
        </w:tc>
        <w:tc>
          <w:tcPr>
            <w:tcW w:w="494" w:type="pct"/>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p>
        </w:tc>
        <w:tc>
          <w:tcPr>
            <w:tcW w:w="584" w:type="pct"/>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p>
        </w:tc>
        <w:tc>
          <w:tcPr>
            <w:tcW w:w="567" w:type="pct"/>
            <w:tcBorders>
              <w:top w:val="nil"/>
              <w:left w:val="nil"/>
              <w:bottom w:val="single" w:sz="4" w:space="0" w:color="auto"/>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10th Percentile</w:t>
            </w:r>
          </w:p>
        </w:tc>
        <w:tc>
          <w:tcPr>
            <w:tcW w:w="567" w:type="pct"/>
            <w:tcBorders>
              <w:top w:val="nil"/>
              <w:left w:val="nil"/>
              <w:bottom w:val="single" w:sz="4" w:space="0" w:color="auto"/>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30th Percentile</w:t>
            </w:r>
          </w:p>
        </w:tc>
        <w:tc>
          <w:tcPr>
            <w:tcW w:w="567" w:type="pct"/>
            <w:tcBorders>
              <w:top w:val="nil"/>
              <w:left w:val="nil"/>
              <w:bottom w:val="single" w:sz="4" w:space="0" w:color="auto"/>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50th Percentile</w:t>
            </w:r>
          </w:p>
        </w:tc>
        <w:tc>
          <w:tcPr>
            <w:tcW w:w="567" w:type="pct"/>
            <w:tcBorders>
              <w:top w:val="nil"/>
              <w:left w:val="nil"/>
              <w:bottom w:val="single" w:sz="4" w:space="0" w:color="auto"/>
              <w:right w:val="single" w:sz="4" w:space="0" w:color="FFFFFF"/>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70th Percentile</w:t>
            </w:r>
          </w:p>
        </w:tc>
        <w:tc>
          <w:tcPr>
            <w:tcW w:w="567" w:type="pct"/>
            <w:tcBorders>
              <w:top w:val="nil"/>
              <w:left w:val="nil"/>
              <w:bottom w:val="single" w:sz="4" w:space="0" w:color="auto"/>
              <w:right w:val="single" w:sz="4" w:space="0" w:color="auto"/>
            </w:tcBorders>
            <w:shd w:val="clear" w:color="auto" w:fill="1F497D" w:themeFill="text2"/>
            <w:vAlign w:val="center"/>
            <w:hideMark/>
          </w:tcPr>
          <w:p w:rsidR="00710A83" w:rsidRPr="000577B8" w:rsidRDefault="00710A83" w:rsidP="000577B8">
            <w:pPr>
              <w:pStyle w:val="TableHeader"/>
              <w:rPr>
                <w:rFonts w:eastAsia="Times New Roman"/>
                <w:sz w:val="18"/>
                <w:szCs w:val="18"/>
              </w:rPr>
            </w:pPr>
            <w:r w:rsidRPr="000577B8">
              <w:rPr>
                <w:rFonts w:eastAsia="Times New Roman"/>
                <w:sz w:val="18"/>
                <w:szCs w:val="18"/>
              </w:rPr>
              <w:t>90th Percentile</w:t>
            </w:r>
          </w:p>
        </w:tc>
      </w:tr>
      <w:tr w:rsidR="00710A83" w:rsidRPr="004433C4" w:rsidTr="004433C4">
        <w:trPr>
          <w:trHeight w:val="300"/>
          <w:jc w:val="center"/>
        </w:trPr>
        <w:tc>
          <w:tcPr>
            <w:tcW w:w="1085" w:type="pct"/>
            <w:tcBorders>
              <w:top w:val="nil"/>
              <w:left w:val="single" w:sz="4" w:space="0" w:color="auto"/>
              <w:bottom w:val="single" w:sz="4" w:space="0" w:color="auto"/>
              <w:right w:val="single" w:sz="4" w:space="0" w:color="auto"/>
            </w:tcBorders>
            <w:shd w:val="clear" w:color="000000" w:fill="FFFFFF"/>
            <w:noWrap/>
            <w:vAlign w:val="center"/>
            <w:hideMark/>
          </w:tcPr>
          <w:p w:rsidR="00710A83" w:rsidRPr="000577B8" w:rsidRDefault="00710A83" w:rsidP="000577B8">
            <w:pPr>
              <w:pStyle w:val="TableText"/>
            </w:pPr>
            <w:r w:rsidRPr="000577B8">
              <w:t>Technical Incentives (TI)</w:t>
            </w:r>
          </w:p>
        </w:tc>
        <w:tc>
          <w:tcPr>
            <w:tcW w:w="494"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3</w:t>
            </w:r>
          </w:p>
        </w:tc>
        <w:tc>
          <w:tcPr>
            <w:tcW w:w="584" w:type="pct"/>
            <w:tcBorders>
              <w:top w:val="nil"/>
              <w:left w:val="nil"/>
              <w:bottom w:val="single" w:sz="4" w:space="0" w:color="auto"/>
              <w:right w:val="single" w:sz="4" w:space="0" w:color="auto"/>
            </w:tcBorders>
            <w:shd w:val="clear" w:color="000000" w:fill="FFFFFF"/>
            <w:noWrap/>
            <w:vAlign w:val="center"/>
            <w:hideMark/>
          </w:tcPr>
          <w:p w:rsidR="00710A83" w:rsidRPr="000577B8" w:rsidRDefault="00710A83" w:rsidP="00BB1033">
            <w:pPr>
              <w:pStyle w:val="TableText"/>
              <w:jc w:val="center"/>
            </w:pPr>
            <w:r w:rsidRPr="000577B8">
              <w:t>474</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84%</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106%</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121%</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137%</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158%</w:t>
            </w:r>
          </w:p>
        </w:tc>
      </w:tr>
      <w:tr w:rsidR="00710A83" w:rsidRPr="004433C4" w:rsidTr="004433C4">
        <w:trPr>
          <w:trHeight w:val="300"/>
          <w:jc w:val="center"/>
        </w:trPr>
        <w:tc>
          <w:tcPr>
            <w:tcW w:w="1085" w:type="pct"/>
            <w:tcBorders>
              <w:top w:val="nil"/>
              <w:left w:val="single" w:sz="4" w:space="0" w:color="auto"/>
              <w:bottom w:val="single" w:sz="4" w:space="0" w:color="auto"/>
              <w:right w:val="single" w:sz="4" w:space="0" w:color="auto"/>
            </w:tcBorders>
            <w:shd w:val="clear" w:color="000000" w:fill="FFFFFF"/>
            <w:noWrap/>
            <w:vAlign w:val="center"/>
            <w:hideMark/>
          </w:tcPr>
          <w:p w:rsidR="00710A83" w:rsidRPr="000577B8" w:rsidRDefault="00710A83" w:rsidP="000577B8">
            <w:pPr>
              <w:pStyle w:val="TableText"/>
            </w:pPr>
            <w:proofErr w:type="spellStart"/>
            <w:r w:rsidRPr="000577B8">
              <w:t>AutoDR</w:t>
            </w:r>
            <w:proofErr w:type="spellEnd"/>
          </w:p>
        </w:tc>
        <w:tc>
          <w:tcPr>
            <w:tcW w:w="494"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35</w:t>
            </w:r>
          </w:p>
        </w:tc>
        <w:tc>
          <w:tcPr>
            <w:tcW w:w="584" w:type="pct"/>
            <w:tcBorders>
              <w:top w:val="nil"/>
              <w:left w:val="nil"/>
              <w:bottom w:val="single" w:sz="4" w:space="0" w:color="auto"/>
              <w:right w:val="single" w:sz="4" w:space="0" w:color="auto"/>
            </w:tcBorders>
            <w:shd w:val="clear" w:color="000000" w:fill="FFFFFF"/>
            <w:noWrap/>
            <w:vAlign w:val="center"/>
            <w:hideMark/>
          </w:tcPr>
          <w:p w:rsidR="00710A83" w:rsidRPr="000577B8" w:rsidRDefault="00710A83" w:rsidP="00BB1033">
            <w:pPr>
              <w:pStyle w:val="TableText"/>
              <w:jc w:val="center"/>
            </w:pPr>
            <w:r w:rsidRPr="000577B8">
              <w:t>9090</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33%</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37%</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39%</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41%</w:t>
            </w:r>
          </w:p>
        </w:tc>
        <w:tc>
          <w:tcPr>
            <w:tcW w:w="567" w:type="pct"/>
            <w:tcBorders>
              <w:top w:val="nil"/>
              <w:left w:val="nil"/>
              <w:bottom w:val="single" w:sz="4" w:space="0" w:color="auto"/>
              <w:right w:val="single" w:sz="4" w:space="0" w:color="auto"/>
            </w:tcBorders>
            <w:shd w:val="clear" w:color="auto" w:fill="auto"/>
            <w:noWrap/>
            <w:vAlign w:val="center"/>
            <w:hideMark/>
          </w:tcPr>
          <w:p w:rsidR="00710A83" w:rsidRPr="000577B8" w:rsidRDefault="00710A83" w:rsidP="00BB1033">
            <w:pPr>
              <w:pStyle w:val="TableText"/>
              <w:jc w:val="center"/>
            </w:pPr>
            <w:r w:rsidRPr="000577B8">
              <w:t>44%</w:t>
            </w:r>
          </w:p>
        </w:tc>
      </w:tr>
    </w:tbl>
    <w:p w:rsidR="005C1B70" w:rsidRDefault="005C1B70" w:rsidP="007E0558">
      <w:pPr>
        <w:pStyle w:val="Heading2"/>
        <w:spacing w:before="360"/>
      </w:pPr>
      <w:bookmarkStart w:id="85" w:name="_Toc326072120"/>
      <w:r>
        <w:t>Comparison of 2010 and 2011 Ex Post Results</w:t>
      </w:r>
      <w:bookmarkEnd w:id="85"/>
    </w:p>
    <w:p w:rsidR="00744EF7" w:rsidRDefault="005C1B70" w:rsidP="005C465D">
      <w:pPr>
        <w:pStyle w:val="BodyParagraph"/>
      </w:pPr>
      <w:r>
        <w:t xml:space="preserve">SCE experienced the largest shift in program enrollment levels </w:t>
      </w:r>
      <w:r w:rsidR="00744EF7">
        <w:t xml:space="preserve">among </w:t>
      </w:r>
      <w:r>
        <w:t>the three utilities</w:t>
      </w:r>
      <w:r w:rsidR="003C237E">
        <w:t xml:space="preserve"> from 2010 to 2011</w:t>
      </w:r>
      <w:r>
        <w:t xml:space="preserve">.  </w:t>
      </w:r>
      <w:r w:rsidR="00744EF7">
        <w:t xml:space="preserve">More than </w:t>
      </w:r>
      <w:r>
        <w:t>1,</w:t>
      </w:r>
      <w:r w:rsidR="00FC2890">
        <w:t>8</w:t>
      </w:r>
      <w:r>
        <w:t xml:space="preserve">00 customers </w:t>
      </w:r>
      <w:r w:rsidR="00FC2890">
        <w:t xml:space="preserve">either </w:t>
      </w:r>
      <w:r w:rsidR="002E2EA4">
        <w:t xml:space="preserve">moved </w:t>
      </w:r>
      <w:r w:rsidR="00FC2890">
        <w:t xml:space="preserve">or </w:t>
      </w:r>
      <w:r>
        <w:t xml:space="preserve">left </w:t>
      </w:r>
      <w:r w:rsidR="009F014D">
        <w:t xml:space="preserve">the tariff </w:t>
      </w:r>
      <w:r>
        <w:t>due to attrition</w:t>
      </w:r>
      <w:r w:rsidR="003C237E">
        <w:t xml:space="preserve"> during this time</w:t>
      </w:r>
      <w:r w:rsidR="00FC2890">
        <w:t xml:space="preserve">. </w:t>
      </w:r>
      <w:r>
        <w:t xml:space="preserve"> </w:t>
      </w:r>
      <w:r w:rsidR="00FC2890">
        <w:t xml:space="preserve">SCE also added roughly 750 additional accounts, out of which approximately 400 were voluntary </w:t>
      </w:r>
      <w:r w:rsidR="003C237E">
        <w:t xml:space="preserve">enrollments from </w:t>
      </w:r>
      <w:r w:rsidR="00FC2890">
        <w:t xml:space="preserve">small and medium accounts.  As a result, SCE experienced </w:t>
      </w:r>
      <w:r>
        <w:t xml:space="preserve">a net drop of over 1,000 customers.  In conjunction with the drop in enrollment, the overall reference load for the program dropped by approximately 460 MW.  The average customer enrolled in CPP in 2011 had a lower reference load compared to the average customer enrolled in 2010 (205 kW vs. 264 kW), but participants reduced a larger share of their load in 2011.  The results suggest that SCE retained the bulk of the most price responsive customers enrolled in CPP in 2010.  As noted in the 2010 evaluation, roughly 400 customers that transitioned from voluntary CPP </w:t>
      </w:r>
      <w:r w:rsidR="003C237E">
        <w:t xml:space="preserve">in 2009 </w:t>
      </w:r>
      <w:r>
        <w:t xml:space="preserve">onto default CPP </w:t>
      </w:r>
      <w:r w:rsidR="003C237E">
        <w:t xml:space="preserve">in 2010 </w:t>
      </w:r>
      <w:r>
        <w:t xml:space="preserve">accounted for nearly 60% of the load impact on the average event day in 2010.  Most of these customers remained on CPP in 2011.  </w:t>
      </w:r>
    </w:p>
    <w:p w:rsidR="00052A56" w:rsidRDefault="005C1B70" w:rsidP="005C465D">
      <w:pPr>
        <w:pStyle w:val="BodyParagraph"/>
      </w:pPr>
      <w:r w:rsidRPr="00694F8C">
        <w:t>Percent im</w:t>
      </w:r>
      <w:r>
        <w:t>pacts by industry remained relatively</w:t>
      </w:r>
      <w:r w:rsidRPr="00694F8C">
        <w:t xml:space="preserve"> constant from 2010 to 2011 at SCE, </w:t>
      </w:r>
      <w:r>
        <w:t xml:space="preserve">except </w:t>
      </w:r>
      <w:r w:rsidR="003C237E">
        <w:t xml:space="preserve">for </w:t>
      </w:r>
      <w:r>
        <w:t xml:space="preserve">the Retail Stores </w:t>
      </w:r>
      <w:r w:rsidRPr="00694F8C">
        <w:t xml:space="preserve">and Manufacturing </w:t>
      </w:r>
      <w:r w:rsidR="009102AF">
        <w:t>segments</w:t>
      </w:r>
      <w:r w:rsidRPr="00694F8C">
        <w:t>.</w:t>
      </w:r>
      <w:r w:rsidR="007967F0">
        <w:t xml:space="preserve"> </w:t>
      </w:r>
      <w:r w:rsidRPr="00694F8C">
        <w:t xml:space="preserve"> </w:t>
      </w:r>
      <w:r w:rsidR="009102AF">
        <w:t xml:space="preserve">With </w:t>
      </w:r>
      <w:r w:rsidRPr="00694F8C">
        <w:t xml:space="preserve">Retail </w:t>
      </w:r>
      <w:r w:rsidR="00CD5CFC">
        <w:t xml:space="preserve">Stores, demand reductions were </w:t>
      </w:r>
      <w:r>
        <w:t>0.8% in 2010 and 3.5</w:t>
      </w:r>
      <w:r w:rsidRPr="00694F8C">
        <w:t xml:space="preserve">% in 2011.  </w:t>
      </w:r>
      <w:r w:rsidR="002A5ABE" w:rsidRPr="002A5ABE">
        <w:t xml:space="preserve">The change for this sector </w:t>
      </w:r>
      <w:r w:rsidR="009F014D">
        <w:t xml:space="preserve">may be due to </w:t>
      </w:r>
      <w:r w:rsidR="002A5ABE" w:rsidRPr="002A5ABE">
        <w:t>the more tailored approach to specifying weather variables</w:t>
      </w:r>
      <w:r w:rsidR="00CD5CFC">
        <w:t>.</w:t>
      </w:r>
      <w:r w:rsidR="00AC59F3">
        <w:rPr>
          <w:rStyle w:val="FootnoteReference"/>
        </w:rPr>
        <w:footnoteReference w:id="18"/>
      </w:r>
      <w:r w:rsidR="00CD5CFC">
        <w:t xml:space="preserve">  </w:t>
      </w:r>
      <w:r w:rsidRPr="00694F8C">
        <w:t>Also of note is that percent impacts from the Manufacturing in</w:t>
      </w:r>
      <w:r>
        <w:t>dustry group increased from 8.5% in 2010 to 14.1</w:t>
      </w:r>
      <w:r w:rsidRPr="00694F8C">
        <w:t>% in 2011</w:t>
      </w:r>
      <w:r w:rsidR="009F014D">
        <w:t>.  H</w:t>
      </w:r>
      <w:r w:rsidRPr="00694F8C">
        <w:t>owever, aggregate impacts from this sector remained constant at approximately 24</w:t>
      </w:r>
      <w:r>
        <w:t>.0</w:t>
      </w:r>
      <w:r w:rsidRPr="00694F8C">
        <w:t xml:space="preserve"> MW although there were approximately 270 fewer customers in 2011.  </w:t>
      </w:r>
      <w:proofErr w:type="gramStart"/>
      <w:r w:rsidR="00AC59F3">
        <w:t>A  potential</w:t>
      </w:r>
      <w:proofErr w:type="gramEnd"/>
      <w:r w:rsidR="00AC59F3">
        <w:t xml:space="preserve"> explanation is that price </w:t>
      </w:r>
      <w:r w:rsidRPr="00694F8C">
        <w:t xml:space="preserve">responsive Manufacturing industry customers at SCE </w:t>
      </w:r>
      <w:r w:rsidR="00433173">
        <w:t xml:space="preserve">may have </w:t>
      </w:r>
      <w:r w:rsidRPr="00694F8C">
        <w:t xml:space="preserve">stayed on CPP while those who were providing </w:t>
      </w:r>
      <w:r w:rsidR="00433173">
        <w:t xml:space="preserve">small or no </w:t>
      </w:r>
      <w:r w:rsidRPr="00694F8C">
        <w:t xml:space="preserve">demand reductions </w:t>
      </w:r>
      <w:r w:rsidR="00433173">
        <w:t xml:space="preserve">may have </w:t>
      </w:r>
      <w:r w:rsidRPr="00694F8C">
        <w:t>opted out of CPP.</w:t>
      </w:r>
    </w:p>
    <w:p w:rsidR="009B3158" w:rsidRDefault="009B3158" w:rsidP="005C465D">
      <w:pPr>
        <w:pStyle w:val="BodyParagraph"/>
      </w:pPr>
      <w:r>
        <w:t xml:space="preserve">After bill protection expired, customers were provided </w:t>
      </w:r>
      <w:r w:rsidR="009F014D">
        <w:t xml:space="preserve">with shadow bills </w:t>
      </w:r>
      <w:r w:rsidR="003C237E">
        <w:t>by SCE</w:t>
      </w:r>
      <w:r w:rsidR="009F014D">
        <w:t xml:space="preserve"> that </w:t>
      </w:r>
      <w:r>
        <w:t>compar</w:t>
      </w:r>
      <w:r w:rsidR="009F014D">
        <w:t>ed</w:t>
      </w:r>
      <w:r>
        <w:t xml:space="preserve"> how they fared on CPP relative to other rate option</w:t>
      </w:r>
      <w:r w:rsidR="003C237E">
        <w:t>s</w:t>
      </w:r>
      <w:r>
        <w:t xml:space="preserve">. </w:t>
      </w:r>
      <w:r w:rsidR="009F014D">
        <w:t xml:space="preserve"> </w:t>
      </w:r>
      <w:r>
        <w:t xml:space="preserve">Customers that reduced demands during events </w:t>
      </w:r>
      <w:r w:rsidR="003C237E">
        <w:t xml:space="preserve">in 2010 </w:t>
      </w:r>
      <w:r>
        <w:t>were more likely to fare better under CPP than those that did not</w:t>
      </w:r>
      <w:r w:rsidR="003C237E">
        <w:t>,</w:t>
      </w:r>
      <w:r>
        <w:t xml:space="preserve"> and </w:t>
      </w:r>
      <w:r w:rsidR="003C237E">
        <w:t xml:space="preserve">may have </w:t>
      </w:r>
      <w:r>
        <w:t>had a stronger incentive to remain on CPP</w:t>
      </w:r>
      <w:r w:rsidR="003C237E">
        <w:t xml:space="preserve"> </w:t>
      </w:r>
      <w:r w:rsidR="00433173">
        <w:t xml:space="preserve">based on the </w:t>
      </w:r>
      <w:r w:rsidR="003C237E">
        <w:t>billing analysis</w:t>
      </w:r>
      <w:r>
        <w:t xml:space="preserve">.  In addition, SCE proactively engaged </w:t>
      </w:r>
      <w:r w:rsidR="003C237E">
        <w:t xml:space="preserve">CPP </w:t>
      </w:r>
      <w:r>
        <w:t>customers to prepare for the summer season</w:t>
      </w:r>
      <w:r w:rsidR="003C237E">
        <w:t xml:space="preserve"> in 2011</w:t>
      </w:r>
      <w:r>
        <w:t xml:space="preserve">.  They were reminded </w:t>
      </w:r>
      <w:r w:rsidR="009F014D">
        <w:t xml:space="preserve">that </w:t>
      </w:r>
      <w:r>
        <w:t>they were losing bill protection and encourage</w:t>
      </w:r>
      <w:r w:rsidR="00433173">
        <w:t>d</w:t>
      </w:r>
      <w:r>
        <w:t xml:space="preserve"> to have plans in place for CPP events (if they did not already) or consider </w:t>
      </w:r>
      <w:r w:rsidR="00A063CB">
        <w:t>an</w:t>
      </w:r>
      <w:r>
        <w:t xml:space="preserve">other  DR program if they did not experience savings under CPP.  In addition, SCE undertook an </w:t>
      </w:r>
      <w:r>
        <w:lastRenderedPageBreak/>
        <w:t xml:space="preserve">initiative to have their account representatives directly talk to all customers on DR programs before June 1. </w:t>
      </w:r>
    </w:p>
    <w:p w:rsidR="00753F45" w:rsidRDefault="005C1B70" w:rsidP="005C465D">
      <w:pPr>
        <w:pStyle w:val="BodyParagraph"/>
        <w:rPr>
          <w:rFonts w:ascii="Arial Bold" w:eastAsia="Times New Roman" w:hAnsi="Arial Bold" w:cs="Times New Roman"/>
          <w:color w:val="433B67"/>
          <w:sz w:val="28"/>
          <w:szCs w:val="28"/>
        </w:rPr>
      </w:pPr>
      <w:r>
        <w:t>As was the case at PG&amp;E, t</w:t>
      </w:r>
      <w:r w:rsidRPr="00694F8C">
        <w:t xml:space="preserve">he difference in impacts between 2010 and 2011 was most noticeable for customers with average hourly usage </w:t>
      </w:r>
      <w:proofErr w:type="gramStart"/>
      <w:r>
        <w:t>above 200 kW</w:t>
      </w:r>
      <w:r w:rsidR="00433173">
        <w:t>h/hr</w:t>
      </w:r>
      <w:proofErr w:type="gramEnd"/>
      <w:r>
        <w:t>.</w:t>
      </w:r>
      <w:r w:rsidRPr="00694F8C">
        <w:t xml:space="preserve">  At SCE the 1,078 customers with average hourly usage </w:t>
      </w:r>
      <w:proofErr w:type="gramStart"/>
      <w:r w:rsidRPr="00694F8C">
        <w:t>above 200 k</w:t>
      </w:r>
      <w:r>
        <w:t>W</w:t>
      </w:r>
      <w:r w:rsidR="00433173">
        <w:t>h/hr</w:t>
      </w:r>
      <w:r>
        <w:t xml:space="preserve"> in 2010</w:t>
      </w:r>
      <w:proofErr w:type="gramEnd"/>
      <w:r>
        <w:t xml:space="preserve"> provided a 24.0 MW </w:t>
      </w:r>
      <w:r w:rsidR="00871C5C">
        <w:t xml:space="preserve">aggregate </w:t>
      </w:r>
      <w:r w:rsidRPr="00694F8C">
        <w:t xml:space="preserve">load impact </w:t>
      </w:r>
      <w:r w:rsidR="00871C5C">
        <w:t>(4.0</w:t>
      </w:r>
      <w:r w:rsidR="00871C5C" w:rsidRPr="00694F8C">
        <w:t>%</w:t>
      </w:r>
      <w:r w:rsidR="00871C5C">
        <w:t xml:space="preserve"> of reference load</w:t>
      </w:r>
      <w:r w:rsidR="00871C5C" w:rsidRPr="00694F8C">
        <w:t xml:space="preserve">) </w:t>
      </w:r>
      <w:r w:rsidRPr="00694F8C">
        <w:t>on the average event day.  By 2011</w:t>
      </w:r>
      <w:r w:rsidR="009102AF">
        <w:t>,</w:t>
      </w:r>
      <w:r w:rsidRPr="00694F8C">
        <w:t xml:space="preserve"> 567 customers remained in this size cate</w:t>
      </w:r>
      <w:r>
        <w:t xml:space="preserve">gory at SCE and provided a 26.6 </w:t>
      </w:r>
      <w:proofErr w:type="gramStart"/>
      <w:r>
        <w:t xml:space="preserve">MW </w:t>
      </w:r>
      <w:r w:rsidR="00871C5C">
        <w:t xml:space="preserve"> aggregate</w:t>
      </w:r>
      <w:proofErr w:type="gramEnd"/>
      <w:r w:rsidR="00871C5C">
        <w:t xml:space="preserve"> </w:t>
      </w:r>
      <w:r w:rsidRPr="00694F8C">
        <w:t xml:space="preserve">load impact </w:t>
      </w:r>
      <w:r w:rsidR="00871C5C">
        <w:t>(8.9</w:t>
      </w:r>
      <w:r w:rsidR="00871C5C" w:rsidRPr="00694F8C">
        <w:t>%</w:t>
      </w:r>
      <w:r w:rsidR="00871C5C">
        <w:t xml:space="preserve"> of reference load</w:t>
      </w:r>
      <w:r w:rsidR="00871C5C" w:rsidRPr="00694F8C">
        <w:t xml:space="preserve">) </w:t>
      </w:r>
      <w:r w:rsidRPr="00694F8C">
        <w:t>on the average event</w:t>
      </w:r>
      <w:r w:rsidR="007E0558">
        <w:t> </w:t>
      </w:r>
      <w:r w:rsidRPr="00694F8C">
        <w:t>day</w:t>
      </w:r>
      <w:r w:rsidR="009B3158">
        <w:t>.</w:t>
      </w:r>
      <w:bookmarkStart w:id="86" w:name="_Toc318473860"/>
      <w:bookmarkEnd w:id="86"/>
      <w:r w:rsidR="00753F45">
        <w:br w:type="page"/>
      </w:r>
    </w:p>
    <w:p w:rsidR="005C1B70" w:rsidRDefault="005C1B70" w:rsidP="005C465D">
      <w:pPr>
        <w:pStyle w:val="Heading1"/>
      </w:pPr>
      <w:bookmarkStart w:id="87" w:name="_Toc326072121"/>
      <w:r>
        <w:lastRenderedPageBreak/>
        <w:t>SDG&amp;E Ex Post Load Impact Results</w:t>
      </w:r>
      <w:bookmarkEnd w:id="87"/>
    </w:p>
    <w:p w:rsidR="005C1B70" w:rsidRPr="00FF5D9A" w:rsidRDefault="007078D4" w:rsidP="005C465D">
      <w:pPr>
        <w:pStyle w:val="BodyParagraph"/>
      </w:pPr>
      <w:r>
        <w:t>SDG&amp;E only called</w:t>
      </w:r>
      <w:r w:rsidR="00433173">
        <w:t xml:space="preserve"> two</w:t>
      </w:r>
      <w:r>
        <w:t xml:space="preserve"> </w:t>
      </w:r>
      <w:r w:rsidR="005C1B70">
        <w:t>CPP events in 2011</w:t>
      </w:r>
      <w:r>
        <w:t xml:space="preserve"> and one was on a weekend</w:t>
      </w:r>
      <w:r w:rsidR="005C1B70">
        <w:t>.  The first event occurred on August 27, a Saturday, and the second was held on September 7</w:t>
      </w:r>
      <w:r>
        <w:t>, a Wednesday</w:t>
      </w:r>
      <w:r w:rsidR="005C1B70">
        <w:t xml:space="preserve">.  </w:t>
      </w:r>
      <w:r>
        <w:t xml:space="preserve">There were </w:t>
      </w:r>
      <w:r w:rsidR="005C1B70">
        <w:t>1,291 accounts</w:t>
      </w:r>
      <w:r>
        <w:t xml:space="preserve"> enrolled during the first event </w:t>
      </w:r>
      <w:r w:rsidR="009F014D">
        <w:t xml:space="preserve">and </w:t>
      </w:r>
      <w:r w:rsidR="005C1B70">
        <w:t xml:space="preserve">1,293 </w:t>
      </w:r>
      <w:r>
        <w:t>enrolled for the second event</w:t>
      </w:r>
      <w:r w:rsidR="005C1B70">
        <w:t>.</w:t>
      </w:r>
      <w:r>
        <w:t xml:space="preserve">  </w:t>
      </w:r>
      <w:r w:rsidR="005C1B70">
        <w:t xml:space="preserve">The participant weighted average temperature during the peak period was </w:t>
      </w:r>
      <w:r w:rsidR="005C1B70" w:rsidRPr="00FF5D9A">
        <w:t>80</w:t>
      </w:r>
      <w:r w:rsidR="005C1B70">
        <w:rPr>
          <w:rFonts w:eastAsia="Times New Roman" w:cs="Arial"/>
          <w:b/>
          <w:bCs/>
          <w:szCs w:val="20"/>
        </w:rPr>
        <w:t>°</w:t>
      </w:r>
      <w:r w:rsidR="005C1B70">
        <w:rPr>
          <w:rFonts w:eastAsia="Times New Roman" w:cs="Arial"/>
          <w:bCs/>
          <w:szCs w:val="20"/>
        </w:rPr>
        <w:t>F for the weekend event and 86</w:t>
      </w:r>
      <w:r w:rsidR="005C1B70">
        <w:rPr>
          <w:rFonts w:eastAsia="Times New Roman" w:cs="Arial"/>
          <w:b/>
          <w:bCs/>
          <w:szCs w:val="20"/>
        </w:rPr>
        <w:t>°</w:t>
      </w:r>
      <w:r w:rsidR="005C1B70">
        <w:rPr>
          <w:rFonts w:eastAsia="Times New Roman" w:cs="Arial"/>
          <w:bCs/>
          <w:szCs w:val="20"/>
        </w:rPr>
        <w:t>F for the weekday</w:t>
      </w:r>
      <w:r w:rsidR="004433C4">
        <w:rPr>
          <w:rFonts w:eastAsia="Times New Roman" w:cs="Arial"/>
          <w:bCs/>
          <w:szCs w:val="20"/>
        </w:rPr>
        <w:t> </w:t>
      </w:r>
      <w:r w:rsidR="005C1B70">
        <w:rPr>
          <w:rFonts w:eastAsia="Times New Roman" w:cs="Arial"/>
          <w:bCs/>
          <w:szCs w:val="20"/>
        </w:rPr>
        <w:t>event.</w:t>
      </w:r>
    </w:p>
    <w:p w:rsidR="005C1B70" w:rsidRDefault="005C1B70" w:rsidP="005C465D">
      <w:pPr>
        <w:pStyle w:val="BodyParagraph"/>
      </w:pPr>
      <w:r>
        <w:t xml:space="preserve">Table 6-1 shows the estimated ex post load impacts for each event day.  </w:t>
      </w:r>
      <w:r w:rsidR="007078D4">
        <w:t>Not surprisingly, there was a substantial difference in the reference load for the weekday and weekend events.  The estimated reference load for the weekday event was 276 MW, nearly 33% higher than for the weekend event.  However, the percent load reduction, at 6.3%, was higher on the week</w:t>
      </w:r>
      <w:r w:rsidR="005E4347">
        <w:t>end than the 5.2% estimate</w:t>
      </w:r>
      <w:r w:rsidR="007078D4">
        <w:t xml:space="preserve"> for the weekday</w:t>
      </w:r>
      <w:r w:rsidR="005E4347">
        <w:t xml:space="preserve"> event</w:t>
      </w:r>
      <w:r w:rsidR="007078D4">
        <w:t xml:space="preserve">.  As such, there was only about a 10% difference in the aggregate demand response for the two event days.  On the weekend event day, </w:t>
      </w:r>
      <w:r>
        <w:t>August 27</w:t>
      </w:r>
      <w:r w:rsidR="007078D4">
        <w:t>, the aggregate load reduction equaled 16.9</w:t>
      </w:r>
      <w:r w:rsidR="0087122C">
        <w:t> </w:t>
      </w:r>
      <w:r w:rsidR="007078D4">
        <w:t>MW, while the September 7 weekday impact equaled 18.6 MW.  It should be noted, h</w:t>
      </w:r>
      <w:r>
        <w:t xml:space="preserve">owever, </w:t>
      </w:r>
      <w:r w:rsidR="007078D4">
        <w:t xml:space="preserve">that </w:t>
      </w:r>
      <w:r>
        <w:t xml:space="preserve">with only </w:t>
      </w:r>
      <w:r w:rsidR="007078D4">
        <w:t xml:space="preserve">two </w:t>
      </w:r>
      <w:r>
        <w:t>data point</w:t>
      </w:r>
      <w:r w:rsidR="005E4347">
        <w:t xml:space="preserve">s, one </w:t>
      </w:r>
      <w:r w:rsidR="007078D4">
        <w:t xml:space="preserve">on a weekend and the other on a weekday, </w:t>
      </w:r>
      <w:r>
        <w:t xml:space="preserve">it </w:t>
      </w:r>
      <w:r w:rsidR="007078D4">
        <w:t xml:space="preserve">is difficult to </w:t>
      </w:r>
      <w:r>
        <w:t xml:space="preserve">conclude with certainty that SDG&amp;E CPP customers </w:t>
      </w:r>
      <w:r w:rsidR="009F014D">
        <w:t>we</w:t>
      </w:r>
      <w:r w:rsidR="007078D4">
        <w:t xml:space="preserve">re more price responsive (on a percentage basis) on </w:t>
      </w:r>
      <w:r w:rsidR="005E4347">
        <w:t xml:space="preserve">the </w:t>
      </w:r>
      <w:r>
        <w:t>weekend.</w:t>
      </w:r>
      <w:r w:rsidR="007078D4">
        <w:t xml:space="preserve">  A more prudent approach would be to assume that the two</w:t>
      </w:r>
      <w:r w:rsidR="009F014D">
        <w:t>-</w:t>
      </w:r>
      <w:r w:rsidR="007078D4">
        <w:t xml:space="preserve">day average percentage impact is a better estimate for both days.  However, the absolute load reduction is likely to be greater on weekdays because of the significantly higher reference load.  </w:t>
      </w:r>
    </w:p>
    <w:p w:rsidR="005C1B70" w:rsidRDefault="005C1B70" w:rsidP="005C465D">
      <w:pPr>
        <w:pStyle w:val="TableFigureCaption"/>
      </w:pPr>
      <w:r>
        <w:t>Table 6-1:</w:t>
      </w:r>
      <w:r w:rsidR="007E0558">
        <w:t xml:space="preserve"> </w:t>
      </w:r>
      <w:r>
        <w:t>Estimated Ex Post Load Impacts by Event Day</w:t>
      </w:r>
      <w:r>
        <w:br/>
        <w:t>2011 SDG&amp;E CPP Events</w:t>
      </w:r>
    </w:p>
    <w:tbl>
      <w:tblPr>
        <w:tblW w:w="8860" w:type="dxa"/>
        <w:jc w:val="center"/>
        <w:tblLook w:val="04A0"/>
      </w:tblPr>
      <w:tblGrid>
        <w:gridCol w:w="1120"/>
        <w:gridCol w:w="1361"/>
        <w:gridCol w:w="1184"/>
        <w:gridCol w:w="1006"/>
        <w:gridCol w:w="1020"/>
        <w:gridCol w:w="880"/>
        <w:gridCol w:w="1206"/>
        <w:gridCol w:w="1428"/>
      </w:tblGrid>
      <w:tr w:rsidR="005C1B70" w:rsidRPr="00432C68" w:rsidTr="00BB1033">
        <w:trPr>
          <w:trHeight w:val="1020"/>
          <w:jc w:val="center"/>
        </w:trPr>
        <w:tc>
          <w:tcPr>
            <w:tcW w:w="1120"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Event Date</w:t>
            </w:r>
          </w:p>
        </w:tc>
        <w:tc>
          <w:tcPr>
            <w:tcW w:w="124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Number of Participants</w:t>
            </w:r>
          </w:p>
        </w:tc>
        <w:tc>
          <w:tcPr>
            <w:tcW w:w="106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 Load Impact</w:t>
            </w:r>
          </w:p>
        </w:tc>
        <w:tc>
          <w:tcPr>
            <w:tcW w:w="11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Aggregate Load Impact (MW)</w:t>
            </w:r>
          </w:p>
        </w:tc>
        <w:tc>
          <w:tcPr>
            <w:tcW w:w="1420"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432C68" w:rsidRDefault="005C1B70" w:rsidP="00D13343">
            <w:pPr>
              <w:pStyle w:val="TableHeader"/>
            </w:pPr>
            <w:r w:rsidRPr="00432C68">
              <w:t>Average Temperature During Event (°F)</w:t>
            </w:r>
          </w:p>
        </w:tc>
      </w:tr>
      <w:tr w:rsidR="005C1B70" w:rsidRPr="00432C68" w:rsidTr="00BB1033">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8/27/2011</w:t>
            </w:r>
          </w:p>
        </w:tc>
        <w:tc>
          <w:tcPr>
            <w:tcW w:w="124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1,291</w:t>
            </w:r>
          </w:p>
        </w:tc>
        <w:tc>
          <w:tcPr>
            <w:tcW w:w="106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208.4</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195.3</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13.1</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6.3%</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16.9</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79.5</w:t>
            </w:r>
          </w:p>
        </w:tc>
      </w:tr>
      <w:tr w:rsidR="005C1B70" w:rsidRPr="00432C68" w:rsidTr="00BB1033">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9/7/2011</w:t>
            </w:r>
          </w:p>
        </w:tc>
        <w:tc>
          <w:tcPr>
            <w:tcW w:w="124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1,293</w:t>
            </w:r>
          </w:p>
        </w:tc>
        <w:tc>
          <w:tcPr>
            <w:tcW w:w="106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277.5</w:t>
            </w:r>
          </w:p>
        </w:tc>
        <w:tc>
          <w:tcPr>
            <w:tcW w:w="100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263.1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14.4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5.2%</w:t>
            </w:r>
          </w:p>
        </w:tc>
        <w:tc>
          <w:tcPr>
            <w:tcW w:w="11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18.6</w:t>
            </w:r>
          </w:p>
        </w:tc>
        <w:tc>
          <w:tcPr>
            <w:tcW w:w="14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86.3</w:t>
            </w:r>
          </w:p>
        </w:tc>
      </w:tr>
    </w:tbl>
    <w:p w:rsidR="005C1B70" w:rsidRPr="00637BA0" w:rsidRDefault="001C2B2F" w:rsidP="007E0558">
      <w:pPr>
        <w:pStyle w:val="Heading2"/>
        <w:spacing w:before="360"/>
      </w:pPr>
      <w:bookmarkStart w:id="88" w:name="_Toc326072122"/>
      <w:r>
        <w:t xml:space="preserve">Average </w:t>
      </w:r>
      <w:r w:rsidR="005C1B70">
        <w:t xml:space="preserve">Event </w:t>
      </w:r>
      <w:r>
        <w:t xml:space="preserve">Day </w:t>
      </w:r>
      <w:r w:rsidR="005C1B70">
        <w:t>Impact</w:t>
      </w:r>
      <w:r>
        <w:t>s</w:t>
      </w:r>
      <w:bookmarkEnd w:id="88"/>
      <w:r>
        <w:t xml:space="preserve"> </w:t>
      </w:r>
    </w:p>
    <w:p w:rsidR="00FF5076" w:rsidRDefault="005C1B70" w:rsidP="005C465D">
      <w:pPr>
        <w:pStyle w:val="BodyParagraph"/>
      </w:pPr>
      <w:r>
        <w:t>Figures 6-1 and 6-2 show the hourly</w:t>
      </w:r>
      <w:r w:rsidR="0071272B">
        <w:t xml:space="preserve"> impacts for each event for all </w:t>
      </w:r>
      <w:r>
        <w:t>customer</w:t>
      </w:r>
      <w:r w:rsidR="0071272B">
        <w:t>s</w:t>
      </w:r>
      <w:r>
        <w:t xml:space="preserve">.  </w:t>
      </w:r>
      <w:r w:rsidR="00FF5076">
        <w:t>Recall from Section 2 that the CPP event period for SDG&amp;E runs from 11 AM to 6 PM, which is substantially longer than the 2 PM to 6 PM event period employed by SCE and PG&amp;E.  Not surprisingly, the estimated load impacts in both absolute and percentage terms var</w:t>
      </w:r>
      <w:r w:rsidR="00B55DE7">
        <w:t>ied</w:t>
      </w:r>
      <w:r w:rsidR="00FF5076">
        <w:t xml:space="preserve"> more over the event period than they did for PG&amp;E and SCE.  On both the weekday and weekend, event impacts in absolute and percentage terms </w:t>
      </w:r>
      <w:r w:rsidR="00B55DE7">
        <w:t>we</w:t>
      </w:r>
      <w:r w:rsidR="00FF5076">
        <w:t xml:space="preserve">re smallest in the first three event hours, even though the reference load </w:t>
      </w:r>
      <w:r w:rsidR="009F014D">
        <w:t>wa</w:t>
      </w:r>
      <w:r w:rsidR="00FF5076">
        <w:t xml:space="preserve">s highest in these hours.  </w:t>
      </w:r>
    </w:p>
    <w:p w:rsidR="005C1B70" w:rsidRDefault="005C1B70" w:rsidP="005C465D">
      <w:pPr>
        <w:pStyle w:val="BodyParagraph"/>
      </w:pPr>
      <w:r>
        <w:t>For the August 27</w:t>
      </w:r>
      <w:r w:rsidR="00FF5076">
        <w:t xml:space="preserve"> </w:t>
      </w:r>
      <w:r>
        <w:t>event, percent reductions in each hour during the seven hour event window varied from a high of 7.8% in the fifth hour to a low of 4.3% in the first hour</w:t>
      </w:r>
      <w:r w:rsidR="00FF5076">
        <w:t xml:space="preserve">.  </w:t>
      </w:r>
      <w:r>
        <w:t>The highest aggregate impact, 21.2</w:t>
      </w:r>
      <w:r w:rsidR="0087122C">
        <w:t> </w:t>
      </w:r>
      <w:r>
        <w:t>MW</w:t>
      </w:r>
      <w:r w:rsidR="00FF5076">
        <w:t>,</w:t>
      </w:r>
      <w:r>
        <w:t xml:space="preserve"> occur</w:t>
      </w:r>
      <w:r w:rsidR="00B55DE7">
        <w:t>red</w:t>
      </w:r>
      <w:r>
        <w:t xml:space="preserve"> in the fifth hour and the lowest impact, 11.7 MW</w:t>
      </w:r>
      <w:r w:rsidR="00FF5076">
        <w:t>,</w:t>
      </w:r>
      <w:r>
        <w:t xml:space="preserve"> occur</w:t>
      </w:r>
      <w:r w:rsidR="00B55DE7">
        <w:t>r</w:t>
      </w:r>
      <w:r w:rsidR="00335C75">
        <w:t>ed</w:t>
      </w:r>
      <w:r>
        <w:t xml:space="preserve"> in the first hour.  For the September 7</w:t>
      </w:r>
      <w:r w:rsidR="00FF5076">
        <w:t xml:space="preserve"> weekday</w:t>
      </w:r>
      <w:r>
        <w:t xml:space="preserve"> event, percent reductions in each hour during the seven hour event window varied from a high of 7.0% in the last hour to a low of 3.8% in the third hour.  The highest aggregate impact, 23.3</w:t>
      </w:r>
      <w:r w:rsidR="0087122C">
        <w:t> </w:t>
      </w:r>
      <w:r>
        <w:t>MW</w:t>
      </w:r>
      <w:r w:rsidR="00335C75">
        <w:t>,</w:t>
      </w:r>
      <w:r>
        <w:t xml:space="preserve"> occur</w:t>
      </w:r>
      <w:r w:rsidR="00B55DE7">
        <w:t>red</w:t>
      </w:r>
      <w:r>
        <w:t xml:space="preserve"> in the sixth hour and the lowest impact, 14.0, MW occur</w:t>
      </w:r>
      <w:r w:rsidR="00B55DE7">
        <w:t>red</w:t>
      </w:r>
      <w:r>
        <w:t xml:space="preserve"> in the third hour.  In both cases, load impacts gr</w:t>
      </w:r>
      <w:r w:rsidR="00B55DE7">
        <w:t>e</w:t>
      </w:r>
      <w:r>
        <w:t xml:space="preserve">w </w:t>
      </w:r>
      <w:r w:rsidR="009F014D">
        <w:t>across the event period</w:t>
      </w:r>
      <w:r>
        <w:t xml:space="preserve">.  The results show that on the </w:t>
      </w:r>
      <w:r>
        <w:lastRenderedPageBreak/>
        <w:t>weekday event (September 7), customers shift</w:t>
      </w:r>
      <w:r w:rsidR="00B55DE7">
        <w:t>ed</w:t>
      </w:r>
      <w:r>
        <w:t xml:space="preserve"> loads to pre-event periods.  Similar pre-event shifting </w:t>
      </w:r>
      <w:r w:rsidR="009F014D">
        <w:t>wa</w:t>
      </w:r>
      <w:r>
        <w:t>s observed for the weekend event (August 27).</w:t>
      </w: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pPr>
    </w:p>
    <w:p w:rsidR="00184B0C" w:rsidRDefault="00184B0C" w:rsidP="005C465D">
      <w:pPr>
        <w:pStyle w:val="BodyParagraph"/>
        <w:sectPr w:rsidR="00184B0C" w:rsidSect="004433C4">
          <w:headerReference w:type="default" r:id="rId27"/>
          <w:pgSz w:w="12240" w:h="15840"/>
          <w:pgMar w:top="1440" w:right="1440" w:bottom="1440" w:left="1440" w:header="720" w:footer="720" w:gutter="0"/>
          <w:cols w:space="720"/>
          <w:docGrid w:linePitch="360"/>
        </w:sectPr>
      </w:pPr>
    </w:p>
    <w:p w:rsidR="005C1B70" w:rsidRPr="008F5769" w:rsidRDefault="005C1B70" w:rsidP="005C465D">
      <w:pPr>
        <w:pStyle w:val="TableFigureCaption"/>
      </w:pPr>
      <w:r w:rsidRPr="00462B2D">
        <w:lastRenderedPageBreak/>
        <w:t>Figure</w:t>
      </w:r>
      <w:r>
        <w:t xml:space="preserve"> 6-1:</w:t>
      </w:r>
      <w:r w:rsidR="007E0558">
        <w:t xml:space="preserve"> </w:t>
      </w:r>
      <w:r w:rsidR="0071272B">
        <w:t>Estimated Hourly Impacts</w:t>
      </w:r>
      <w:r w:rsidRPr="006E6018">
        <w:br/>
      </w:r>
      <w:r w:rsidR="0071272B">
        <w:t xml:space="preserve">SDG&amp;E’s </w:t>
      </w:r>
      <w:r w:rsidRPr="006E6018">
        <w:t>August 27, 2011 Event</w:t>
      </w:r>
    </w:p>
    <w:p w:rsidR="00E7532F" w:rsidRDefault="00184B0C" w:rsidP="005C465D">
      <w:pPr>
        <w:pStyle w:val="BodyParagraph"/>
      </w:pPr>
      <w:r>
        <w:rPr>
          <w:noProof/>
        </w:rPr>
        <w:drawing>
          <wp:inline distT="0" distB="0" distL="0" distR="0">
            <wp:extent cx="8229600" cy="4279284"/>
            <wp:effectExtent l="1905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8229600" cy="4279284"/>
                    </a:xfrm>
                    <a:prstGeom prst="rect">
                      <a:avLst/>
                    </a:prstGeom>
                    <a:noFill/>
                    <a:ln w="9525">
                      <a:noFill/>
                      <a:miter lim="800000"/>
                      <a:headEnd/>
                      <a:tailEnd/>
                    </a:ln>
                  </pic:spPr>
                </pic:pic>
              </a:graphicData>
            </a:graphic>
          </wp:inline>
        </w:drawing>
      </w:r>
    </w:p>
    <w:p w:rsidR="00E7532F" w:rsidRDefault="00E7532F">
      <w:pPr>
        <w:rPr>
          <w:rFonts w:ascii="Arial" w:hAnsi="Arial"/>
          <w:sz w:val="20"/>
        </w:rPr>
      </w:pPr>
      <w:r>
        <w:br w:type="page"/>
      </w:r>
    </w:p>
    <w:p w:rsidR="005C1B70" w:rsidRPr="00E85D69" w:rsidRDefault="005C1B70" w:rsidP="005C465D">
      <w:pPr>
        <w:pStyle w:val="TableFigureCaption"/>
      </w:pPr>
      <w:r>
        <w:lastRenderedPageBreak/>
        <w:t>Figure 6-2:</w:t>
      </w:r>
      <w:r w:rsidR="007E0558">
        <w:t xml:space="preserve"> </w:t>
      </w:r>
      <w:r w:rsidR="0071272B">
        <w:t>Estimated Hourly Impacts</w:t>
      </w:r>
      <w:r w:rsidRPr="006E6018">
        <w:br/>
      </w:r>
      <w:r w:rsidR="0071272B">
        <w:t xml:space="preserve">SDG&amp;E’s </w:t>
      </w:r>
      <w:r>
        <w:t xml:space="preserve">September </w:t>
      </w:r>
      <w:r w:rsidRPr="006E6018">
        <w:t>7, 2011 Event</w:t>
      </w:r>
    </w:p>
    <w:p w:rsidR="00184B0C" w:rsidRDefault="00184B0C" w:rsidP="005C465D">
      <w:pPr>
        <w:pStyle w:val="BodyParagraph"/>
        <w:sectPr w:rsidR="00184B0C" w:rsidSect="004433C4">
          <w:headerReference w:type="default" r:id="rId29"/>
          <w:pgSz w:w="15840" w:h="12240" w:orient="landscape"/>
          <w:pgMar w:top="1440" w:right="1440" w:bottom="1440" w:left="1440" w:header="720" w:footer="720" w:gutter="0"/>
          <w:cols w:space="720"/>
          <w:docGrid w:linePitch="360"/>
        </w:sectPr>
      </w:pPr>
      <w:r w:rsidRPr="00184B0C">
        <w:rPr>
          <w:noProof/>
        </w:rPr>
        <w:drawing>
          <wp:inline distT="0" distB="0" distL="0" distR="0">
            <wp:extent cx="8229600" cy="4304310"/>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8229600" cy="4304310"/>
                    </a:xfrm>
                    <a:prstGeom prst="rect">
                      <a:avLst/>
                    </a:prstGeom>
                    <a:noFill/>
                    <a:ln w="9525">
                      <a:noFill/>
                      <a:miter lim="800000"/>
                      <a:headEnd/>
                      <a:tailEnd/>
                    </a:ln>
                  </pic:spPr>
                </pic:pic>
              </a:graphicData>
            </a:graphic>
          </wp:inline>
        </w:drawing>
      </w:r>
    </w:p>
    <w:p w:rsidR="005C1B70" w:rsidRDefault="005C1B70" w:rsidP="005C465D">
      <w:pPr>
        <w:pStyle w:val="Heading2"/>
      </w:pPr>
      <w:bookmarkStart w:id="89" w:name="_Toc326072123"/>
      <w:r>
        <w:lastRenderedPageBreak/>
        <w:t>Load Impacts by Industry</w:t>
      </w:r>
      <w:bookmarkEnd w:id="89"/>
    </w:p>
    <w:p w:rsidR="00052A56" w:rsidRDefault="005C1B70" w:rsidP="005C465D">
      <w:pPr>
        <w:pStyle w:val="BodyParagraph"/>
      </w:pPr>
      <w:r>
        <w:t xml:space="preserve">Table 6-2 shows the estimated ex post load impacts by industry.  </w:t>
      </w:r>
      <w:r w:rsidR="00B55DE7">
        <w:t xml:space="preserve">The distribution of impacts across industry segments is not as highly concentrated as is for PG&amp;E and SCE.  </w:t>
      </w:r>
      <w:r>
        <w:t>There are four industry segments that provide</w:t>
      </w:r>
      <w:r w:rsidR="009F014D">
        <w:t>d</w:t>
      </w:r>
      <w:r>
        <w:t xml:space="preserve"> large aggregate load impacts.  The 16 customers in</w:t>
      </w:r>
      <w:r w:rsidR="00A93ABE">
        <w:t xml:space="preserve"> the</w:t>
      </w:r>
      <w:r>
        <w:t xml:space="preserve"> Agricultural, Mining &amp; Construction </w:t>
      </w:r>
      <w:r w:rsidR="00A93ABE">
        <w:t xml:space="preserve">segment </w:t>
      </w:r>
      <w:r>
        <w:t>provide</w:t>
      </w:r>
      <w:r w:rsidR="009F014D">
        <w:t>d</w:t>
      </w:r>
      <w:r>
        <w:t xml:space="preserve"> an average impact of 181.4 kW, a percent impact of 41.5% and an aggregate impact of 2.9 MW.  </w:t>
      </w:r>
      <w:r w:rsidR="005174A7">
        <w:t>Alt</w:t>
      </w:r>
      <w:r>
        <w:t xml:space="preserve">hough there </w:t>
      </w:r>
      <w:r w:rsidR="009F014D">
        <w:t>we</w:t>
      </w:r>
      <w:r>
        <w:t xml:space="preserve">re very few </w:t>
      </w:r>
      <w:r w:rsidR="00A93ABE">
        <w:t>customers in this segment</w:t>
      </w:r>
      <w:r>
        <w:t xml:space="preserve">, they are large and are able to shift almost half of their load during CPP events.  Large aggregate impacts </w:t>
      </w:r>
      <w:r w:rsidR="009F014D">
        <w:t>we</w:t>
      </w:r>
      <w:r>
        <w:t xml:space="preserve">re also provided by customers in Manufacturing and Wholesale, Transport &amp; Other Utilities.  Contrary to what was observed at PG&amp;E and SCE, statistically significant impacts </w:t>
      </w:r>
      <w:r w:rsidR="009F014D">
        <w:t>we</w:t>
      </w:r>
      <w:r>
        <w:t>re provided by customers in the Offices, Hote</w:t>
      </w:r>
      <w:r w:rsidR="00A93ABE">
        <w:t xml:space="preserve">ls, Finance &amp; Services </w:t>
      </w:r>
      <w:r>
        <w:t xml:space="preserve">segment.  </w:t>
      </w:r>
      <w:r w:rsidR="005174A7">
        <w:t>Alt</w:t>
      </w:r>
      <w:r>
        <w:t>hough these customers provide</w:t>
      </w:r>
      <w:r w:rsidR="009F014D">
        <w:t>d</w:t>
      </w:r>
      <w:r>
        <w:t xml:space="preserve"> modest per customer impacts of 14.0 kW (3.4%), they </w:t>
      </w:r>
      <w:r w:rsidR="009F014D">
        <w:t>we</w:t>
      </w:r>
      <w:r>
        <w:t xml:space="preserve">re relatively large and there </w:t>
      </w:r>
      <w:r w:rsidR="009F014D">
        <w:t>we</w:t>
      </w:r>
      <w:r>
        <w:t>re a lot of them.  Custome</w:t>
      </w:r>
      <w:r w:rsidR="00A93ABE">
        <w:t>rs in the Manufacturing</w:t>
      </w:r>
      <w:r>
        <w:t xml:space="preserve"> segment and customers in the Offices, Hot</w:t>
      </w:r>
      <w:r w:rsidR="00A93ABE">
        <w:t>els, Finance &amp; Services</w:t>
      </w:r>
      <w:r>
        <w:t xml:space="preserve"> segment both provide</w:t>
      </w:r>
      <w:r w:rsidR="009F014D">
        <w:t>d</w:t>
      </w:r>
      <w:r>
        <w:t xml:space="preserve"> </w:t>
      </w:r>
      <w:r w:rsidR="00CD5CFC">
        <w:t xml:space="preserve">average </w:t>
      </w:r>
      <w:r>
        <w:t>aggregate impacts of 5.3 MW.</w:t>
      </w:r>
      <w:r w:rsidR="005174A7">
        <w:t xml:space="preserve">  As was observed for both SCE and PG&amp;E, estimated impacts for schools </w:t>
      </w:r>
      <w:r>
        <w:t>were negligible, even though schools comprised roughly 18% of the number of participating</w:t>
      </w:r>
      <w:r w:rsidR="00FB5727">
        <w:t> </w:t>
      </w:r>
      <w:r>
        <w:t xml:space="preserve">accounts.  </w:t>
      </w:r>
    </w:p>
    <w:p w:rsidR="005174A7" w:rsidRDefault="005174A7">
      <w:pPr>
        <w:rPr>
          <w:rFonts w:ascii="Arial" w:hAnsi="Arial"/>
          <w:b/>
        </w:rPr>
      </w:pPr>
      <w:r>
        <w:br w:type="page"/>
      </w:r>
    </w:p>
    <w:p w:rsidR="005C1B70" w:rsidRDefault="00CD5CFC" w:rsidP="005C465D">
      <w:pPr>
        <w:pStyle w:val="TableFigureCaption"/>
      </w:pPr>
      <w:r>
        <w:lastRenderedPageBreak/>
        <w:t>Table 6-2:</w:t>
      </w:r>
      <w:r w:rsidR="007E0558">
        <w:t xml:space="preserve"> </w:t>
      </w:r>
      <w:r>
        <w:t>Estimated Ex Post L</w:t>
      </w:r>
      <w:r w:rsidR="005C1B70">
        <w:t>ad Impacts by Industry</w:t>
      </w:r>
      <w:r w:rsidR="005C1B70">
        <w:br/>
        <w:t>September 7, 2011 SDG&amp;E CPP Event</w:t>
      </w:r>
    </w:p>
    <w:tbl>
      <w:tblPr>
        <w:tblW w:w="10542" w:type="dxa"/>
        <w:jc w:val="center"/>
        <w:tblLook w:val="04A0"/>
      </w:tblPr>
      <w:tblGrid>
        <w:gridCol w:w="2457"/>
        <w:gridCol w:w="1361"/>
        <w:gridCol w:w="1184"/>
        <w:gridCol w:w="1006"/>
        <w:gridCol w:w="1020"/>
        <w:gridCol w:w="880"/>
        <w:gridCol w:w="1206"/>
        <w:gridCol w:w="1428"/>
      </w:tblGrid>
      <w:tr w:rsidR="005C1B70" w:rsidRPr="00432C68" w:rsidTr="00BB1033">
        <w:trPr>
          <w:trHeight w:val="1020"/>
          <w:jc w:val="center"/>
        </w:trPr>
        <w:tc>
          <w:tcPr>
            <w:tcW w:w="2457"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Industry</w:t>
            </w:r>
          </w:p>
        </w:tc>
        <w:tc>
          <w:tcPr>
            <w:tcW w:w="1361"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Number of Participants</w:t>
            </w:r>
          </w:p>
        </w:tc>
        <w:tc>
          <w:tcPr>
            <w:tcW w:w="1184"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432C68" w:rsidRDefault="005C1B70" w:rsidP="00D13343">
            <w:pPr>
              <w:pStyle w:val="TableHeader"/>
            </w:pPr>
            <w:r w:rsidRPr="00432C68">
              <w:t>Average Temperature During Event (</w:t>
            </w:r>
            <w:r w:rsidRPr="00432C68">
              <w:rPr>
                <w:rFonts w:ascii="Calibri" w:hAnsi="Calibri" w:cs="Calibri"/>
              </w:rPr>
              <w:t>°</w:t>
            </w:r>
            <w:r w:rsidRPr="00432C68">
              <w:t>F)</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Agriculture, Mining &amp; Construction</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16</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437.4</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256.0</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181.4</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41.5%</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2.9</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87.6</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Manufacturing</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165</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304.7</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283.3</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21.5</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7.0%</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3.5</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86.7</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Wholesale, Transport &amp; Other Utilities</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244</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159.6</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137.8</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21.7</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13.6%</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5.3</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87.5</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Retail Stores</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105</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306.3</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295.7</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10.7</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3.5%</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1.1</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86.3</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Offices, Hotels, Finance, Services</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380</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413.6</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399.6</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14.0</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3.4%</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5.3</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85.2</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Schools</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229</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154.7</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154.7</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0.0</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0.0%</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0.0</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86.0</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Institutional/Government</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154</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239.2</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232.8</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6.4</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2.7%</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1.0</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86.9</w:t>
            </w:r>
          </w:p>
        </w:tc>
      </w:tr>
      <w:tr w:rsidR="005C1B70" w:rsidRPr="00432C68" w:rsidTr="00BB1033">
        <w:trPr>
          <w:trHeight w:val="300"/>
          <w:jc w:val="center"/>
        </w:trPr>
        <w:tc>
          <w:tcPr>
            <w:tcW w:w="2457" w:type="dxa"/>
            <w:tcBorders>
              <w:top w:val="nil"/>
              <w:left w:val="single" w:sz="4" w:space="0" w:color="auto"/>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All Customers</w:t>
            </w:r>
          </w:p>
        </w:tc>
        <w:tc>
          <w:tcPr>
            <w:tcW w:w="1361"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1,293</w:t>
            </w:r>
          </w:p>
        </w:tc>
        <w:tc>
          <w:tcPr>
            <w:tcW w:w="1184"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277.5</w:t>
            </w:r>
          </w:p>
        </w:tc>
        <w:tc>
          <w:tcPr>
            <w:tcW w:w="10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263.1</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14.4</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5.2%</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18.6</w:t>
            </w:r>
          </w:p>
        </w:tc>
        <w:tc>
          <w:tcPr>
            <w:tcW w:w="1428"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86.3</w:t>
            </w:r>
          </w:p>
        </w:tc>
      </w:tr>
    </w:tbl>
    <w:p w:rsidR="00184B0C" w:rsidRDefault="00584CF1" w:rsidP="005C465D">
      <w:pPr>
        <w:pStyle w:val="BodyParaAfterTableFigure"/>
      </w:pPr>
      <w:r>
        <w:t>Figure 6-3</w:t>
      </w:r>
      <w:r w:rsidR="00184B0C">
        <w:t xml:space="preserve"> compares the distribution of customer </w:t>
      </w:r>
      <w:r w:rsidR="009F014D">
        <w:t xml:space="preserve">reference loads, load </w:t>
      </w:r>
      <w:r w:rsidR="00184B0C">
        <w:t xml:space="preserve">impacts </w:t>
      </w:r>
      <w:r w:rsidR="009F014D">
        <w:t xml:space="preserve">and customers </w:t>
      </w:r>
      <w:r w:rsidR="00184B0C">
        <w:t>by</w:t>
      </w:r>
      <w:r w:rsidR="007E0558">
        <w:t> </w:t>
      </w:r>
      <w:r w:rsidR="00184B0C">
        <w:t>sector.</w:t>
      </w:r>
    </w:p>
    <w:p w:rsidR="00184B0C" w:rsidRPr="00DF1D4A" w:rsidRDefault="00584CF1" w:rsidP="005C465D">
      <w:pPr>
        <w:pStyle w:val="TableFigureCaption"/>
      </w:pPr>
      <w:r>
        <w:t>Figure 6-3</w:t>
      </w:r>
      <w:r w:rsidR="00184B0C" w:rsidRPr="00DF1D4A">
        <w:t>:</w:t>
      </w:r>
      <w:r w:rsidR="007E0558">
        <w:t xml:space="preserve"> </w:t>
      </w:r>
      <w:r w:rsidR="00184B0C">
        <w:t xml:space="preserve">SDG&amp;E </w:t>
      </w:r>
      <w:r w:rsidR="00184B0C" w:rsidRPr="00DF1D4A">
        <w:t>Distribution of Event Period Reference Load and Impacts by Industry</w:t>
      </w:r>
    </w:p>
    <w:p w:rsidR="00184B0C" w:rsidRDefault="00184B0C" w:rsidP="007E0558">
      <w:pPr>
        <w:pStyle w:val="BodyParagraph"/>
        <w:jc w:val="center"/>
      </w:pPr>
      <w:r w:rsidRPr="00FC057E">
        <w:rPr>
          <w:noProof/>
        </w:rPr>
        <w:drawing>
          <wp:inline distT="0" distB="0" distL="0" distR="0">
            <wp:extent cx="5187950" cy="2743200"/>
            <wp:effectExtent l="19050" t="0" r="12700" b="0"/>
            <wp:docPr id="4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4B0C" w:rsidRDefault="00184B0C" w:rsidP="005C465D">
      <w:pPr>
        <w:pStyle w:val="BodyParaAfterTableFigure"/>
      </w:pPr>
      <w:r>
        <w:t>The major</w:t>
      </w:r>
      <w:r w:rsidR="00584CF1">
        <w:t xml:space="preserve">ity of the load </w:t>
      </w:r>
      <w:r w:rsidR="009F014D">
        <w:t>was c</w:t>
      </w:r>
      <w:r w:rsidR="00584CF1">
        <w:t>oncentrated in</w:t>
      </w:r>
      <w:r>
        <w:t xml:space="preserve"> the Offices, Hotels, Finance and Services sector.  These are typically office buildings.  They accounted for 44% of the estimated </w:t>
      </w:r>
      <w:r w:rsidR="009F014D">
        <w:t xml:space="preserve">reference </w:t>
      </w:r>
      <w:r>
        <w:t xml:space="preserve">load 157.2 MW) and produced </w:t>
      </w:r>
      <w:r w:rsidR="00781192">
        <w:t>29</w:t>
      </w:r>
      <w:r>
        <w:t>% of the load reduction (5.3 MW).  However, this sector also ha</w:t>
      </w:r>
      <w:r w:rsidR="009F014D">
        <w:t>d</w:t>
      </w:r>
      <w:r>
        <w:t xml:space="preserve"> the most participants</w:t>
      </w:r>
      <w:r w:rsidR="00781192">
        <w:t>,</w:t>
      </w:r>
      <w:r>
        <w:t xml:space="preserve"> and on average offices only reduced load by 3.4%.  In contrast, the Manufacturing and Wholesale, Transport and Other Utilities sectors </w:t>
      </w:r>
      <w:r w:rsidR="009F014D">
        <w:t xml:space="preserve">together </w:t>
      </w:r>
      <w:r>
        <w:t>accounted for 25% of the reference load (89.2 MW) but produced 48% of the impacts (8.8 MW).</w:t>
      </w:r>
    </w:p>
    <w:p w:rsidR="005C1B70" w:rsidRDefault="005C1B70" w:rsidP="005C465D">
      <w:pPr>
        <w:pStyle w:val="Heading2"/>
      </w:pPr>
      <w:bookmarkStart w:id="90" w:name="_Toc326072124"/>
      <w:r>
        <w:lastRenderedPageBreak/>
        <w:t>Load Impacts by Customer Size</w:t>
      </w:r>
      <w:bookmarkEnd w:id="90"/>
    </w:p>
    <w:p w:rsidR="00052A56" w:rsidRDefault="005C1B70" w:rsidP="005C465D">
      <w:pPr>
        <w:pStyle w:val="BodyParagraph"/>
      </w:pPr>
      <w:r>
        <w:t>Table 6-3 shows the estimated ex post load impacts by customer size.  Participants with average usage over 5</w:t>
      </w:r>
      <w:r w:rsidRPr="00D13343">
        <w:t>0</w:t>
      </w:r>
      <w:r>
        <w:t>0 kW provided the largest absolute average impact per customer (100.8 kW), percent impact per customer (8.0%) and aggregate load impact (9.0 MW).  These customers comprise</w:t>
      </w:r>
      <w:r w:rsidR="009F014D">
        <w:t>d</w:t>
      </w:r>
      <w:r>
        <w:t xml:space="preserve"> </w:t>
      </w:r>
      <w:r w:rsidR="00781192">
        <w:t>48</w:t>
      </w:r>
      <w:r>
        <w:t xml:space="preserve">% of the aggregate load impact for all customers even though they </w:t>
      </w:r>
      <w:r w:rsidR="009F014D">
        <w:t>we</w:t>
      </w:r>
      <w:r>
        <w:t xml:space="preserve">re only </w:t>
      </w:r>
      <w:r w:rsidR="00781192">
        <w:t>7</w:t>
      </w:r>
      <w:r>
        <w:t>% of the 1,293 participants.  Participants with average usage between 100 and 200 kW provided the lowest percent load impact (1.8%).  The percent load impact for the smallest customers (</w:t>
      </w:r>
      <w:r w:rsidR="009F014D">
        <w:t>u</w:t>
      </w:r>
      <w:r>
        <w:t xml:space="preserve">nder 50 Average kW) </w:t>
      </w:r>
      <w:r w:rsidR="009F014D">
        <w:t>wa</w:t>
      </w:r>
      <w:r>
        <w:t xml:space="preserve">s 2.4%, which is substantially less than the larger customers above 200 kW provide, but comparable to what smaller customers between 50 and 200 kW provide. </w:t>
      </w:r>
    </w:p>
    <w:p w:rsidR="005C1B70" w:rsidRPr="00882D62" w:rsidRDefault="005C1B70" w:rsidP="005C465D">
      <w:pPr>
        <w:pStyle w:val="TableFigureCaption"/>
      </w:pPr>
      <w:r>
        <w:t>Table 6-3:</w:t>
      </w:r>
      <w:r w:rsidR="007E0558">
        <w:t xml:space="preserve"> </w:t>
      </w:r>
      <w:r>
        <w:t>Estimated Ex Post Load Impacts by Customer Size</w:t>
      </w:r>
      <w:r>
        <w:br/>
        <w:t>September 7, 2011 SDG&amp;E CPP Event</w:t>
      </w:r>
    </w:p>
    <w:tbl>
      <w:tblPr>
        <w:tblW w:w="10341" w:type="dxa"/>
        <w:jc w:val="center"/>
        <w:tblLook w:val="04A0"/>
      </w:tblPr>
      <w:tblGrid>
        <w:gridCol w:w="2256"/>
        <w:gridCol w:w="1361"/>
        <w:gridCol w:w="1184"/>
        <w:gridCol w:w="1006"/>
        <w:gridCol w:w="1020"/>
        <w:gridCol w:w="880"/>
        <w:gridCol w:w="1206"/>
        <w:gridCol w:w="1428"/>
      </w:tblGrid>
      <w:tr w:rsidR="005C1B70" w:rsidRPr="00432C68" w:rsidTr="00BB1033">
        <w:trPr>
          <w:trHeight w:val="1020"/>
          <w:jc w:val="center"/>
        </w:trPr>
        <w:tc>
          <w:tcPr>
            <w:tcW w:w="2256"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Size Category</w:t>
            </w:r>
          </w:p>
        </w:tc>
        <w:tc>
          <w:tcPr>
            <w:tcW w:w="1361"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Number of Participants</w:t>
            </w:r>
          </w:p>
        </w:tc>
        <w:tc>
          <w:tcPr>
            <w:tcW w:w="1184"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5C1B70" w:rsidRPr="00432C68" w:rsidRDefault="005C1B70" w:rsidP="00D13343">
            <w:pPr>
              <w:pStyle w:val="TableHeader"/>
            </w:pPr>
            <w:r w:rsidRPr="00432C68">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5C1B70" w:rsidRPr="00432C68" w:rsidRDefault="005C1B70" w:rsidP="00D13343">
            <w:pPr>
              <w:pStyle w:val="TableHeader"/>
            </w:pPr>
            <w:r w:rsidRPr="00432C68">
              <w:t>Average Temperature During Event (°F)</w:t>
            </w:r>
          </w:p>
        </w:tc>
      </w:tr>
      <w:tr w:rsidR="005C1B70" w:rsidRPr="00432C68" w:rsidTr="00BB1033">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Under 50 Average kW</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320</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46.7</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45.6</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1.1</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2.4%</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0.4</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86.3</w:t>
            </w:r>
          </w:p>
        </w:tc>
      </w:tr>
      <w:tr w:rsidR="005C1B70" w:rsidRPr="00432C68" w:rsidTr="00BB1033">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50-100 Average kW</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264</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139.7</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135.2</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4.5</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3.2%</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1.2</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87.2</w:t>
            </w:r>
          </w:p>
        </w:tc>
      </w:tr>
      <w:tr w:rsidR="005C1B70" w:rsidRPr="00432C68" w:rsidTr="00BB1033">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100-200 Average kW</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348</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225.6</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221.5</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4.0</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1.8%</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1.4</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85.9</w:t>
            </w:r>
          </w:p>
        </w:tc>
      </w:tr>
      <w:tr w:rsidR="005C1B70" w:rsidRPr="00432C68" w:rsidTr="00BB1033">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200-500 Average kW</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272</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434.7</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409.8</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24.9</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5.7%</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6.8</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85.8</w:t>
            </w:r>
          </w:p>
        </w:tc>
      </w:tr>
      <w:tr w:rsidR="005C1B70" w:rsidRPr="00432C68" w:rsidTr="00BB1033">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Over 500 Average kW</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89</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1267.4</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1166.6</w:t>
            </w:r>
          </w:p>
        </w:tc>
        <w:tc>
          <w:tcPr>
            <w:tcW w:w="102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100.8</w:t>
            </w:r>
          </w:p>
        </w:tc>
        <w:tc>
          <w:tcPr>
            <w:tcW w:w="880"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8.0%</w:t>
            </w:r>
          </w:p>
        </w:tc>
        <w:tc>
          <w:tcPr>
            <w:tcW w:w="1206" w:type="dxa"/>
            <w:tcBorders>
              <w:top w:val="nil"/>
              <w:left w:val="nil"/>
              <w:bottom w:val="single" w:sz="4" w:space="0" w:color="auto"/>
              <w:right w:val="single" w:sz="4" w:space="0" w:color="auto"/>
            </w:tcBorders>
            <w:shd w:val="clear" w:color="auto" w:fill="auto"/>
            <w:noWrap/>
            <w:vAlign w:val="bottom"/>
            <w:hideMark/>
          </w:tcPr>
          <w:p w:rsidR="005C1B70" w:rsidRPr="00432C68" w:rsidRDefault="005C1B70" w:rsidP="00D13343">
            <w:pPr>
              <w:pStyle w:val="TableText"/>
              <w:jc w:val="center"/>
            </w:pPr>
            <w:r w:rsidRPr="00432C68">
              <w:t>9.0</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86.3</w:t>
            </w:r>
          </w:p>
        </w:tc>
      </w:tr>
      <w:tr w:rsidR="005C1B70" w:rsidRPr="00432C68" w:rsidTr="00BB1033">
        <w:trPr>
          <w:trHeight w:val="300"/>
          <w:jc w:val="center"/>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All Customers</w:t>
            </w:r>
          </w:p>
        </w:tc>
        <w:tc>
          <w:tcPr>
            <w:tcW w:w="1361"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1,293</w:t>
            </w:r>
          </w:p>
        </w:tc>
        <w:tc>
          <w:tcPr>
            <w:tcW w:w="1184"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277.5</w:t>
            </w:r>
          </w:p>
        </w:tc>
        <w:tc>
          <w:tcPr>
            <w:tcW w:w="10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263.1</w:t>
            </w:r>
          </w:p>
        </w:tc>
        <w:tc>
          <w:tcPr>
            <w:tcW w:w="102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14.4</w:t>
            </w:r>
          </w:p>
        </w:tc>
        <w:tc>
          <w:tcPr>
            <w:tcW w:w="880"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5.2%</w:t>
            </w:r>
          </w:p>
        </w:tc>
        <w:tc>
          <w:tcPr>
            <w:tcW w:w="1206"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18.6</w:t>
            </w:r>
          </w:p>
        </w:tc>
        <w:tc>
          <w:tcPr>
            <w:tcW w:w="1428" w:type="dxa"/>
            <w:tcBorders>
              <w:top w:val="nil"/>
              <w:left w:val="nil"/>
              <w:bottom w:val="single" w:sz="4" w:space="0" w:color="auto"/>
              <w:right w:val="single" w:sz="4" w:space="0" w:color="auto"/>
            </w:tcBorders>
            <w:shd w:val="clear" w:color="auto" w:fill="auto"/>
            <w:noWrap/>
            <w:vAlign w:val="center"/>
            <w:hideMark/>
          </w:tcPr>
          <w:p w:rsidR="005C1B70" w:rsidRPr="00432C68" w:rsidRDefault="005C1B70" w:rsidP="00D13343">
            <w:pPr>
              <w:pStyle w:val="TableText"/>
              <w:jc w:val="center"/>
            </w:pPr>
            <w:r w:rsidRPr="00432C68">
              <w:t>86.3</w:t>
            </w:r>
          </w:p>
        </w:tc>
      </w:tr>
    </w:tbl>
    <w:p w:rsidR="00710A83" w:rsidRDefault="00710A83" w:rsidP="007E0558">
      <w:pPr>
        <w:pStyle w:val="Heading2"/>
        <w:spacing w:before="360"/>
      </w:pPr>
      <w:bookmarkStart w:id="91" w:name="_Toc326072125"/>
      <w:r>
        <w:t>Load Impacts for Multi-DR P</w:t>
      </w:r>
      <w:r>
        <w:rPr>
          <w:rFonts w:hint="eastAsia"/>
        </w:rPr>
        <w:t>rogra</w:t>
      </w:r>
      <w:r>
        <w:t>m Participants</w:t>
      </w:r>
      <w:bookmarkEnd w:id="91"/>
      <w:r>
        <w:t xml:space="preserve"> </w:t>
      </w:r>
    </w:p>
    <w:p w:rsidR="00710A83" w:rsidRDefault="00710A83" w:rsidP="005C465D">
      <w:pPr>
        <w:pStyle w:val="BodyParagraph"/>
      </w:pPr>
      <w:r>
        <w:t xml:space="preserve">Table 6-4 shows load impacts for SDG&amp;E customers who </w:t>
      </w:r>
      <w:r w:rsidR="009F014D">
        <w:t>we</w:t>
      </w:r>
      <w:r>
        <w:t xml:space="preserve">re dually enrolled in other DR programs or were previously enrolled in </w:t>
      </w:r>
      <w:r w:rsidR="009F014D">
        <w:t xml:space="preserve">SDG&amp;E’s </w:t>
      </w:r>
      <w:r>
        <w:t xml:space="preserve">voluntary CPP tariff.  Keep in mind that these impacts represent just a single weekday event.  As with the other utilities, the small sample sizes suggest caution.  However, it should be noted that CPP customers that </w:t>
      </w:r>
      <w:r w:rsidR="009F014D">
        <w:t>we</w:t>
      </w:r>
      <w:r>
        <w:t xml:space="preserve">re also enrolled in the BIP program provided about </w:t>
      </w:r>
      <w:r w:rsidR="00781192">
        <w:t>11</w:t>
      </w:r>
      <w:r>
        <w:t>%</w:t>
      </w:r>
      <w:r w:rsidR="009F014D">
        <w:t xml:space="preserve"> </w:t>
      </w:r>
      <w:r>
        <w:t>of the aggregate demand reduction under the CPP program on September 7, even though they accounted for less than 0</w:t>
      </w:r>
      <w:r w:rsidR="00584CF1">
        <w:t>.5% of CPP accounts.  Figure 6-4</w:t>
      </w:r>
      <w:r>
        <w:t xml:space="preserve"> shows the hourly load impacts for these customers.  </w:t>
      </w:r>
    </w:p>
    <w:p w:rsidR="00710A83" w:rsidRDefault="00584CF1" w:rsidP="005C465D">
      <w:pPr>
        <w:pStyle w:val="BodyParagraph"/>
      </w:pPr>
      <w:r>
        <w:t>Table 6-4</w:t>
      </w:r>
      <w:r w:rsidR="00710A83">
        <w:t xml:space="preserve"> also shows the aggregate load impact for CPP participants that had previously enrolled in SDG&amp;E’s voluntary CPP program.  These previous volunteers accounted for roughly 6% of the participants but nearly 20% of the aggregate load reduction on September 7.  </w:t>
      </w:r>
    </w:p>
    <w:p w:rsidR="00677D02" w:rsidRPr="00677D02" w:rsidRDefault="005C3ADC" w:rsidP="005C465D">
      <w:pPr>
        <w:pStyle w:val="TableFigureCaption"/>
      </w:pPr>
      <w:r>
        <w:br w:type="column"/>
      </w:r>
      <w:r w:rsidR="00710A83">
        <w:lastRenderedPageBreak/>
        <w:t>Table 6-4:</w:t>
      </w:r>
      <w:r w:rsidR="007E0558">
        <w:t xml:space="preserve"> </w:t>
      </w:r>
      <w:r w:rsidR="00710A83">
        <w:t>Estimated Ex Post Load Impacts of Multi-DR Participants</w:t>
      </w:r>
      <w:r w:rsidR="00710A83">
        <w:br/>
        <w:t>September 7, 2011 SDG&amp;E CPP Event</w:t>
      </w:r>
    </w:p>
    <w:tbl>
      <w:tblPr>
        <w:tblW w:w="10745" w:type="dxa"/>
        <w:jc w:val="center"/>
        <w:tblLook w:val="04A0"/>
      </w:tblPr>
      <w:tblGrid>
        <w:gridCol w:w="2660"/>
        <w:gridCol w:w="1361"/>
        <w:gridCol w:w="1184"/>
        <w:gridCol w:w="1006"/>
        <w:gridCol w:w="1020"/>
        <w:gridCol w:w="880"/>
        <w:gridCol w:w="1206"/>
        <w:gridCol w:w="1428"/>
      </w:tblGrid>
      <w:tr w:rsidR="00710A83" w:rsidRPr="00710A83" w:rsidTr="00677D02">
        <w:trPr>
          <w:trHeight w:val="1020"/>
          <w:jc w:val="center"/>
        </w:trPr>
        <w:tc>
          <w:tcPr>
            <w:tcW w:w="2660"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Dual and Previous Enrollment</w:t>
            </w:r>
          </w:p>
        </w:tc>
        <w:tc>
          <w:tcPr>
            <w:tcW w:w="1361"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Number of Participants</w:t>
            </w:r>
          </w:p>
        </w:tc>
        <w:tc>
          <w:tcPr>
            <w:tcW w:w="1184"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Average Reference Load  (kW)</w:t>
            </w:r>
          </w:p>
        </w:tc>
        <w:tc>
          <w:tcPr>
            <w:tcW w:w="1006"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 Load Impact</w:t>
            </w:r>
          </w:p>
        </w:tc>
        <w:tc>
          <w:tcPr>
            <w:tcW w:w="1206" w:type="dxa"/>
            <w:tcBorders>
              <w:top w:val="single" w:sz="4" w:space="0" w:color="auto"/>
              <w:left w:val="nil"/>
              <w:bottom w:val="single" w:sz="4" w:space="0" w:color="auto"/>
              <w:right w:val="single" w:sz="4" w:space="0" w:color="FFFFFF"/>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Aggregate Load Impact (MW)</w:t>
            </w:r>
          </w:p>
        </w:tc>
        <w:tc>
          <w:tcPr>
            <w:tcW w:w="1428" w:type="dxa"/>
            <w:tcBorders>
              <w:top w:val="single" w:sz="4" w:space="0" w:color="auto"/>
              <w:left w:val="nil"/>
              <w:bottom w:val="single" w:sz="4" w:space="0" w:color="auto"/>
              <w:right w:val="single" w:sz="4" w:space="0" w:color="auto"/>
            </w:tcBorders>
            <w:shd w:val="clear" w:color="000000" w:fill="1F497D" w:themeFill="text2"/>
            <w:vAlign w:val="center"/>
            <w:hideMark/>
          </w:tcPr>
          <w:p w:rsidR="00710A83" w:rsidRPr="00710A83" w:rsidRDefault="00710A83" w:rsidP="00BB1033">
            <w:pPr>
              <w:pStyle w:val="TableHeader"/>
              <w:rPr>
                <w:rFonts w:eastAsia="Times New Roman"/>
              </w:rPr>
            </w:pPr>
            <w:r w:rsidRPr="00710A83">
              <w:rPr>
                <w:rFonts w:eastAsia="Times New Roman"/>
              </w:rPr>
              <w:t>Average Temperature During Event (°F)</w:t>
            </w:r>
          </w:p>
        </w:tc>
      </w:tr>
      <w:tr w:rsidR="00710A83" w:rsidRPr="00710A83" w:rsidTr="00677D02">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Dually Enrolled: BIP</w:t>
            </w:r>
          </w:p>
        </w:tc>
        <w:tc>
          <w:tcPr>
            <w:tcW w:w="1361"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6</w:t>
            </w:r>
          </w:p>
        </w:tc>
        <w:tc>
          <w:tcPr>
            <w:tcW w:w="1184"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442</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183</w:t>
            </w:r>
          </w:p>
        </w:tc>
        <w:tc>
          <w:tcPr>
            <w:tcW w:w="1020" w:type="dxa"/>
            <w:tcBorders>
              <w:top w:val="nil"/>
              <w:left w:val="nil"/>
              <w:bottom w:val="single" w:sz="4" w:space="0" w:color="auto"/>
              <w:right w:val="single" w:sz="4" w:space="0" w:color="auto"/>
            </w:tcBorders>
            <w:shd w:val="clear" w:color="auto" w:fill="auto"/>
            <w:noWrap/>
            <w:vAlign w:val="bottom"/>
            <w:hideMark/>
          </w:tcPr>
          <w:p w:rsidR="00710A83" w:rsidRPr="00710A83" w:rsidRDefault="00710A83" w:rsidP="00BB1033">
            <w:pPr>
              <w:pStyle w:val="TableText"/>
              <w:jc w:val="center"/>
              <w:rPr>
                <w:rFonts w:eastAsia="Times New Roman"/>
              </w:rPr>
            </w:pPr>
            <w:r w:rsidRPr="00710A83">
              <w:rPr>
                <w:rFonts w:eastAsia="Times New Roman"/>
              </w:rPr>
              <w:t>259</w:t>
            </w:r>
          </w:p>
        </w:tc>
        <w:tc>
          <w:tcPr>
            <w:tcW w:w="880" w:type="dxa"/>
            <w:tcBorders>
              <w:top w:val="nil"/>
              <w:left w:val="nil"/>
              <w:bottom w:val="single" w:sz="4" w:space="0" w:color="auto"/>
              <w:right w:val="single" w:sz="4" w:space="0" w:color="auto"/>
            </w:tcBorders>
            <w:shd w:val="clear" w:color="auto" w:fill="auto"/>
            <w:noWrap/>
            <w:vAlign w:val="bottom"/>
            <w:hideMark/>
          </w:tcPr>
          <w:p w:rsidR="00710A83" w:rsidRPr="00710A83" w:rsidRDefault="00710A83" w:rsidP="00BB1033">
            <w:pPr>
              <w:pStyle w:val="TableText"/>
              <w:jc w:val="center"/>
              <w:rPr>
                <w:rFonts w:eastAsia="Times New Roman"/>
              </w:rPr>
            </w:pPr>
            <w:r w:rsidRPr="00710A83">
              <w:rPr>
                <w:rFonts w:eastAsia="Times New Roman"/>
              </w:rPr>
              <w:t>59%</w:t>
            </w:r>
          </w:p>
        </w:tc>
        <w:tc>
          <w:tcPr>
            <w:tcW w:w="1206" w:type="dxa"/>
            <w:tcBorders>
              <w:top w:val="nil"/>
              <w:left w:val="nil"/>
              <w:bottom w:val="single" w:sz="4" w:space="0" w:color="auto"/>
              <w:right w:val="single" w:sz="4" w:space="0" w:color="auto"/>
            </w:tcBorders>
            <w:shd w:val="clear" w:color="auto" w:fill="auto"/>
            <w:noWrap/>
            <w:vAlign w:val="bottom"/>
            <w:hideMark/>
          </w:tcPr>
          <w:p w:rsidR="00710A83" w:rsidRPr="00710A83" w:rsidRDefault="00710A83" w:rsidP="00BB1033">
            <w:pPr>
              <w:pStyle w:val="TableText"/>
              <w:jc w:val="center"/>
              <w:rPr>
                <w:rFonts w:eastAsia="Times New Roman"/>
              </w:rPr>
            </w:pPr>
            <w:r w:rsidRPr="00710A83">
              <w:rPr>
                <w:rFonts w:eastAsia="Times New Roman"/>
              </w:rPr>
              <w:t>2</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83</w:t>
            </w:r>
          </w:p>
        </w:tc>
      </w:tr>
      <w:tr w:rsidR="00677D02" w:rsidRPr="00710A83" w:rsidTr="00677D02">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Dually Enrolled: CBP</w:t>
            </w:r>
          </w:p>
        </w:tc>
        <w:tc>
          <w:tcPr>
            <w:tcW w:w="1361"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6</w:t>
            </w:r>
          </w:p>
        </w:tc>
        <w:tc>
          <w:tcPr>
            <w:tcW w:w="1184"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281</w:t>
            </w:r>
          </w:p>
        </w:tc>
        <w:tc>
          <w:tcPr>
            <w:tcW w:w="1006"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242</w:t>
            </w:r>
          </w:p>
        </w:tc>
        <w:tc>
          <w:tcPr>
            <w:tcW w:w="1020"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40</w:t>
            </w:r>
          </w:p>
        </w:tc>
        <w:tc>
          <w:tcPr>
            <w:tcW w:w="880"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14%</w:t>
            </w:r>
          </w:p>
        </w:tc>
        <w:tc>
          <w:tcPr>
            <w:tcW w:w="1206"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0</w:t>
            </w:r>
          </w:p>
        </w:tc>
        <w:tc>
          <w:tcPr>
            <w:tcW w:w="1428"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85</w:t>
            </w:r>
          </w:p>
        </w:tc>
      </w:tr>
      <w:tr w:rsidR="00710A83" w:rsidRPr="00710A83" w:rsidTr="00677D02">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Previously on Voluntary CPP</w:t>
            </w:r>
          </w:p>
        </w:tc>
        <w:tc>
          <w:tcPr>
            <w:tcW w:w="1361"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76</w:t>
            </w:r>
          </w:p>
        </w:tc>
        <w:tc>
          <w:tcPr>
            <w:tcW w:w="1184"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353</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305</w:t>
            </w:r>
          </w:p>
        </w:tc>
        <w:tc>
          <w:tcPr>
            <w:tcW w:w="1020" w:type="dxa"/>
            <w:tcBorders>
              <w:top w:val="nil"/>
              <w:left w:val="nil"/>
              <w:bottom w:val="single" w:sz="4" w:space="0" w:color="auto"/>
              <w:right w:val="single" w:sz="4" w:space="0" w:color="auto"/>
            </w:tcBorders>
            <w:shd w:val="clear" w:color="auto" w:fill="auto"/>
            <w:noWrap/>
            <w:vAlign w:val="bottom"/>
            <w:hideMark/>
          </w:tcPr>
          <w:p w:rsidR="00710A83" w:rsidRPr="00710A83" w:rsidRDefault="00710A83" w:rsidP="00BB1033">
            <w:pPr>
              <w:pStyle w:val="TableText"/>
              <w:jc w:val="center"/>
              <w:rPr>
                <w:rFonts w:eastAsia="Times New Roman"/>
              </w:rPr>
            </w:pPr>
            <w:r w:rsidRPr="00710A83">
              <w:rPr>
                <w:rFonts w:eastAsia="Times New Roman"/>
              </w:rPr>
              <w:t>48</w:t>
            </w:r>
          </w:p>
        </w:tc>
        <w:tc>
          <w:tcPr>
            <w:tcW w:w="880" w:type="dxa"/>
            <w:tcBorders>
              <w:top w:val="nil"/>
              <w:left w:val="nil"/>
              <w:bottom w:val="single" w:sz="4" w:space="0" w:color="auto"/>
              <w:right w:val="single" w:sz="4" w:space="0" w:color="auto"/>
            </w:tcBorders>
            <w:shd w:val="clear" w:color="auto" w:fill="auto"/>
            <w:noWrap/>
            <w:vAlign w:val="bottom"/>
            <w:hideMark/>
          </w:tcPr>
          <w:p w:rsidR="00710A83" w:rsidRPr="00710A83" w:rsidRDefault="00710A83" w:rsidP="00BB1033">
            <w:pPr>
              <w:pStyle w:val="TableText"/>
              <w:jc w:val="center"/>
              <w:rPr>
                <w:rFonts w:eastAsia="Times New Roman"/>
              </w:rPr>
            </w:pPr>
            <w:r w:rsidRPr="00710A83">
              <w:rPr>
                <w:rFonts w:eastAsia="Times New Roman"/>
              </w:rPr>
              <w:t>14%</w:t>
            </w:r>
          </w:p>
        </w:tc>
        <w:tc>
          <w:tcPr>
            <w:tcW w:w="1206" w:type="dxa"/>
            <w:tcBorders>
              <w:top w:val="nil"/>
              <w:left w:val="nil"/>
              <w:bottom w:val="single" w:sz="4" w:space="0" w:color="auto"/>
              <w:right w:val="single" w:sz="4" w:space="0" w:color="auto"/>
            </w:tcBorders>
            <w:shd w:val="clear" w:color="auto" w:fill="auto"/>
            <w:noWrap/>
            <w:vAlign w:val="bottom"/>
            <w:hideMark/>
          </w:tcPr>
          <w:p w:rsidR="00710A83" w:rsidRPr="00710A83" w:rsidRDefault="00710A83" w:rsidP="00BB1033">
            <w:pPr>
              <w:pStyle w:val="TableText"/>
              <w:jc w:val="center"/>
              <w:rPr>
                <w:rFonts w:eastAsia="Times New Roman"/>
              </w:rPr>
            </w:pPr>
            <w:r w:rsidRPr="00710A83">
              <w:rPr>
                <w:rFonts w:eastAsia="Times New Roman"/>
              </w:rPr>
              <w:t>4</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90</w:t>
            </w:r>
          </w:p>
        </w:tc>
      </w:tr>
      <w:tr w:rsidR="00677D02" w:rsidRPr="00710A83" w:rsidTr="001A62B1">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Not Dually Enrolled</w:t>
            </w:r>
          </w:p>
        </w:tc>
        <w:tc>
          <w:tcPr>
            <w:tcW w:w="1361"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1205</w:t>
            </w:r>
          </w:p>
        </w:tc>
        <w:tc>
          <w:tcPr>
            <w:tcW w:w="1184"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272</w:t>
            </w:r>
          </w:p>
        </w:tc>
        <w:tc>
          <w:tcPr>
            <w:tcW w:w="1006"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261</w:t>
            </w:r>
          </w:p>
        </w:tc>
        <w:tc>
          <w:tcPr>
            <w:tcW w:w="1020"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11</w:t>
            </w:r>
          </w:p>
        </w:tc>
        <w:tc>
          <w:tcPr>
            <w:tcW w:w="880"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4%</w:t>
            </w:r>
          </w:p>
        </w:tc>
        <w:tc>
          <w:tcPr>
            <w:tcW w:w="1206"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13</w:t>
            </w:r>
          </w:p>
        </w:tc>
        <w:tc>
          <w:tcPr>
            <w:tcW w:w="1428" w:type="dxa"/>
            <w:tcBorders>
              <w:top w:val="nil"/>
              <w:left w:val="nil"/>
              <w:bottom w:val="single" w:sz="4" w:space="0" w:color="auto"/>
              <w:right w:val="single" w:sz="4" w:space="0" w:color="auto"/>
            </w:tcBorders>
            <w:shd w:val="clear" w:color="auto" w:fill="auto"/>
            <w:noWrap/>
            <w:vAlign w:val="center"/>
            <w:hideMark/>
          </w:tcPr>
          <w:p w:rsidR="00677D02" w:rsidRPr="00677D02" w:rsidRDefault="00677D02" w:rsidP="001A62B1">
            <w:pPr>
              <w:spacing w:after="0" w:line="240" w:lineRule="auto"/>
              <w:jc w:val="center"/>
              <w:rPr>
                <w:rFonts w:ascii="Arial" w:eastAsia="Times New Roman" w:hAnsi="Arial" w:cs="Arial"/>
                <w:color w:val="000000"/>
                <w:sz w:val="18"/>
                <w:szCs w:val="18"/>
              </w:rPr>
            </w:pPr>
            <w:r w:rsidRPr="00677D02">
              <w:rPr>
                <w:rFonts w:ascii="Arial" w:eastAsia="Times New Roman" w:hAnsi="Arial" w:cs="Arial"/>
                <w:color w:val="000000"/>
                <w:sz w:val="18"/>
                <w:szCs w:val="18"/>
              </w:rPr>
              <w:t>86</w:t>
            </w:r>
          </w:p>
        </w:tc>
      </w:tr>
      <w:tr w:rsidR="00710A83" w:rsidRPr="00710A83" w:rsidTr="00677D02">
        <w:trPr>
          <w:trHeight w:val="300"/>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Population Totals</w:t>
            </w:r>
          </w:p>
        </w:tc>
        <w:tc>
          <w:tcPr>
            <w:tcW w:w="1361"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1,293</w:t>
            </w:r>
          </w:p>
        </w:tc>
        <w:tc>
          <w:tcPr>
            <w:tcW w:w="1184"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277</w:t>
            </w:r>
          </w:p>
        </w:tc>
        <w:tc>
          <w:tcPr>
            <w:tcW w:w="10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263</w:t>
            </w:r>
          </w:p>
        </w:tc>
        <w:tc>
          <w:tcPr>
            <w:tcW w:w="102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14</w:t>
            </w:r>
          </w:p>
        </w:tc>
        <w:tc>
          <w:tcPr>
            <w:tcW w:w="880"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5%</w:t>
            </w:r>
          </w:p>
        </w:tc>
        <w:tc>
          <w:tcPr>
            <w:tcW w:w="1206"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19</w:t>
            </w:r>
          </w:p>
        </w:tc>
        <w:tc>
          <w:tcPr>
            <w:tcW w:w="1428" w:type="dxa"/>
            <w:tcBorders>
              <w:top w:val="nil"/>
              <w:left w:val="nil"/>
              <w:bottom w:val="single" w:sz="4" w:space="0" w:color="auto"/>
              <w:right w:val="single" w:sz="4" w:space="0" w:color="auto"/>
            </w:tcBorders>
            <w:shd w:val="clear" w:color="auto" w:fill="auto"/>
            <w:noWrap/>
            <w:vAlign w:val="center"/>
            <w:hideMark/>
          </w:tcPr>
          <w:p w:rsidR="00710A83" w:rsidRPr="00710A83" w:rsidRDefault="00710A83" w:rsidP="00BB1033">
            <w:pPr>
              <w:pStyle w:val="TableText"/>
              <w:jc w:val="center"/>
              <w:rPr>
                <w:rFonts w:eastAsia="Times New Roman"/>
              </w:rPr>
            </w:pPr>
            <w:r w:rsidRPr="00710A83">
              <w:rPr>
                <w:rFonts w:eastAsia="Times New Roman"/>
              </w:rPr>
              <w:t>86</w:t>
            </w:r>
          </w:p>
        </w:tc>
      </w:tr>
    </w:tbl>
    <w:p w:rsidR="00710A83" w:rsidRDefault="00710A83" w:rsidP="005C465D">
      <w:pPr>
        <w:pStyle w:val="BodyParagraph"/>
      </w:pPr>
    </w:p>
    <w:p w:rsidR="00831FDB" w:rsidRDefault="00831FDB" w:rsidP="005C465D">
      <w:pPr>
        <w:pStyle w:val="BodyParagraph"/>
      </w:pPr>
    </w:p>
    <w:p w:rsidR="00831FDB" w:rsidRDefault="00831FDB" w:rsidP="005C465D">
      <w:pPr>
        <w:pStyle w:val="BodyParagraph"/>
      </w:pPr>
    </w:p>
    <w:p w:rsidR="00831FDB" w:rsidRDefault="00831FDB" w:rsidP="005C465D">
      <w:pPr>
        <w:pStyle w:val="BodyParagraph"/>
      </w:pPr>
    </w:p>
    <w:p w:rsidR="00831FDB" w:rsidRDefault="00831FDB" w:rsidP="005C465D">
      <w:pPr>
        <w:pStyle w:val="BodyParagraph"/>
      </w:pPr>
    </w:p>
    <w:p w:rsidR="00831FDB" w:rsidRDefault="00831FDB" w:rsidP="005C465D">
      <w:pPr>
        <w:pStyle w:val="BodyParagraph"/>
      </w:pPr>
    </w:p>
    <w:p w:rsidR="00831FDB" w:rsidRDefault="00831FDB" w:rsidP="005C465D">
      <w:pPr>
        <w:pStyle w:val="BodyParagraph"/>
        <w:sectPr w:rsidR="00831FDB" w:rsidSect="004433C4">
          <w:headerReference w:type="default" r:id="rId32"/>
          <w:pgSz w:w="12240" w:h="15840"/>
          <w:pgMar w:top="1440" w:right="1440" w:bottom="1440" w:left="1440" w:header="720" w:footer="720" w:gutter="0"/>
          <w:cols w:space="720"/>
          <w:docGrid w:linePitch="360"/>
        </w:sectPr>
      </w:pPr>
    </w:p>
    <w:p w:rsidR="00710A83" w:rsidRDefault="00584CF1" w:rsidP="005C465D">
      <w:pPr>
        <w:pStyle w:val="TableFigureCaption"/>
      </w:pPr>
      <w:r>
        <w:lastRenderedPageBreak/>
        <w:t>Figure 6-4</w:t>
      </w:r>
      <w:r w:rsidR="00710A83" w:rsidRPr="00753C27">
        <w:t>:</w:t>
      </w:r>
      <w:r w:rsidR="00710A83">
        <w:br/>
        <w:t>2011</w:t>
      </w:r>
      <w:r w:rsidR="00710A83" w:rsidRPr="00753C27">
        <w:t xml:space="preserve"> </w:t>
      </w:r>
      <w:r w:rsidR="00710A83">
        <w:t>Hourly Ex Post Aggregate Load Impacts for BIP Customers Dually-enrolled in CPP</w:t>
      </w:r>
      <w:r w:rsidR="00710A83" w:rsidRPr="00753C27">
        <w:t xml:space="preserve"> </w:t>
      </w:r>
      <w:r w:rsidR="00710A83">
        <w:br/>
        <w:t>September 7, 2011 Weekday Event</w:t>
      </w:r>
    </w:p>
    <w:p w:rsidR="00710A83" w:rsidRDefault="00831FDB" w:rsidP="005C465D">
      <w:pPr>
        <w:pStyle w:val="BodyParaAfterTableFigure"/>
      </w:pPr>
      <w:r>
        <w:rPr>
          <w:noProof/>
        </w:rPr>
        <w:drawing>
          <wp:inline distT="0" distB="0" distL="0" distR="0">
            <wp:extent cx="8229600" cy="4297394"/>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8229600" cy="4297394"/>
                    </a:xfrm>
                    <a:prstGeom prst="rect">
                      <a:avLst/>
                    </a:prstGeom>
                    <a:noFill/>
                    <a:ln w="9525">
                      <a:noFill/>
                      <a:miter lim="800000"/>
                      <a:headEnd/>
                      <a:tailEnd/>
                    </a:ln>
                  </pic:spPr>
                </pic:pic>
              </a:graphicData>
            </a:graphic>
          </wp:inline>
        </w:drawing>
      </w:r>
    </w:p>
    <w:p w:rsidR="00710A83" w:rsidRDefault="00710A83" w:rsidP="00710A83">
      <w:pPr>
        <w:jc w:val="center"/>
        <w:rPr>
          <w:b/>
        </w:rPr>
      </w:pPr>
    </w:p>
    <w:p w:rsidR="00831FDB" w:rsidRDefault="00831FDB" w:rsidP="00831FDB">
      <w:pPr>
        <w:rPr>
          <w:b/>
        </w:rPr>
      </w:pPr>
    </w:p>
    <w:p w:rsidR="00831FDB" w:rsidRDefault="00831FDB" w:rsidP="00710A83">
      <w:pPr>
        <w:jc w:val="center"/>
        <w:rPr>
          <w:b/>
        </w:rPr>
        <w:sectPr w:rsidR="00831FDB" w:rsidSect="004433C4">
          <w:headerReference w:type="default" r:id="rId34"/>
          <w:pgSz w:w="15840" w:h="12240" w:orient="landscape"/>
          <w:pgMar w:top="1440" w:right="1440" w:bottom="1440" w:left="1440" w:header="720" w:footer="720" w:gutter="0"/>
          <w:cols w:space="720"/>
          <w:docGrid w:linePitch="360"/>
        </w:sectPr>
      </w:pPr>
    </w:p>
    <w:p w:rsidR="00710A83" w:rsidRDefault="00710A83" w:rsidP="005C465D">
      <w:pPr>
        <w:pStyle w:val="Heading2"/>
      </w:pPr>
      <w:bookmarkStart w:id="92" w:name="_Toc318473867"/>
      <w:bookmarkStart w:id="93" w:name="_Toc326072126"/>
      <w:r>
        <w:lastRenderedPageBreak/>
        <w:t xml:space="preserve">TI and </w:t>
      </w:r>
      <w:proofErr w:type="spellStart"/>
      <w:r>
        <w:t>AutoDR</w:t>
      </w:r>
      <w:proofErr w:type="spellEnd"/>
      <w:r>
        <w:t xml:space="preserve"> Load Impacts and Realization Rates</w:t>
      </w:r>
      <w:bookmarkEnd w:id="92"/>
      <w:bookmarkEnd w:id="93"/>
      <w:r>
        <w:t xml:space="preserve"> </w:t>
      </w:r>
    </w:p>
    <w:p w:rsidR="00710A83" w:rsidRDefault="00710A83" w:rsidP="005C465D">
      <w:pPr>
        <w:pStyle w:val="BodyParagraph"/>
      </w:pPr>
      <w:r>
        <w:t xml:space="preserve">Table 6-5 shows the September 7, 2011 weekday event load impacts for customers enrolled in TI and </w:t>
      </w:r>
      <w:proofErr w:type="spellStart"/>
      <w:r>
        <w:t>AutoDR</w:t>
      </w:r>
      <w:proofErr w:type="spellEnd"/>
      <w:r>
        <w:t xml:space="preserve">.  Customers on TI and </w:t>
      </w:r>
      <w:proofErr w:type="spellStart"/>
      <w:r>
        <w:t>AutoDR</w:t>
      </w:r>
      <w:proofErr w:type="spellEnd"/>
      <w:r>
        <w:t xml:space="preserve"> show larger than average percent impacts of 10.0% and 8.6%, respectively.  However, given the extremely small number of customers on TI and </w:t>
      </w:r>
      <w:proofErr w:type="spellStart"/>
      <w:r>
        <w:t>AutoDR</w:t>
      </w:r>
      <w:proofErr w:type="spellEnd"/>
      <w:r>
        <w:t xml:space="preserve">, the point impact estimates are surrounded by a significant amount of uncertainty.  And while the average per customer load impact for TI customers is almost three times greater than that provided by </w:t>
      </w:r>
      <w:proofErr w:type="spellStart"/>
      <w:r>
        <w:t>AutoDR</w:t>
      </w:r>
      <w:proofErr w:type="spellEnd"/>
      <w:r>
        <w:t xml:space="preserve"> customers, the aggregate load impacts from these customers are similar (0.8 MW vs. 1.0 MW).  This is because there are almost four times as many customers on </w:t>
      </w:r>
      <w:proofErr w:type="spellStart"/>
      <w:r>
        <w:t>AutoDR</w:t>
      </w:r>
      <w:proofErr w:type="spellEnd"/>
      <w:r>
        <w:t xml:space="preserve"> as there are on TI.</w:t>
      </w:r>
    </w:p>
    <w:p w:rsidR="00710A83" w:rsidRDefault="00710A83" w:rsidP="005C465D">
      <w:pPr>
        <w:pStyle w:val="BodyParagraph"/>
      </w:pPr>
      <w:r>
        <w:t xml:space="preserve">As was true for the analysis of TI and </w:t>
      </w:r>
      <w:proofErr w:type="spellStart"/>
      <w:r>
        <w:t>AutoDR</w:t>
      </w:r>
      <w:proofErr w:type="spellEnd"/>
      <w:r>
        <w:t xml:space="preserve"> for PG&amp;E and SCE, analysis of realization rates for SDG&amp;E CPP customers is severely hampered by the small number of customers that participated in the two complementary programs.  At SDG&amp;E, there were </w:t>
      </w:r>
      <w:r w:rsidR="00236063">
        <w:t>6</w:t>
      </w:r>
      <w:r>
        <w:t xml:space="preserve"> TI participants and 22 </w:t>
      </w:r>
      <w:proofErr w:type="spellStart"/>
      <w:r>
        <w:t>AutoDR</w:t>
      </w:r>
      <w:proofErr w:type="spellEnd"/>
      <w:r>
        <w:t xml:space="preserve"> participants.  As such, the realization rate estimates contained in Table 6-5 should be used with caution.  The same pattern of wide uncertainty bands that was seen for PG&amp;E and SCE is also seen in Table 6-6.  Although there are 22 </w:t>
      </w:r>
      <w:proofErr w:type="spellStart"/>
      <w:r>
        <w:t>AutoDR</w:t>
      </w:r>
      <w:proofErr w:type="spellEnd"/>
      <w:r>
        <w:t xml:space="preserve"> customers, the range of uncertainty for these customers is greater than the range of uncertainty for the </w:t>
      </w:r>
      <w:r w:rsidR="00965498">
        <w:t xml:space="preserve">6 </w:t>
      </w:r>
      <w:r>
        <w:t xml:space="preserve">TI customers.  This is probably because the model had </w:t>
      </w:r>
      <w:r w:rsidR="001A62B1">
        <w:t xml:space="preserve">less predictive capability </w:t>
      </w:r>
      <w:r>
        <w:t xml:space="preserve">for </w:t>
      </w:r>
      <w:proofErr w:type="spellStart"/>
      <w:r>
        <w:t>AutoDR</w:t>
      </w:r>
      <w:proofErr w:type="spellEnd"/>
      <w:r>
        <w:t xml:space="preserve"> customers </w:t>
      </w:r>
      <w:r w:rsidR="001A62B1">
        <w:t xml:space="preserve">than for TI customers </w:t>
      </w:r>
      <w:r>
        <w:t>due to irregular load profiles and/or other</w:t>
      </w:r>
      <w:r w:rsidR="004433C4">
        <w:t> </w:t>
      </w:r>
      <w:r>
        <w:t xml:space="preserve">factors. </w:t>
      </w:r>
    </w:p>
    <w:p w:rsidR="00710A83" w:rsidRDefault="00710A83" w:rsidP="005C465D">
      <w:pPr>
        <w:pStyle w:val="TableFigureCaption"/>
      </w:pPr>
      <w:r>
        <w:t>Table 6-5</w:t>
      </w:r>
      <w:r w:rsidRPr="00E96490">
        <w:t>:</w:t>
      </w:r>
      <w:r w:rsidR="007E0558">
        <w:t xml:space="preserve"> </w:t>
      </w:r>
      <w:r>
        <w:t xml:space="preserve">Estimated Ex Post Load Impacts of TI &amp; </w:t>
      </w:r>
      <w:proofErr w:type="spellStart"/>
      <w:r>
        <w:t>AutoDR</w:t>
      </w:r>
      <w:proofErr w:type="spellEnd"/>
      <w:r>
        <w:t xml:space="preserve"> Participants</w:t>
      </w:r>
      <w:r>
        <w:br/>
        <w:t>September 7, 2011 SDG&amp;E CPP Event</w:t>
      </w:r>
    </w:p>
    <w:tbl>
      <w:tblPr>
        <w:tblW w:w="9807" w:type="dxa"/>
        <w:jc w:val="center"/>
        <w:tblInd w:w="627" w:type="dxa"/>
        <w:tblLook w:val="04A0"/>
      </w:tblPr>
      <w:tblGrid>
        <w:gridCol w:w="2033"/>
        <w:gridCol w:w="1247"/>
        <w:gridCol w:w="1087"/>
        <w:gridCol w:w="1000"/>
        <w:gridCol w:w="1020"/>
        <w:gridCol w:w="880"/>
        <w:gridCol w:w="1120"/>
        <w:gridCol w:w="1420"/>
      </w:tblGrid>
      <w:tr w:rsidR="00831FDB" w:rsidRPr="00831FDB" w:rsidTr="00BB1033">
        <w:trPr>
          <w:trHeight w:val="960"/>
          <w:jc w:val="center"/>
        </w:trPr>
        <w:tc>
          <w:tcPr>
            <w:tcW w:w="2033"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Variable</w:t>
            </w:r>
          </w:p>
        </w:tc>
        <w:tc>
          <w:tcPr>
            <w:tcW w:w="1247" w:type="dxa"/>
            <w:tcBorders>
              <w:top w:val="single" w:sz="4" w:space="0" w:color="auto"/>
              <w:left w:val="nil"/>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Number of Participants</w:t>
            </w:r>
          </w:p>
        </w:tc>
        <w:tc>
          <w:tcPr>
            <w:tcW w:w="1087" w:type="dxa"/>
            <w:tcBorders>
              <w:top w:val="single" w:sz="4" w:space="0" w:color="auto"/>
              <w:left w:val="nil"/>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Average Reference Load  (kW)</w:t>
            </w:r>
          </w:p>
        </w:tc>
        <w:tc>
          <w:tcPr>
            <w:tcW w:w="1000" w:type="dxa"/>
            <w:tcBorders>
              <w:top w:val="single" w:sz="4" w:space="0" w:color="auto"/>
              <w:left w:val="nil"/>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Average Load with DR (kW)</w:t>
            </w:r>
          </w:p>
        </w:tc>
        <w:tc>
          <w:tcPr>
            <w:tcW w:w="1020" w:type="dxa"/>
            <w:tcBorders>
              <w:top w:val="single" w:sz="4" w:space="0" w:color="auto"/>
              <w:left w:val="nil"/>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Average Load Impact (kW)</w:t>
            </w:r>
          </w:p>
        </w:tc>
        <w:tc>
          <w:tcPr>
            <w:tcW w:w="880" w:type="dxa"/>
            <w:tcBorders>
              <w:top w:val="single" w:sz="4" w:space="0" w:color="auto"/>
              <w:left w:val="nil"/>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 Load Impact</w:t>
            </w:r>
          </w:p>
        </w:tc>
        <w:tc>
          <w:tcPr>
            <w:tcW w:w="1120" w:type="dxa"/>
            <w:tcBorders>
              <w:top w:val="single" w:sz="4" w:space="0" w:color="auto"/>
              <w:left w:val="nil"/>
              <w:bottom w:val="single" w:sz="4" w:space="0" w:color="auto"/>
              <w:right w:val="single" w:sz="4" w:space="0" w:color="FFFFFF"/>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Aggregate Load Impact (MW)</w:t>
            </w:r>
          </w:p>
        </w:tc>
        <w:tc>
          <w:tcPr>
            <w:tcW w:w="1420" w:type="dxa"/>
            <w:tcBorders>
              <w:top w:val="single" w:sz="4" w:space="0" w:color="auto"/>
              <w:left w:val="nil"/>
              <w:bottom w:val="single" w:sz="4" w:space="0" w:color="auto"/>
              <w:right w:val="single" w:sz="4" w:space="0" w:color="auto"/>
            </w:tcBorders>
            <w:shd w:val="clear" w:color="000000" w:fill="1F497D" w:themeFill="text2"/>
            <w:vAlign w:val="center"/>
            <w:hideMark/>
          </w:tcPr>
          <w:p w:rsidR="00831FDB" w:rsidRPr="00BB1033" w:rsidRDefault="00831FDB" w:rsidP="00BB1033">
            <w:pPr>
              <w:pStyle w:val="TableHeader"/>
              <w:rPr>
                <w:rFonts w:eastAsia="Times New Roman"/>
                <w:sz w:val="18"/>
                <w:szCs w:val="18"/>
              </w:rPr>
            </w:pPr>
            <w:r w:rsidRPr="00BB1033">
              <w:rPr>
                <w:rFonts w:eastAsia="Times New Roman"/>
                <w:sz w:val="18"/>
                <w:szCs w:val="18"/>
              </w:rPr>
              <w:t>Average Temperature During Event (°F)</w:t>
            </w:r>
          </w:p>
        </w:tc>
      </w:tr>
      <w:tr w:rsidR="00831FDB" w:rsidRPr="00831FDB" w:rsidTr="00BB1033">
        <w:trPr>
          <w:trHeight w:val="300"/>
          <w:jc w:val="center"/>
        </w:trPr>
        <w:tc>
          <w:tcPr>
            <w:tcW w:w="2033" w:type="dxa"/>
            <w:tcBorders>
              <w:top w:val="nil"/>
              <w:left w:val="single" w:sz="4" w:space="0" w:color="auto"/>
              <w:bottom w:val="single" w:sz="4" w:space="0" w:color="auto"/>
              <w:right w:val="single" w:sz="4" w:space="0" w:color="auto"/>
            </w:tcBorders>
            <w:shd w:val="clear" w:color="000000" w:fill="FFFFFF"/>
            <w:vAlign w:val="center"/>
            <w:hideMark/>
          </w:tcPr>
          <w:p w:rsidR="00831FDB" w:rsidRPr="00831FDB" w:rsidRDefault="00831FDB" w:rsidP="00BB1033">
            <w:pPr>
              <w:pStyle w:val="TableText"/>
              <w:rPr>
                <w:rFonts w:eastAsia="Times New Roman"/>
              </w:rPr>
            </w:pPr>
            <w:r w:rsidRPr="00831FDB">
              <w:rPr>
                <w:rFonts w:eastAsia="Times New Roman"/>
              </w:rPr>
              <w:t>Technical Incentives (TI)</w:t>
            </w:r>
          </w:p>
        </w:tc>
        <w:tc>
          <w:tcPr>
            <w:tcW w:w="124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6</w:t>
            </w:r>
          </w:p>
        </w:tc>
        <w:tc>
          <w:tcPr>
            <w:tcW w:w="108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1276</w:t>
            </w:r>
          </w:p>
        </w:tc>
        <w:tc>
          <w:tcPr>
            <w:tcW w:w="100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1148</w:t>
            </w:r>
          </w:p>
        </w:tc>
        <w:tc>
          <w:tcPr>
            <w:tcW w:w="102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128</w:t>
            </w:r>
          </w:p>
        </w:tc>
        <w:tc>
          <w:tcPr>
            <w:tcW w:w="88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10%</w:t>
            </w:r>
          </w:p>
        </w:tc>
        <w:tc>
          <w:tcPr>
            <w:tcW w:w="112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1</w:t>
            </w:r>
          </w:p>
        </w:tc>
        <w:tc>
          <w:tcPr>
            <w:tcW w:w="142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85</w:t>
            </w:r>
          </w:p>
        </w:tc>
      </w:tr>
      <w:tr w:rsidR="00831FDB" w:rsidRPr="00831FDB" w:rsidTr="00BB1033">
        <w:trPr>
          <w:trHeight w:val="300"/>
          <w:jc w:val="center"/>
        </w:trPr>
        <w:tc>
          <w:tcPr>
            <w:tcW w:w="2033" w:type="dxa"/>
            <w:tcBorders>
              <w:top w:val="nil"/>
              <w:left w:val="single" w:sz="4" w:space="0" w:color="auto"/>
              <w:bottom w:val="single" w:sz="4" w:space="0" w:color="auto"/>
              <w:right w:val="single" w:sz="4" w:space="0" w:color="auto"/>
            </w:tcBorders>
            <w:shd w:val="clear" w:color="000000" w:fill="FFFFFF"/>
            <w:noWrap/>
            <w:vAlign w:val="center"/>
            <w:hideMark/>
          </w:tcPr>
          <w:p w:rsidR="00831FDB" w:rsidRPr="00831FDB" w:rsidRDefault="00831FDB" w:rsidP="00BB1033">
            <w:pPr>
              <w:pStyle w:val="TableText"/>
              <w:rPr>
                <w:rFonts w:eastAsia="Times New Roman"/>
              </w:rPr>
            </w:pPr>
            <w:proofErr w:type="spellStart"/>
            <w:r w:rsidRPr="00831FDB">
              <w:rPr>
                <w:rFonts w:eastAsia="Times New Roman"/>
              </w:rPr>
              <w:t>AutoDR</w:t>
            </w:r>
            <w:proofErr w:type="spellEnd"/>
          </w:p>
        </w:tc>
        <w:tc>
          <w:tcPr>
            <w:tcW w:w="124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22</w:t>
            </w:r>
          </w:p>
        </w:tc>
        <w:tc>
          <w:tcPr>
            <w:tcW w:w="108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514</w:t>
            </w:r>
          </w:p>
        </w:tc>
        <w:tc>
          <w:tcPr>
            <w:tcW w:w="100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470</w:t>
            </w:r>
          </w:p>
        </w:tc>
        <w:tc>
          <w:tcPr>
            <w:tcW w:w="102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44</w:t>
            </w:r>
          </w:p>
        </w:tc>
        <w:tc>
          <w:tcPr>
            <w:tcW w:w="88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9%</w:t>
            </w:r>
          </w:p>
        </w:tc>
        <w:tc>
          <w:tcPr>
            <w:tcW w:w="112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1</w:t>
            </w:r>
          </w:p>
        </w:tc>
        <w:tc>
          <w:tcPr>
            <w:tcW w:w="1420"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BB1033">
            <w:pPr>
              <w:pStyle w:val="TableText"/>
              <w:jc w:val="center"/>
              <w:rPr>
                <w:rFonts w:eastAsia="Times New Roman"/>
              </w:rPr>
            </w:pPr>
            <w:r w:rsidRPr="00831FDB">
              <w:rPr>
                <w:rFonts w:eastAsia="Times New Roman"/>
              </w:rPr>
              <w:t>84</w:t>
            </w:r>
          </w:p>
        </w:tc>
      </w:tr>
    </w:tbl>
    <w:p w:rsidR="00710A83" w:rsidRDefault="00710A83" w:rsidP="007E0558">
      <w:pPr>
        <w:pStyle w:val="TableFigureCaption"/>
        <w:spacing w:before="360"/>
      </w:pPr>
      <w:r>
        <w:t>Table 6-6</w:t>
      </w:r>
      <w:r w:rsidRPr="00E96490">
        <w:t>:</w:t>
      </w:r>
      <w:r w:rsidR="007E0558">
        <w:t xml:space="preserve"> </w:t>
      </w:r>
      <w:r>
        <w:t>Realization Rates</w:t>
      </w:r>
    </w:p>
    <w:tbl>
      <w:tblPr>
        <w:tblW w:w="9758" w:type="dxa"/>
        <w:jc w:val="center"/>
        <w:tblInd w:w="-356" w:type="dxa"/>
        <w:tblLook w:val="04A0"/>
      </w:tblPr>
      <w:tblGrid>
        <w:gridCol w:w="2345"/>
        <w:gridCol w:w="707"/>
        <w:gridCol w:w="1386"/>
        <w:gridCol w:w="1077"/>
        <w:gridCol w:w="1077"/>
        <w:gridCol w:w="1077"/>
        <w:gridCol w:w="1077"/>
        <w:gridCol w:w="1165"/>
      </w:tblGrid>
      <w:tr w:rsidR="00831FDB" w:rsidRPr="004433C4" w:rsidTr="00BB1033">
        <w:trPr>
          <w:trHeight w:val="300"/>
          <w:jc w:val="center"/>
        </w:trPr>
        <w:tc>
          <w:tcPr>
            <w:tcW w:w="2345" w:type="dxa"/>
            <w:vMerge w:val="restart"/>
            <w:tcBorders>
              <w:top w:val="single" w:sz="4" w:space="0" w:color="auto"/>
              <w:left w:val="single" w:sz="4" w:space="0" w:color="auto"/>
              <w:bottom w:val="single" w:sz="4" w:space="0" w:color="000000"/>
              <w:right w:val="single" w:sz="4" w:space="0" w:color="FFFFFF"/>
            </w:tcBorders>
            <w:shd w:val="clear" w:color="auto" w:fill="1F497D" w:themeFill="text2"/>
            <w:noWrap/>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Variable</w:t>
            </w:r>
          </w:p>
        </w:tc>
        <w:tc>
          <w:tcPr>
            <w:tcW w:w="554" w:type="dxa"/>
            <w:vMerge w:val="restart"/>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Accts</w:t>
            </w:r>
          </w:p>
        </w:tc>
        <w:tc>
          <w:tcPr>
            <w:tcW w:w="1386" w:type="dxa"/>
            <w:vMerge w:val="restart"/>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Aggregate Approved kW</w:t>
            </w:r>
          </w:p>
        </w:tc>
        <w:tc>
          <w:tcPr>
            <w:tcW w:w="5473" w:type="dxa"/>
            <w:gridSpan w:val="5"/>
            <w:tcBorders>
              <w:top w:val="single" w:sz="4" w:space="0" w:color="auto"/>
              <w:left w:val="nil"/>
              <w:bottom w:val="single" w:sz="4" w:space="0" w:color="FFFFFF"/>
              <w:right w:val="single" w:sz="4" w:space="0" w:color="000000"/>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Realization Rate</w:t>
            </w:r>
          </w:p>
        </w:tc>
      </w:tr>
      <w:tr w:rsidR="00831FDB" w:rsidRPr="004433C4" w:rsidTr="00BB1033">
        <w:trPr>
          <w:trHeight w:val="765"/>
          <w:jc w:val="center"/>
        </w:trPr>
        <w:tc>
          <w:tcPr>
            <w:tcW w:w="2345" w:type="dxa"/>
            <w:vMerge/>
            <w:tcBorders>
              <w:top w:val="single" w:sz="4" w:space="0" w:color="auto"/>
              <w:left w:val="single" w:sz="4" w:space="0" w:color="auto"/>
              <w:bottom w:val="single" w:sz="4" w:space="0" w:color="000000"/>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p>
        </w:tc>
        <w:tc>
          <w:tcPr>
            <w:tcW w:w="554" w:type="dxa"/>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p>
        </w:tc>
        <w:tc>
          <w:tcPr>
            <w:tcW w:w="1386" w:type="dxa"/>
            <w:vMerge/>
            <w:tcBorders>
              <w:top w:val="single" w:sz="4" w:space="0" w:color="auto"/>
              <w:left w:val="single" w:sz="4" w:space="0" w:color="FFFFFF"/>
              <w:bottom w:val="single" w:sz="4" w:space="0" w:color="000000"/>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p>
        </w:tc>
        <w:tc>
          <w:tcPr>
            <w:tcW w:w="1077" w:type="dxa"/>
            <w:tcBorders>
              <w:top w:val="nil"/>
              <w:left w:val="nil"/>
              <w:bottom w:val="single" w:sz="4" w:space="0" w:color="auto"/>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10th Percentile</w:t>
            </w:r>
          </w:p>
        </w:tc>
        <w:tc>
          <w:tcPr>
            <w:tcW w:w="1077" w:type="dxa"/>
            <w:tcBorders>
              <w:top w:val="nil"/>
              <w:left w:val="nil"/>
              <w:bottom w:val="single" w:sz="4" w:space="0" w:color="auto"/>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30th Percentile</w:t>
            </w:r>
          </w:p>
        </w:tc>
        <w:tc>
          <w:tcPr>
            <w:tcW w:w="1077" w:type="dxa"/>
            <w:tcBorders>
              <w:top w:val="nil"/>
              <w:left w:val="nil"/>
              <w:bottom w:val="single" w:sz="4" w:space="0" w:color="auto"/>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50th Percentile</w:t>
            </w:r>
          </w:p>
        </w:tc>
        <w:tc>
          <w:tcPr>
            <w:tcW w:w="1077" w:type="dxa"/>
            <w:tcBorders>
              <w:top w:val="nil"/>
              <w:left w:val="nil"/>
              <w:bottom w:val="single" w:sz="4" w:space="0" w:color="auto"/>
              <w:right w:val="single" w:sz="4" w:space="0" w:color="FFFFFF"/>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70th Percentile</w:t>
            </w:r>
          </w:p>
        </w:tc>
        <w:tc>
          <w:tcPr>
            <w:tcW w:w="1165" w:type="dxa"/>
            <w:tcBorders>
              <w:top w:val="nil"/>
              <w:left w:val="nil"/>
              <w:bottom w:val="single" w:sz="4" w:space="0" w:color="auto"/>
              <w:right w:val="single" w:sz="4" w:space="0" w:color="auto"/>
            </w:tcBorders>
            <w:shd w:val="clear" w:color="auto" w:fill="1F497D" w:themeFill="text2"/>
            <w:vAlign w:val="center"/>
            <w:hideMark/>
          </w:tcPr>
          <w:p w:rsidR="00831FDB" w:rsidRPr="004433C4" w:rsidRDefault="00831FDB" w:rsidP="004433C4">
            <w:pPr>
              <w:pStyle w:val="TableHeader"/>
              <w:rPr>
                <w:rFonts w:eastAsia="Times New Roman"/>
                <w:sz w:val="18"/>
                <w:szCs w:val="18"/>
              </w:rPr>
            </w:pPr>
            <w:r w:rsidRPr="004433C4">
              <w:rPr>
                <w:rFonts w:eastAsia="Times New Roman"/>
                <w:sz w:val="18"/>
                <w:szCs w:val="18"/>
              </w:rPr>
              <w:t>90th Percentile</w:t>
            </w:r>
          </w:p>
        </w:tc>
      </w:tr>
      <w:tr w:rsidR="00831FDB" w:rsidRPr="00831FDB" w:rsidTr="00BB1033">
        <w:trPr>
          <w:trHeight w:val="300"/>
          <w:jc w:val="center"/>
        </w:trPr>
        <w:tc>
          <w:tcPr>
            <w:tcW w:w="2345" w:type="dxa"/>
            <w:tcBorders>
              <w:top w:val="nil"/>
              <w:left w:val="single" w:sz="4" w:space="0" w:color="auto"/>
              <w:bottom w:val="single" w:sz="4" w:space="0" w:color="auto"/>
              <w:right w:val="single" w:sz="4" w:space="0" w:color="auto"/>
            </w:tcBorders>
            <w:shd w:val="clear" w:color="000000" w:fill="FFFFFF"/>
            <w:noWrap/>
            <w:vAlign w:val="center"/>
            <w:hideMark/>
          </w:tcPr>
          <w:p w:rsidR="00831FDB" w:rsidRPr="00831FDB" w:rsidRDefault="00831FDB" w:rsidP="00E7532F">
            <w:pPr>
              <w:pStyle w:val="TableText"/>
              <w:rPr>
                <w:rFonts w:eastAsia="Times New Roman"/>
              </w:rPr>
            </w:pPr>
            <w:r w:rsidRPr="00831FDB">
              <w:rPr>
                <w:rFonts w:eastAsia="Times New Roman"/>
              </w:rPr>
              <w:t>Technical Incentives (TI)</w:t>
            </w:r>
          </w:p>
        </w:tc>
        <w:tc>
          <w:tcPr>
            <w:tcW w:w="554"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ascii="Calibri" w:eastAsia="Times New Roman" w:hAnsi="Calibri" w:cs="Calibri"/>
              </w:rPr>
            </w:pPr>
            <w:r w:rsidRPr="00831FDB">
              <w:rPr>
                <w:rFonts w:ascii="Calibri" w:eastAsia="Times New Roman" w:hAnsi="Calibri" w:cs="Calibri"/>
              </w:rPr>
              <w:t>6</w:t>
            </w:r>
          </w:p>
        </w:tc>
        <w:tc>
          <w:tcPr>
            <w:tcW w:w="1386" w:type="dxa"/>
            <w:tcBorders>
              <w:top w:val="nil"/>
              <w:left w:val="nil"/>
              <w:bottom w:val="single" w:sz="4" w:space="0" w:color="auto"/>
              <w:right w:val="single" w:sz="4" w:space="0" w:color="auto"/>
            </w:tcBorders>
            <w:shd w:val="clear" w:color="000000" w:fill="FFFFFF"/>
            <w:noWrap/>
            <w:vAlign w:val="center"/>
            <w:hideMark/>
          </w:tcPr>
          <w:p w:rsidR="00831FDB" w:rsidRPr="00831FDB" w:rsidRDefault="00831FDB" w:rsidP="00E7532F">
            <w:pPr>
              <w:pStyle w:val="TableText"/>
              <w:jc w:val="center"/>
              <w:rPr>
                <w:rFonts w:eastAsia="Times New Roman"/>
              </w:rPr>
            </w:pPr>
            <w:r w:rsidRPr="00831FDB">
              <w:rPr>
                <w:rFonts w:eastAsia="Times New Roman"/>
              </w:rPr>
              <w:t>3354</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-3%</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12%</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23%</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33%</w:t>
            </w:r>
          </w:p>
        </w:tc>
        <w:tc>
          <w:tcPr>
            <w:tcW w:w="1165"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49%</w:t>
            </w:r>
          </w:p>
        </w:tc>
      </w:tr>
      <w:tr w:rsidR="00831FDB" w:rsidRPr="00831FDB" w:rsidTr="00BB1033">
        <w:trPr>
          <w:trHeight w:val="300"/>
          <w:jc w:val="center"/>
        </w:trPr>
        <w:tc>
          <w:tcPr>
            <w:tcW w:w="2345" w:type="dxa"/>
            <w:tcBorders>
              <w:top w:val="nil"/>
              <w:left w:val="single" w:sz="4" w:space="0" w:color="auto"/>
              <w:bottom w:val="single" w:sz="4" w:space="0" w:color="auto"/>
              <w:right w:val="single" w:sz="4" w:space="0" w:color="auto"/>
            </w:tcBorders>
            <w:shd w:val="clear" w:color="000000" w:fill="FFFFFF"/>
            <w:noWrap/>
            <w:vAlign w:val="center"/>
            <w:hideMark/>
          </w:tcPr>
          <w:p w:rsidR="00831FDB" w:rsidRPr="00831FDB" w:rsidRDefault="00831FDB" w:rsidP="00E7532F">
            <w:pPr>
              <w:pStyle w:val="TableText"/>
              <w:rPr>
                <w:rFonts w:eastAsia="Times New Roman"/>
              </w:rPr>
            </w:pPr>
            <w:proofErr w:type="spellStart"/>
            <w:r w:rsidRPr="00831FDB">
              <w:rPr>
                <w:rFonts w:eastAsia="Times New Roman"/>
              </w:rPr>
              <w:t>AutoDR</w:t>
            </w:r>
            <w:proofErr w:type="spellEnd"/>
          </w:p>
        </w:tc>
        <w:tc>
          <w:tcPr>
            <w:tcW w:w="554"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ascii="Calibri" w:eastAsia="Times New Roman" w:hAnsi="Calibri" w:cs="Calibri"/>
              </w:rPr>
            </w:pPr>
            <w:r w:rsidRPr="00831FDB">
              <w:rPr>
                <w:rFonts w:ascii="Calibri" w:eastAsia="Times New Roman" w:hAnsi="Calibri" w:cs="Calibri"/>
              </w:rPr>
              <w:t>22</w:t>
            </w:r>
          </w:p>
        </w:tc>
        <w:tc>
          <w:tcPr>
            <w:tcW w:w="1386" w:type="dxa"/>
            <w:tcBorders>
              <w:top w:val="nil"/>
              <w:left w:val="nil"/>
              <w:bottom w:val="single" w:sz="4" w:space="0" w:color="auto"/>
              <w:right w:val="single" w:sz="4" w:space="0" w:color="auto"/>
            </w:tcBorders>
            <w:shd w:val="clear" w:color="000000" w:fill="FFFFFF"/>
            <w:noWrap/>
            <w:vAlign w:val="center"/>
            <w:hideMark/>
          </w:tcPr>
          <w:p w:rsidR="00831FDB" w:rsidRPr="00831FDB" w:rsidRDefault="00831FDB" w:rsidP="00E7532F">
            <w:pPr>
              <w:pStyle w:val="TableText"/>
              <w:jc w:val="center"/>
              <w:rPr>
                <w:rFonts w:eastAsia="Times New Roman"/>
              </w:rPr>
            </w:pPr>
            <w:r w:rsidRPr="00831FDB">
              <w:rPr>
                <w:rFonts w:eastAsia="Times New Roman"/>
              </w:rPr>
              <w:t>4179</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-26%</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3%</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23%</w:t>
            </w:r>
          </w:p>
        </w:tc>
        <w:tc>
          <w:tcPr>
            <w:tcW w:w="1077"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43%</w:t>
            </w:r>
          </w:p>
        </w:tc>
        <w:tc>
          <w:tcPr>
            <w:tcW w:w="1165" w:type="dxa"/>
            <w:tcBorders>
              <w:top w:val="nil"/>
              <w:left w:val="nil"/>
              <w:bottom w:val="single" w:sz="4" w:space="0" w:color="auto"/>
              <w:right w:val="single" w:sz="4" w:space="0" w:color="auto"/>
            </w:tcBorders>
            <w:shd w:val="clear" w:color="auto" w:fill="auto"/>
            <w:noWrap/>
            <w:vAlign w:val="center"/>
            <w:hideMark/>
          </w:tcPr>
          <w:p w:rsidR="00831FDB" w:rsidRPr="00831FDB" w:rsidRDefault="00831FDB" w:rsidP="00E7532F">
            <w:pPr>
              <w:pStyle w:val="TableText"/>
              <w:jc w:val="center"/>
              <w:rPr>
                <w:rFonts w:eastAsia="Times New Roman"/>
              </w:rPr>
            </w:pPr>
            <w:r w:rsidRPr="00831FDB">
              <w:rPr>
                <w:rFonts w:eastAsia="Times New Roman"/>
              </w:rPr>
              <w:t>73%</w:t>
            </w:r>
          </w:p>
        </w:tc>
      </w:tr>
    </w:tbl>
    <w:p w:rsidR="005C1B70" w:rsidRDefault="005C1B70" w:rsidP="007E0558">
      <w:pPr>
        <w:pStyle w:val="Heading2"/>
        <w:spacing w:before="360"/>
      </w:pPr>
      <w:bookmarkStart w:id="94" w:name="_Toc326072127"/>
      <w:r>
        <w:t>Comparison of 2010 and 2011 Ex Post Results</w:t>
      </w:r>
      <w:bookmarkEnd w:id="94"/>
    </w:p>
    <w:p w:rsidR="005C1B70" w:rsidRDefault="00D05F8A" w:rsidP="005C465D">
      <w:pPr>
        <w:pStyle w:val="BodyParagraph"/>
      </w:pPr>
      <w:r>
        <w:t xml:space="preserve">Although enrollment in SDG&amp;E’s CPP program was much more stable than for PG&amp;E and SCE between 2010 and 2011, any comparison of load impacts across the two years is questionable since there was only one weekday CPP event day in 2011.  The average aggregate impact for 2010 was 18.8 MW which </w:t>
      </w:r>
      <w:r w:rsidR="00B61ABA">
        <w:t>wa</w:t>
      </w:r>
      <w:r>
        <w:t xml:space="preserve">s nearly identical to the aggregate impact on the September 7, 2011 weekday event, which equaled 18.6 MW.  September 7 was </w:t>
      </w:r>
      <w:r w:rsidR="005C1B70" w:rsidRPr="0002511E">
        <w:rPr>
          <w:rFonts w:cs="Arial"/>
          <w:szCs w:val="20"/>
        </w:rPr>
        <w:t>about 5</w:t>
      </w:r>
      <w:r w:rsidR="005C1B70" w:rsidRPr="0002511E">
        <w:rPr>
          <w:rFonts w:eastAsia="Times New Roman" w:cs="Arial"/>
          <w:szCs w:val="20"/>
        </w:rPr>
        <w:t>°F</w:t>
      </w:r>
      <w:r w:rsidR="005C1B70" w:rsidRPr="0002511E">
        <w:rPr>
          <w:rFonts w:cs="Arial"/>
          <w:szCs w:val="20"/>
        </w:rPr>
        <w:t xml:space="preserve"> hotter during the event</w:t>
      </w:r>
      <w:r w:rsidR="005C1B70" w:rsidRPr="0002511E">
        <w:rPr>
          <w:rFonts w:cs="Arial"/>
        </w:rPr>
        <w:t xml:space="preserve"> period</w:t>
      </w:r>
      <w:r w:rsidR="005C1B70">
        <w:t xml:space="preserve"> tha</w:t>
      </w:r>
      <w:r>
        <w:t>n</w:t>
      </w:r>
      <w:r w:rsidR="005C1B70">
        <w:t xml:space="preserve"> the average of the </w:t>
      </w:r>
      <w:r w:rsidR="005C1B70">
        <w:lastRenderedPageBreak/>
        <w:t xml:space="preserve">four 2010 events.  </w:t>
      </w:r>
      <w:r w:rsidR="009B3158">
        <w:t>While the reduction</w:t>
      </w:r>
      <w:r w:rsidR="003534DF">
        <w:t>s</w:t>
      </w:r>
      <w:r w:rsidR="009B3158">
        <w:t xml:space="preserve"> were nearly identical on a percentage basis, customer loads were higher that day, leading to equivalent aggregate load reductions </w:t>
      </w:r>
      <w:r w:rsidR="003534DF">
        <w:t>despite</w:t>
      </w:r>
      <w:r w:rsidR="009B3158">
        <w:t xml:space="preserve"> the </w:t>
      </w:r>
      <w:r w:rsidR="003534DF">
        <w:t>small decrease</w:t>
      </w:r>
      <w:r w:rsidR="009B3158">
        <w:t xml:space="preserve"> in </w:t>
      </w:r>
      <w:r w:rsidR="003534DF">
        <w:t xml:space="preserve">net </w:t>
      </w:r>
      <w:r w:rsidR="009B3158">
        <w:t>enrollment.  G</w:t>
      </w:r>
      <w:r>
        <w:t xml:space="preserve">iven the very limited number of observations, these comparisons </w:t>
      </w:r>
      <w:r w:rsidR="001700F2">
        <w:t>are not very meaningful</w:t>
      </w:r>
      <w:r w:rsidR="009B3158">
        <w:t xml:space="preserve"> and provide limited information about customer weather sensitivity</w:t>
      </w:r>
      <w:r w:rsidR="001700F2">
        <w:t xml:space="preserve">.  </w:t>
      </w:r>
    </w:p>
    <w:p w:rsidR="005C1B70" w:rsidRDefault="001700F2" w:rsidP="005C465D">
      <w:pPr>
        <w:pStyle w:val="BodyParagraph"/>
      </w:pPr>
      <w:r>
        <w:t xml:space="preserve">Keeping in mind the caution advised above, </w:t>
      </w:r>
      <w:r w:rsidR="005C1B70">
        <w:t xml:space="preserve">the </w:t>
      </w:r>
      <w:r>
        <w:t xml:space="preserve">most significant </w:t>
      </w:r>
      <w:r w:rsidR="005C1B70">
        <w:t>differences in impacts between 2010 and 2011 were for the Wholesale Transport &amp; Other Utilities and Offices, Hotels, Finance &amp; Services industry segments.  In 2010</w:t>
      </w:r>
      <w:r>
        <w:t>,</w:t>
      </w:r>
      <w:r w:rsidR="005C1B70">
        <w:t xml:space="preserve"> </w:t>
      </w:r>
      <w:proofErr w:type="gramStart"/>
      <w:r w:rsidR="005C1B70">
        <w:t>Manufacturing</w:t>
      </w:r>
      <w:proofErr w:type="gramEnd"/>
      <w:r w:rsidR="005C1B70">
        <w:t xml:space="preserve"> customers provided an average aggregate load reduction of 3.1 MW (7.8%) on the average event day, while in 2011 this same industry group provided an average aggregate load reduction of 5.3 MW (13.6%) on the one weekday event.  Since the number of customers in this industry remained constant at approximately 245 customers, it’s likely that the increase in impacts is either due to differences in event conditions or due to outreach to improve customer price responsiveness.  In the Offices, Hotels, Finance &amp; Services industry segment, average aggregate impacts for the average event day were 8.2 MW (5.3%) in 2010 and 5.3 MW (3.4%) for the one weekday event in 2011.  In this industry</w:t>
      </w:r>
      <w:r>
        <w:t>,</w:t>
      </w:r>
      <w:r w:rsidR="005C1B70">
        <w:t xml:space="preserve"> enrollment decreased from 409 to 380 accounts between 2010 and 2011.  The difference in impacts may be due to the change in enrollment or due to the differences in event day weather conditions between 2010 and 2011.</w:t>
      </w:r>
    </w:p>
    <w:p w:rsidR="001D37BD" w:rsidRDefault="00B90FCF" w:rsidP="001D37BD">
      <w:pPr>
        <w:pStyle w:val="Heading1"/>
      </w:pPr>
      <w:bookmarkStart w:id="95" w:name="_Toc289178028"/>
      <w:bookmarkStart w:id="96" w:name="_Toc286998010"/>
      <w:r>
        <w:br w:type="column"/>
      </w:r>
      <w:bookmarkStart w:id="97" w:name="_Toc326072128"/>
      <w:r w:rsidR="001D37BD">
        <w:lastRenderedPageBreak/>
        <w:t>Ex Ante Load Impact Estimates for PG&amp;E</w:t>
      </w:r>
      <w:bookmarkEnd w:id="95"/>
      <w:bookmarkEnd w:id="97"/>
    </w:p>
    <w:p w:rsidR="001D37BD" w:rsidRDefault="001D37BD" w:rsidP="001D37BD">
      <w:pPr>
        <w:pStyle w:val="BodyParagraph"/>
      </w:pPr>
      <w:r w:rsidRPr="007954D4">
        <w:t xml:space="preserve">This section presents ex ante load impact estimates for </w:t>
      </w:r>
      <w:r>
        <w:t>PG&amp;E's</w:t>
      </w:r>
      <w:r w:rsidRPr="007954D4">
        <w:t xml:space="preserve"> </w:t>
      </w:r>
      <w:r>
        <w:t xml:space="preserve">non-residential CPP tariff.  The main purpose of ex ante load impact estimates is to reflect the load reduction capability of a DR resource under a standard set of conditions that align with system planning.  These estimates are used in assessing alternatives for meeting peak demand, cost-effectiveness comparisons and long-term planning.  </w:t>
      </w:r>
    </w:p>
    <w:p w:rsidR="001D37BD" w:rsidRDefault="001D37BD" w:rsidP="001D37BD">
      <w:pPr>
        <w:pStyle w:val="BodyParagraph"/>
      </w:pPr>
      <w:r>
        <w:t xml:space="preserve">The </w:t>
      </w:r>
      <w:r w:rsidRPr="00B73C21">
        <w:t>remainder of this section separately presents the ex ante load impact projections for medium and large customers projected to receive service under PG&amp;E’s CPP tariff.  For each segment, the load reduction capability is summarized during annual system peak day condition</w:t>
      </w:r>
      <w:r>
        <w:t>s for</w:t>
      </w:r>
      <w:r w:rsidRPr="00B73C21">
        <w:t xml:space="preserve"> </w:t>
      </w:r>
      <w:r>
        <w:t xml:space="preserve">a </w:t>
      </w:r>
      <w:r w:rsidRPr="00B73C21">
        <w:t>1-in-2 and a 1</w:t>
      </w:r>
      <w:r>
        <w:t>-in-10 weather year for the 2012 to 2022</w:t>
      </w:r>
      <w:r w:rsidRPr="00B73C21">
        <w:t xml:space="preserve"> period.  In addition, this section </w:t>
      </w:r>
      <w:r>
        <w:t xml:space="preserve">illustrates </w:t>
      </w:r>
      <w:r w:rsidRPr="00B73C21">
        <w:t xml:space="preserve">how impacts </w:t>
      </w:r>
      <w:r>
        <w:t xml:space="preserve">per customer </w:t>
      </w:r>
      <w:r w:rsidRPr="00B73C21">
        <w:t>vary by geographic location and month under the standardized ex ante conditions.</w:t>
      </w:r>
    </w:p>
    <w:p w:rsidR="001D37BD" w:rsidRDefault="001D37BD" w:rsidP="001D37BD">
      <w:pPr>
        <w:pStyle w:val="BodyParagraph"/>
      </w:pPr>
      <w:r w:rsidRPr="00B73C21">
        <w:t xml:space="preserve">Small C&amp;I impacts are not included because, to date, there is almost no empirical data regarding their impacts under default dynamic pricing.  The </w:t>
      </w:r>
      <w:r>
        <w:t>largest</w:t>
      </w:r>
      <w:r w:rsidRPr="00B73C21">
        <w:t xml:space="preserve"> California study on small customer load impacts under dynamic pricing, the California Statewide Pricing Pilot, concluded that small customers did not produce statistically significant load reductions in the a</w:t>
      </w:r>
      <w:r>
        <w:t>bsence of enabling technology.</w:t>
      </w:r>
    </w:p>
    <w:p w:rsidR="00793FE9" w:rsidRDefault="00793FE9" w:rsidP="00793FE9">
      <w:pPr>
        <w:pStyle w:val="BodyParaAfterTableFigure"/>
      </w:pPr>
      <w:r>
        <w:t>Per Decision</w:t>
      </w:r>
      <w:r w:rsidR="00FC22EA">
        <w:t xml:space="preserve"> </w:t>
      </w:r>
      <w:r>
        <w:t xml:space="preserve">11-06-022 (p. 60), the operating period for Non-Res CPP for 2013 is required to be from 1 PM to 6 PM.  </w:t>
      </w:r>
      <w:r w:rsidR="00B90FCF">
        <w:t>PG&amp;E has submitted a proposal to change the CPP rates and event window to the CPUC</w:t>
      </w:r>
      <w:r w:rsidR="00FC22EA">
        <w:t xml:space="preserve"> in its 2012 Rate Design Window application</w:t>
      </w:r>
      <w:r w:rsidR="00B90FCF">
        <w:t xml:space="preserve">, but an official decision has not yet been issued.  </w:t>
      </w:r>
      <w:r>
        <w:t>In order to provide ex ante impact estimates that reflect the longer 1 PM to 6 PM window, FSC applied the observed percent impact from 2 PM to 3 PM to the 1 PM to 2 PM window</w:t>
      </w:r>
      <w:r w:rsidR="00563BA3">
        <w:t xml:space="preserve"> for the 2014 forecast onward</w:t>
      </w:r>
      <w:r>
        <w:t xml:space="preserve">.  </w:t>
      </w:r>
    </w:p>
    <w:p w:rsidR="001D37BD" w:rsidRDefault="001D37BD" w:rsidP="001D37BD">
      <w:pPr>
        <w:pStyle w:val="Heading2"/>
        <w:ind w:left="540" w:hanging="540"/>
      </w:pPr>
      <w:bookmarkStart w:id="98" w:name="_Toc289178029"/>
      <w:bookmarkStart w:id="99" w:name="_Toc326072129"/>
      <w:r>
        <w:t>Large C&amp;I Ex Ante Impacts</w:t>
      </w:r>
      <w:bookmarkEnd w:id="98"/>
      <w:bookmarkEnd w:id="99"/>
    </w:p>
    <w:p w:rsidR="001D37BD" w:rsidRDefault="001D37BD" w:rsidP="001D37BD">
      <w:pPr>
        <w:pStyle w:val="BodyParagraph"/>
      </w:pPr>
      <w:r>
        <w:t xml:space="preserve">In total, approximately </w:t>
      </w:r>
      <w:r w:rsidRPr="00133E49">
        <w:t>1,</w:t>
      </w:r>
      <w:r>
        <w:t>750 l</w:t>
      </w:r>
      <w:r w:rsidRPr="005F4F90">
        <w:t>arge customers</w:t>
      </w:r>
      <w:r>
        <w:t xml:space="preserve"> were enrolled in default CPP in 2011 and experienced 9 events.  As a result, we now know second year retention rates for</w:t>
      </w:r>
      <w:r w:rsidRPr="005F4F90">
        <w:t xml:space="preserve"> default CPP, how much load reduc</w:t>
      </w:r>
      <w:r>
        <w:t>tion large customers provide during events and</w:t>
      </w:r>
      <w:r w:rsidRPr="005F4F90">
        <w:t xml:space="preserve"> what types of customers are more responsive.</w:t>
      </w:r>
    </w:p>
    <w:p w:rsidR="00301814" w:rsidRDefault="001D37BD" w:rsidP="001D37BD">
      <w:pPr>
        <w:pStyle w:val="BodyParagraph"/>
      </w:pPr>
      <w:r>
        <w:t>Table 7-1 shows The Brattle Group’s enrollment projections for large customers through 2022.  The development of the enrollment forecast and underlying assumptions are doc</w:t>
      </w:r>
      <w:r w:rsidR="00793FE9">
        <w:t xml:space="preserve">umented in The Brattle Group's </w:t>
      </w:r>
      <w:r>
        <w:t>"</w:t>
      </w:r>
      <w:r>
        <w:rPr>
          <w:i/>
        </w:rPr>
        <w:t>Executive Summary: 2012-2022</w:t>
      </w:r>
      <w:r w:rsidRPr="0041579B">
        <w:rPr>
          <w:i/>
        </w:rPr>
        <w:t xml:space="preserve"> Demand Response Portfolio of Pacific Gas and Electric </w:t>
      </w:r>
      <w:r w:rsidR="00793FE9" w:rsidRPr="0041579B">
        <w:rPr>
          <w:i/>
        </w:rPr>
        <w:t>Company</w:t>
      </w:r>
      <w:r w:rsidR="00793FE9" w:rsidRPr="0041579B">
        <w:t>.</w:t>
      </w:r>
      <w:r>
        <w:t xml:space="preserve">"  </w:t>
      </w:r>
      <w:r w:rsidRPr="00D80BFF">
        <w:t xml:space="preserve">The forecasts show a sizeable increase in CPP enrollment between 2012 and 2014.  In </w:t>
      </w:r>
      <w:r w:rsidR="00D21D56" w:rsidRPr="00563BA3">
        <w:t>August 2012, 1,384 customers</w:t>
      </w:r>
      <w:r w:rsidRPr="00D80BFF">
        <w:t xml:space="preserve"> are forecast to receive service under the tariff, while in August 2014, 1,</w:t>
      </w:r>
      <w:r>
        <w:t>849</w:t>
      </w:r>
      <w:r w:rsidRPr="00D80BFF">
        <w:t xml:space="preserve"> customers are projected to be served under the CPP rate schedule.</w:t>
      </w:r>
      <w:r w:rsidR="002D58AA">
        <w:t xml:space="preserve"> </w:t>
      </w:r>
      <w:r w:rsidR="00F960F4">
        <w:t xml:space="preserve"> </w:t>
      </w:r>
      <w:r w:rsidR="00301814">
        <w:t xml:space="preserve">The overall enrollment forecasts are very similar to those produced last year – differences for each forecast year are less than 3%. </w:t>
      </w:r>
    </w:p>
    <w:p w:rsidR="001D37BD" w:rsidRDefault="00301814" w:rsidP="001D37BD">
      <w:pPr>
        <w:pStyle w:val="TableFigureCaption"/>
      </w:pPr>
      <w:r>
        <w:br w:type="column"/>
      </w:r>
      <w:r w:rsidR="001D37BD" w:rsidRPr="00692B07">
        <w:lastRenderedPageBreak/>
        <w:t>Table</w:t>
      </w:r>
      <w:r w:rsidR="001D37BD" w:rsidRPr="00C63933">
        <w:t xml:space="preserve"> 7-1</w:t>
      </w:r>
      <w:proofErr w:type="gramStart"/>
      <w:r w:rsidR="001D37BD">
        <w:t>:</w:t>
      </w:r>
      <w:proofErr w:type="gramEnd"/>
      <w:r w:rsidR="001D37BD">
        <w:br/>
      </w:r>
      <w:r w:rsidR="001D37BD" w:rsidRPr="00C63933">
        <w:t xml:space="preserve">PG&amp;E’s Enrollment Projections for Large CPP Customers </w:t>
      </w:r>
      <w:r w:rsidR="001D37BD">
        <w:br/>
      </w:r>
      <w:r w:rsidR="001D37BD" w:rsidRPr="00C63933">
        <w:t xml:space="preserve">by Forecast Year </w:t>
      </w:r>
      <w:r w:rsidR="0078670F">
        <w:t>and Type of Impacts</w:t>
      </w:r>
    </w:p>
    <w:tbl>
      <w:tblPr>
        <w:tblW w:w="5000" w:type="pct"/>
        <w:jc w:val="center"/>
        <w:tblLook w:val="04A0"/>
      </w:tblPr>
      <w:tblGrid>
        <w:gridCol w:w="1407"/>
        <w:gridCol w:w="679"/>
        <w:gridCol w:w="681"/>
        <w:gridCol w:w="681"/>
        <w:gridCol w:w="681"/>
        <w:gridCol w:w="681"/>
        <w:gridCol w:w="681"/>
        <w:gridCol w:w="681"/>
        <w:gridCol w:w="681"/>
        <w:gridCol w:w="681"/>
        <w:gridCol w:w="681"/>
        <w:gridCol w:w="681"/>
        <w:gridCol w:w="680"/>
      </w:tblGrid>
      <w:tr w:rsidR="00563BA3" w:rsidRPr="00563BA3" w:rsidTr="00563BA3">
        <w:trPr>
          <w:trHeight w:val="315"/>
          <w:jc w:val="center"/>
        </w:trPr>
        <w:tc>
          <w:tcPr>
            <w:tcW w:w="526"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000000"/>
                <w:sz w:val="18"/>
                <w:szCs w:val="18"/>
              </w:rPr>
            </w:pPr>
            <w:r w:rsidRPr="00563BA3">
              <w:rPr>
                <w:rFonts w:ascii="Arial" w:eastAsia="Times New Roman" w:hAnsi="Arial" w:cs="Arial"/>
                <w:b/>
                <w:bCs/>
                <w:color w:val="FFFFFF"/>
                <w:sz w:val="18"/>
                <w:szCs w:val="18"/>
              </w:rPr>
              <w:t> </w:t>
            </w:r>
          </w:p>
        </w:tc>
        <w:tc>
          <w:tcPr>
            <w:tcW w:w="4474" w:type="pct"/>
            <w:gridSpan w:val="12"/>
            <w:tcBorders>
              <w:top w:val="single" w:sz="4" w:space="0" w:color="auto"/>
              <w:left w:val="nil"/>
              <w:bottom w:val="single" w:sz="8" w:space="0" w:color="FFFFFF"/>
              <w:right w:val="single" w:sz="4" w:space="0" w:color="000000"/>
            </w:tcBorders>
            <w:shd w:val="clear" w:color="000000" w:fill="1F497D"/>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Month</w:t>
            </w:r>
          </w:p>
        </w:tc>
      </w:tr>
      <w:tr w:rsidR="00563BA3" w:rsidRPr="00563BA3" w:rsidTr="00563BA3">
        <w:trPr>
          <w:trHeight w:val="300"/>
          <w:jc w:val="center"/>
        </w:trPr>
        <w:tc>
          <w:tcPr>
            <w:tcW w:w="526" w:type="pct"/>
            <w:tcBorders>
              <w:top w:val="nil"/>
              <w:left w:val="single" w:sz="4" w:space="0" w:color="auto"/>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Forecast Year</w:t>
            </w:r>
          </w:p>
        </w:tc>
        <w:tc>
          <w:tcPr>
            <w:tcW w:w="372"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Jan</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Feb</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Mar</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Apr</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May</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Jun</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Jul</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Aug</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Sep</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Oct</w:t>
            </w:r>
          </w:p>
        </w:tc>
        <w:tc>
          <w:tcPr>
            <w:tcW w:w="373" w:type="pct"/>
            <w:tcBorders>
              <w:top w:val="nil"/>
              <w:left w:val="nil"/>
              <w:bottom w:val="single" w:sz="4" w:space="0" w:color="auto"/>
              <w:right w:val="single" w:sz="8" w:space="0" w:color="FFFFFF"/>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Nov</w:t>
            </w:r>
          </w:p>
        </w:tc>
        <w:tc>
          <w:tcPr>
            <w:tcW w:w="373" w:type="pct"/>
            <w:tcBorders>
              <w:top w:val="nil"/>
              <w:left w:val="nil"/>
              <w:bottom w:val="single" w:sz="4" w:space="0" w:color="auto"/>
              <w:right w:val="single" w:sz="4" w:space="0" w:color="auto"/>
            </w:tcBorders>
            <w:shd w:val="clear" w:color="000000" w:fill="1F497D"/>
            <w:noWrap/>
            <w:vAlign w:val="bottom"/>
            <w:hideMark/>
          </w:tcPr>
          <w:p w:rsidR="00563BA3" w:rsidRPr="00563BA3" w:rsidRDefault="00563BA3" w:rsidP="00563BA3">
            <w:pPr>
              <w:spacing w:after="0" w:line="240" w:lineRule="auto"/>
              <w:jc w:val="center"/>
              <w:rPr>
                <w:rFonts w:ascii="Arial" w:eastAsia="Times New Roman" w:hAnsi="Arial" w:cs="Arial"/>
                <w:b/>
                <w:bCs/>
                <w:color w:val="FFFFFF"/>
                <w:sz w:val="18"/>
                <w:szCs w:val="18"/>
              </w:rPr>
            </w:pPr>
            <w:r w:rsidRPr="00563BA3">
              <w:rPr>
                <w:rFonts w:ascii="Arial" w:eastAsia="Times New Roman" w:hAnsi="Arial" w:cs="Arial"/>
                <w:b/>
                <w:bCs/>
                <w:color w:val="FFFFFF"/>
                <w:sz w:val="18"/>
                <w:szCs w:val="18"/>
              </w:rPr>
              <w:t>Dec</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2012</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1,445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1,445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1,445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1,445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1,384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1,384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1,384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1,384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1,384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1,384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1,675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1,675</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2013</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1,704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1,703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1,721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1,721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1,659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1,659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1,658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1,658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1,657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1,657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1,882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1,882</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2014</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1,882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1,881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1,922</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2015</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1,861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1,861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1,860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1,860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1,860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1,920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1,919</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2016</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1,856</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1,917</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1,916</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2017</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1,916</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1,916</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1,916</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1,916</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1,915</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1,914</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2018</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1,914</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1,913</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1,913</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2019</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1,912</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1,911</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2020</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1,911</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1,850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2021</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1,910</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r>
      <w:tr w:rsidR="00563BA3" w:rsidRPr="00563BA3" w:rsidTr="00563BA3">
        <w:trPr>
          <w:trHeight w:val="300"/>
          <w:jc w:val="center"/>
        </w:trPr>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2022</w:t>
            </w:r>
          </w:p>
        </w:tc>
        <w:tc>
          <w:tcPr>
            <w:tcW w:w="372"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1,848</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c>
          <w:tcPr>
            <w:tcW w:w="3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sz w:val="18"/>
                <w:szCs w:val="18"/>
              </w:rPr>
            </w:pPr>
            <w:r w:rsidRPr="00563BA3">
              <w:rPr>
                <w:rFonts w:ascii="Calibri" w:eastAsia="Times New Roman" w:hAnsi="Calibri" w:cs="Calibri"/>
                <w:color w:val="000000"/>
                <w:sz w:val="18"/>
                <w:szCs w:val="18"/>
              </w:rPr>
              <w:t>1,909</w:t>
            </w:r>
          </w:p>
        </w:tc>
      </w:tr>
    </w:tbl>
    <w:p w:rsidR="001D37BD" w:rsidRPr="00E91F10" w:rsidRDefault="001D37BD" w:rsidP="001D37BD">
      <w:pPr>
        <w:pStyle w:val="BodyParagraph"/>
      </w:pPr>
    </w:p>
    <w:p w:rsidR="001D37BD" w:rsidRDefault="001D37BD" w:rsidP="001D37BD">
      <w:pPr>
        <w:pStyle w:val="Heading3"/>
        <w:ind w:left="720"/>
        <w:rPr>
          <w:rFonts w:cs="Calibri"/>
        </w:rPr>
      </w:pPr>
      <w:bookmarkStart w:id="100" w:name="_Toc289178030"/>
      <w:bookmarkStart w:id="101" w:name="_Toc326072130"/>
      <w:r>
        <w:t xml:space="preserve">Annual </w:t>
      </w:r>
      <w:r w:rsidRPr="00692B07">
        <w:t>System</w:t>
      </w:r>
      <w:r>
        <w:t xml:space="preserve"> Peak Day Impacts</w:t>
      </w:r>
      <w:bookmarkEnd w:id="100"/>
      <w:bookmarkEnd w:id="101"/>
    </w:p>
    <w:p w:rsidR="0078670F" w:rsidRDefault="001D37BD" w:rsidP="00301814">
      <w:pPr>
        <w:pStyle w:val="BodyParagraph"/>
      </w:pPr>
      <w:r>
        <w:t>Table 7-2 summarizes the aggregate load impact estimates for large customers on PG&amp;E’s CPP tariff for each forecast year under both 1-in-2 and 1-in-10 weather year scenarios.  The table shows the average load reduction across the 1 PM to 6 PM event period for an August monthly system peak day.</w:t>
      </w:r>
      <w:r w:rsidR="008F0E66">
        <w:t xml:space="preserve">  </w:t>
      </w:r>
      <w:r w:rsidR="00563BA3">
        <w:t>Importantly, the event window is from 2 PM to 6 Pm for both the 2012 and 2013 forecast, as mentioned previously.</w:t>
      </w:r>
      <w:r>
        <w:t xml:space="preserve">  </w:t>
      </w:r>
      <w:r w:rsidR="00563BA3">
        <w:t>The table summarizes the load impacts for portfolio analysis and</w:t>
      </w:r>
      <w:r w:rsidR="0078670F">
        <w:t xml:space="preserve"> excludes customers dually enrolled in DR programs that require firm commitments such as BIP or the aggregator programs to avoid double counting them in the portfolio.  </w:t>
      </w:r>
      <w:r w:rsidR="0078670F" w:rsidRPr="008F0E66">
        <w:t>The program specific estima</w:t>
      </w:r>
      <w:r w:rsidR="008F0E66" w:rsidRPr="008F0E66">
        <w:t>tes are summarized in Appendix H</w:t>
      </w:r>
      <w:r w:rsidR="0078670F" w:rsidRPr="008F0E66">
        <w:t>.</w:t>
      </w:r>
      <w:r w:rsidR="0078670F">
        <w:t xml:space="preserve"> </w:t>
      </w:r>
    </w:p>
    <w:p w:rsidR="00301814" w:rsidRPr="0091024A" w:rsidRDefault="00793FE9" w:rsidP="00301814">
      <w:pPr>
        <w:pStyle w:val="BodyParagraph"/>
      </w:pPr>
      <w:r>
        <w:t xml:space="preserve">Differences in average temperature from year to year are a direct result of changes in enrollment and the customer mix by weather station.  </w:t>
      </w:r>
      <w:r w:rsidR="001D37BD">
        <w:t xml:space="preserve">The average aggregate load impacts, presented in the sixth column, are similar for 1-in-2 and 1-in-10 weather year conditions.  </w:t>
      </w:r>
      <w:r w:rsidR="001D37BD" w:rsidRPr="00BE286E">
        <w:t>The aggregate impacts change substantially by forecast year in the near term.</w:t>
      </w:r>
      <w:r w:rsidR="00301814">
        <w:t xml:space="preserve">  </w:t>
      </w:r>
      <w:r w:rsidR="00301814" w:rsidRPr="0091024A">
        <w:t xml:space="preserve">The enrollment increases both because of general population growth and because </w:t>
      </w:r>
      <w:r w:rsidR="00301814">
        <w:t>utilities</w:t>
      </w:r>
      <w:r w:rsidR="00301814" w:rsidRPr="0091024A">
        <w:t xml:space="preserve"> will default additional large customers when they have had interval data available for 12 months. </w:t>
      </w:r>
    </w:p>
    <w:p w:rsidR="001D37BD" w:rsidRDefault="001D37BD" w:rsidP="001D37BD">
      <w:pPr>
        <w:pStyle w:val="BodyParagraph"/>
      </w:pPr>
      <w:r w:rsidRPr="00C71BA2">
        <w:t xml:space="preserve">In 2012, the average aggregate load impact during an August event for the 1-in-10 weather year scenario is </w:t>
      </w:r>
      <w:r w:rsidR="00301814">
        <w:t xml:space="preserve">estimated to be </w:t>
      </w:r>
      <w:r w:rsidR="00A51AF4">
        <w:t>28.9</w:t>
      </w:r>
      <w:r w:rsidRPr="00C71BA2">
        <w:t xml:space="preserve"> MW.  </w:t>
      </w:r>
      <w:r w:rsidR="00301814">
        <w:t>By 2014, the load reduction capability under the same set of conditions is expected to</w:t>
      </w:r>
      <w:r w:rsidRPr="00C71BA2">
        <w:t xml:space="preserve"> grow to 40.9 MW</w:t>
      </w:r>
      <w:r w:rsidR="00A51AF4">
        <w:t xml:space="preserve">.  </w:t>
      </w:r>
      <w:r w:rsidR="00301814">
        <w:t>Depending on the forecast year and weather conditions, large customers in the CPP program ar</w:t>
      </w:r>
      <w:r w:rsidR="00A51AF4">
        <w:t>e expected to reduce between 6.2</w:t>
      </w:r>
      <w:r w:rsidR="00301814">
        <w:t xml:space="preserve">% and 6.7% of demand under peaking conditions. </w:t>
      </w:r>
      <w:r w:rsidR="00051166">
        <w:t xml:space="preserve"> The reductions match relatively well to the average percent reduction, 5.9%, observed for ex post events in 2011.  The small differences are due to differences in the weather conditions and because the </w:t>
      </w:r>
      <w:proofErr w:type="gramStart"/>
      <w:r w:rsidR="00051166">
        <w:t>ex ante</w:t>
      </w:r>
      <w:proofErr w:type="gramEnd"/>
      <w:r w:rsidR="00051166">
        <w:t xml:space="preserve"> impacts incorporate information about current participant performance in</w:t>
      </w:r>
      <w:r w:rsidR="00A51AF4">
        <w:t xml:space="preserve"> both</w:t>
      </w:r>
      <w:r w:rsidR="00051166">
        <w:t xml:space="preserve"> 2010 and 2011.  </w:t>
      </w:r>
    </w:p>
    <w:p w:rsidR="00051166" w:rsidRDefault="00051166" w:rsidP="001D37BD">
      <w:pPr>
        <w:pStyle w:val="BodyParagraph"/>
      </w:pPr>
      <w:r>
        <w:lastRenderedPageBreak/>
        <w:t>The ex ante impacts are also comparable to those produced last year</w:t>
      </w:r>
      <w:r w:rsidR="00A51AF4">
        <w:t xml:space="preserve"> under the 2 PM to 6 PM event window</w:t>
      </w:r>
      <w:r>
        <w:t>.  Last year, 32.3 MW were estimated to be available for 20</w:t>
      </w:r>
      <w:r w:rsidR="00A51AF4">
        <w:t xml:space="preserve">12.  This year, we estimate 27.6 MW under 1-in-2 conditions.  </w:t>
      </w:r>
      <w:r>
        <w:t xml:space="preserve">The difference is due to better information about the enrollment and customer mix after the expiration of first year bill protection.  It also reflects the fact that, in this past year, not as many additional large customers were defaulted onto CPP as initially projected due to timing of the installation of hourly meters for the large customers that lacked such meters (mainly agricultural). </w:t>
      </w:r>
      <w:r w:rsidR="00A26B55">
        <w:t xml:space="preserve">  Going forward, however, this year’s ex-ante projections factor in the changes in the customer mix observed after the first year of CPP participation and reflect the higher percent demand reductions observed.  These changes are detailed in Section 4.7.  Overall, this lead</w:t>
      </w:r>
      <w:r w:rsidR="00A51AF4">
        <w:t>s</w:t>
      </w:r>
      <w:r w:rsidR="00A26B55">
        <w:t xml:space="preserve"> to larger ex ante impacts for 2014 to 2021 than were reported last year.  The difference is between 14% and 19%, depending on the forecast year. </w:t>
      </w:r>
    </w:p>
    <w:p w:rsidR="001D37BD" w:rsidRDefault="001D37BD" w:rsidP="001D37BD">
      <w:pPr>
        <w:pStyle w:val="TableFigureCaption"/>
      </w:pPr>
      <w:r>
        <w:t>Table 7-2</w:t>
      </w:r>
      <w:proofErr w:type="gramStart"/>
      <w:r>
        <w:t>:</w:t>
      </w:r>
      <w:proofErr w:type="gramEnd"/>
      <w:r>
        <w:br/>
      </w:r>
      <w:r w:rsidR="0078670F">
        <w:t xml:space="preserve">Portfolio </w:t>
      </w:r>
      <w:r>
        <w:t xml:space="preserve">Annual Peak Day Load Impacts for Large PG&amp;E CPP Customers </w:t>
      </w:r>
      <w:r>
        <w:br/>
        <w:t>(Hourly Averag</w:t>
      </w:r>
      <w:r w:rsidR="00563BA3">
        <w:t xml:space="preserve">e Reduction in MW Over </w:t>
      </w:r>
      <w:r>
        <w:t>Event Day Period - 1 PM to 6 PM)</w:t>
      </w:r>
    </w:p>
    <w:tbl>
      <w:tblPr>
        <w:tblW w:w="5000" w:type="pct"/>
        <w:jc w:val="center"/>
        <w:tblLook w:val="04A0"/>
      </w:tblPr>
      <w:tblGrid>
        <w:gridCol w:w="1008"/>
        <w:gridCol w:w="1349"/>
        <w:gridCol w:w="1429"/>
        <w:gridCol w:w="1187"/>
        <w:gridCol w:w="1187"/>
        <w:gridCol w:w="1187"/>
        <w:gridCol w:w="1132"/>
        <w:gridCol w:w="1097"/>
      </w:tblGrid>
      <w:tr w:rsidR="00563BA3" w:rsidRPr="00563BA3" w:rsidTr="00A51AF4">
        <w:trPr>
          <w:trHeight w:val="900"/>
          <w:jc w:val="center"/>
        </w:trPr>
        <w:tc>
          <w:tcPr>
            <w:tcW w:w="526" w:type="pct"/>
            <w:vMerge w:val="restart"/>
            <w:tcBorders>
              <w:top w:val="single" w:sz="4" w:space="0" w:color="auto"/>
              <w:left w:val="single" w:sz="4" w:space="0" w:color="auto"/>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Weather Year</w:t>
            </w:r>
          </w:p>
        </w:tc>
        <w:tc>
          <w:tcPr>
            <w:tcW w:w="704" w:type="pct"/>
            <w:vMerge w:val="restart"/>
            <w:tcBorders>
              <w:top w:val="single" w:sz="4" w:space="0" w:color="auto"/>
              <w:left w:val="single" w:sz="4" w:space="0" w:color="FFFFFF"/>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Year</w:t>
            </w:r>
          </w:p>
        </w:tc>
        <w:tc>
          <w:tcPr>
            <w:tcW w:w="746" w:type="pct"/>
            <w:vMerge w:val="restart"/>
            <w:tcBorders>
              <w:top w:val="single" w:sz="4" w:space="0" w:color="auto"/>
              <w:left w:val="single" w:sz="4" w:space="0" w:color="FFFFFF"/>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Enrolled Accts (Forecast)</w:t>
            </w:r>
          </w:p>
        </w:tc>
        <w:tc>
          <w:tcPr>
            <w:tcW w:w="620" w:type="pct"/>
            <w:tcBorders>
              <w:top w:val="single" w:sz="4" w:space="0" w:color="auto"/>
              <w:left w:val="nil"/>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Avg. Reference Load</w:t>
            </w:r>
          </w:p>
        </w:tc>
        <w:tc>
          <w:tcPr>
            <w:tcW w:w="620" w:type="pct"/>
            <w:tcBorders>
              <w:top w:val="single" w:sz="4" w:space="0" w:color="auto"/>
              <w:left w:val="nil"/>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Avg. Estimated Load w DR</w:t>
            </w:r>
          </w:p>
        </w:tc>
        <w:tc>
          <w:tcPr>
            <w:tcW w:w="620" w:type="pct"/>
            <w:tcBorders>
              <w:top w:val="single" w:sz="4" w:space="0" w:color="auto"/>
              <w:left w:val="nil"/>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Avg. Load impact</w:t>
            </w:r>
          </w:p>
        </w:tc>
        <w:tc>
          <w:tcPr>
            <w:tcW w:w="591" w:type="pct"/>
            <w:tcBorders>
              <w:top w:val="single" w:sz="4" w:space="0" w:color="auto"/>
              <w:left w:val="nil"/>
              <w:bottom w:val="single" w:sz="4" w:space="0" w:color="FFFFFF"/>
              <w:right w:val="single" w:sz="4" w:space="0" w:color="FFFFFF"/>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 Load Reduction</w:t>
            </w:r>
          </w:p>
        </w:tc>
        <w:tc>
          <w:tcPr>
            <w:tcW w:w="573" w:type="pct"/>
            <w:tcBorders>
              <w:top w:val="single" w:sz="4" w:space="0" w:color="auto"/>
              <w:left w:val="nil"/>
              <w:bottom w:val="single" w:sz="4" w:space="0" w:color="FFFFFF"/>
              <w:right w:val="single" w:sz="4" w:space="0" w:color="auto"/>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Weighted Temp</w:t>
            </w:r>
          </w:p>
        </w:tc>
      </w:tr>
      <w:tr w:rsidR="00563BA3" w:rsidRPr="00563BA3" w:rsidTr="00A51AF4">
        <w:trPr>
          <w:trHeight w:val="300"/>
          <w:jc w:val="center"/>
        </w:trPr>
        <w:tc>
          <w:tcPr>
            <w:tcW w:w="526" w:type="pct"/>
            <w:vMerge/>
            <w:tcBorders>
              <w:top w:val="single" w:sz="4" w:space="0" w:color="auto"/>
              <w:left w:val="single" w:sz="4" w:space="0" w:color="auto"/>
              <w:bottom w:val="single" w:sz="4" w:space="0" w:color="FFFFFF"/>
              <w:right w:val="single" w:sz="4" w:space="0" w:color="FFFFFF"/>
            </w:tcBorders>
            <w:vAlign w:val="center"/>
            <w:hideMark/>
          </w:tcPr>
          <w:p w:rsidR="00563BA3" w:rsidRPr="00563BA3" w:rsidRDefault="00563BA3" w:rsidP="00563BA3">
            <w:pPr>
              <w:spacing w:after="0" w:line="240" w:lineRule="auto"/>
              <w:rPr>
                <w:rFonts w:ascii="Calibri" w:eastAsia="Times New Roman" w:hAnsi="Calibri" w:cs="Calibri"/>
                <w:color w:val="FFFFFF"/>
              </w:rPr>
            </w:pPr>
          </w:p>
        </w:tc>
        <w:tc>
          <w:tcPr>
            <w:tcW w:w="704" w:type="pct"/>
            <w:vMerge/>
            <w:tcBorders>
              <w:top w:val="single" w:sz="4" w:space="0" w:color="auto"/>
              <w:left w:val="single" w:sz="4" w:space="0" w:color="FFFFFF"/>
              <w:bottom w:val="single" w:sz="4" w:space="0" w:color="FFFFFF"/>
              <w:right w:val="single" w:sz="4" w:space="0" w:color="FFFFFF"/>
            </w:tcBorders>
            <w:vAlign w:val="center"/>
            <w:hideMark/>
          </w:tcPr>
          <w:p w:rsidR="00563BA3" w:rsidRPr="00563BA3" w:rsidRDefault="00563BA3" w:rsidP="00563BA3">
            <w:pPr>
              <w:spacing w:after="0" w:line="240" w:lineRule="auto"/>
              <w:rPr>
                <w:rFonts w:ascii="Calibri" w:eastAsia="Times New Roman" w:hAnsi="Calibri" w:cs="Calibri"/>
                <w:color w:val="FFFFFF"/>
              </w:rPr>
            </w:pPr>
          </w:p>
        </w:tc>
        <w:tc>
          <w:tcPr>
            <w:tcW w:w="746" w:type="pct"/>
            <w:vMerge/>
            <w:tcBorders>
              <w:top w:val="single" w:sz="4" w:space="0" w:color="auto"/>
              <w:left w:val="single" w:sz="4" w:space="0" w:color="FFFFFF"/>
              <w:bottom w:val="single" w:sz="4" w:space="0" w:color="FFFFFF"/>
              <w:right w:val="single" w:sz="4" w:space="0" w:color="FFFFFF"/>
            </w:tcBorders>
            <w:vAlign w:val="center"/>
            <w:hideMark/>
          </w:tcPr>
          <w:p w:rsidR="00563BA3" w:rsidRPr="00563BA3" w:rsidRDefault="00563BA3" w:rsidP="00563BA3">
            <w:pPr>
              <w:spacing w:after="0" w:line="240" w:lineRule="auto"/>
              <w:rPr>
                <w:rFonts w:ascii="Calibri" w:eastAsia="Times New Roman" w:hAnsi="Calibri" w:cs="Calibri"/>
                <w:color w:val="FFFFFF"/>
              </w:rPr>
            </w:pPr>
          </w:p>
        </w:tc>
        <w:tc>
          <w:tcPr>
            <w:tcW w:w="620" w:type="pct"/>
            <w:tcBorders>
              <w:top w:val="single" w:sz="4" w:space="0" w:color="95B3D7"/>
              <w:left w:val="single" w:sz="4" w:space="0" w:color="95B3D7"/>
              <w:bottom w:val="single" w:sz="4" w:space="0" w:color="95B3D7"/>
              <w:right w:val="single" w:sz="4" w:space="0" w:color="95B3D7"/>
            </w:tcBorders>
            <w:shd w:val="clear" w:color="000000" w:fill="1F497D"/>
            <w:vAlign w:val="center"/>
            <w:hideMark/>
          </w:tcPr>
          <w:p w:rsidR="00563BA3" w:rsidRPr="00563BA3" w:rsidRDefault="00563BA3" w:rsidP="00563BA3">
            <w:pPr>
              <w:spacing w:after="0" w:line="240" w:lineRule="auto"/>
              <w:jc w:val="center"/>
              <w:rPr>
                <w:rFonts w:ascii="Arial" w:eastAsia="Times New Roman" w:hAnsi="Arial" w:cs="Arial"/>
                <w:b/>
                <w:bCs/>
                <w:color w:val="FFFFFF"/>
                <w:sz w:val="16"/>
                <w:szCs w:val="16"/>
              </w:rPr>
            </w:pPr>
            <w:r w:rsidRPr="00563BA3">
              <w:rPr>
                <w:rFonts w:ascii="Arial" w:eastAsia="Times New Roman" w:hAnsi="Arial" w:cs="Arial"/>
                <w:b/>
                <w:bCs/>
                <w:color w:val="FFFFFF"/>
                <w:sz w:val="16"/>
                <w:szCs w:val="16"/>
              </w:rPr>
              <w:t>(MW  1-6 pm)</w:t>
            </w:r>
          </w:p>
        </w:tc>
        <w:tc>
          <w:tcPr>
            <w:tcW w:w="620" w:type="pct"/>
            <w:tcBorders>
              <w:top w:val="single" w:sz="4" w:space="0" w:color="95B3D7"/>
              <w:left w:val="nil"/>
              <w:bottom w:val="single" w:sz="4" w:space="0" w:color="95B3D7"/>
              <w:right w:val="single" w:sz="4" w:space="0" w:color="95B3D7"/>
            </w:tcBorders>
            <w:shd w:val="clear" w:color="000000" w:fill="1F497D"/>
            <w:vAlign w:val="center"/>
            <w:hideMark/>
          </w:tcPr>
          <w:p w:rsidR="00563BA3" w:rsidRPr="00563BA3" w:rsidRDefault="00563BA3" w:rsidP="00563BA3">
            <w:pPr>
              <w:spacing w:after="0" w:line="240" w:lineRule="auto"/>
              <w:jc w:val="center"/>
              <w:rPr>
                <w:rFonts w:ascii="Arial" w:eastAsia="Times New Roman" w:hAnsi="Arial" w:cs="Arial"/>
                <w:b/>
                <w:bCs/>
                <w:color w:val="FFFFFF"/>
                <w:sz w:val="16"/>
                <w:szCs w:val="16"/>
              </w:rPr>
            </w:pPr>
            <w:r w:rsidRPr="00563BA3">
              <w:rPr>
                <w:rFonts w:ascii="Arial" w:eastAsia="Times New Roman" w:hAnsi="Arial" w:cs="Arial"/>
                <w:b/>
                <w:bCs/>
                <w:color w:val="FFFFFF"/>
                <w:sz w:val="16"/>
                <w:szCs w:val="16"/>
              </w:rPr>
              <w:t>(MW  1-6 pm)</w:t>
            </w:r>
          </w:p>
        </w:tc>
        <w:tc>
          <w:tcPr>
            <w:tcW w:w="620" w:type="pct"/>
            <w:tcBorders>
              <w:top w:val="single" w:sz="4" w:space="0" w:color="95B3D7"/>
              <w:left w:val="nil"/>
              <w:bottom w:val="single" w:sz="4" w:space="0" w:color="95B3D7"/>
              <w:right w:val="single" w:sz="4" w:space="0" w:color="95B3D7"/>
            </w:tcBorders>
            <w:shd w:val="clear" w:color="000000" w:fill="1F497D"/>
            <w:vAlign w:val="center"/>
            <w:hideMark/>
          </w:tcPr>
          <w:p w:rsidR="00563BA3" w:rsidRPr="00563BA3" w:rsidRDefault="00563BA3" w:rsidP="00563BA3">
            <w:pPr>
              <w:spacing w:after="0" w:line="240" w:lineRule="auto"/>
              <w:jc w:val="center"/>
              <w:rPr>
                <w:rFonts w:ascii="Arial" w:eastAsia="Times New Roman" w:hAnsi="Arial" w:cs="Arial"/>
                <w:b/>
                <w:bCs/>
                <w:color w:val="FFFFFF"/>
                <w:sz w:val="16"/>
                <w:szCs w:val="16"/>
              </w:rPr>
            </w:pPr>
            <w:r w:rsidRPr="00563BA3">
              <w:rPr>
                <w:rFonts w:ascii="Arial" w:eastAsia="Times New Roman" w:hAnsi="Arial" w:cs="Arial"/>
                <w:b/>
                <w:bCs/>
                <w:color w:val="FFFFFF"/>
                <w:sz w:val="16"/>
                <w:szCs w:val="16"/>
              </w:rPr>
              <w:t>(MW  1-6 pm)</w:t>
            </w:r>
          </w:p>
        </w:tc>
        <w:tc>
          <w:tcPr>
            <w:tcW w:w="591" w:type="pct"/>
            <w:tcBorders>
              <w:top w:val="single" w:sz="4" w:space="0" w:color="95B3D7"/>
              <w:left w:val="nil"/>
              <w:bottom w:val="single" w:sz="4" w:space="0" w:color="95B3D7"/>
              <w:right w:val="single" w:sz="4" w:space="0" w:color="95B3D7"/>
            </w:tcBorders>
            <w:shd w:val="clear" w:color="000000" w:fill="1F497D"/>
            <w:vAlign w:val="center"/>
            <w:hideMark/>
          </w:tcPr>
          <w:p w:rsidR="00563BA3" w:rsidRPr="00563BA3" w:rsidRDefault="00563BA3" w:rsidP="00563BA3">
            <w:pPr>
              <w:spacing w:after="0" w:line="240" w:lineRule="auto"/>
              <w:jc w:val="center"/>
              <w:rPr>
                <w:rFonts w:ascii="Arial" w:eastAsia="Times New Roman" w:hAnsi="Arial" w:cs="Arial"/>
                <w:b/>
                <w:bCs/>
                <w:color w:val="FFFFFF"/>
                <w:sz w:val="16"/>
                <w:szCs w:val="16"/>
              </w:rPr>
            </w:pPr>
            <w:r w:rsidRPr="00563BA3">
              <w:rPr>
                <w:rFonts w:ascii="Arial" w:eastAsia="Times New Roman" w:hAnsi="Arial" w:cs="Arial"/>
                <w:b/>
                <w:bCs/>
                <w:color w:val="FFFFFF"/>
                <w:sz w:val="16"/>
                <w:szCs w:val="16"/>
              </w:rPr>
              <w:t>(1-6 pm)</w:t>
            </w:r>
          </w:p>
        </w:tc>
        <w:tc>
          <w:tcPr>
            <w:tcW w:w="573" w:type="pct"/>
            <w:tcBorders>
              <w:top w:val="nil"/>
              <w:left w:val="single" w:sz="4" w:space="0" w:color="FFFFFF"/>
              <w:bottom w:val="nil"/>
              <w:right w:val="single" w:sz="4" w:space="0" w:color="auto"/>
            </w:tcBorders>
            <w:shd w:val="clear" w:color="000000" w:fill="1F497D"/>
            <w:vAlign w:val="center"/>
            <w:hideMark/>
          </w:tcPr>
          <w:p w:rsidR="00563BA3" w:rsidRPr="00563BA3" w:rsidRDefault="00563BA3" w:rsidP="00563BA3">
            <w:pPr>
              <w:spacing w:after="0" w:line="240" w:lineRule="auto"/>
              <w:jc w:val="center"/>
              <w:rPr>
                <w:rFonts w:ascii="Calibri" w:eastAsia="Times New Roman" w:hAnsi="Calibri" w:cs="Calibri"/>
                <w:color w:val="FFFFFF"/>
              </w:rPr>
            </w:pPr>
            <w:r w:rsidRPr="00563BA3">
              <w:rPr>
                <w:rFonts w:ascii="Calibri" w:eastAsia="Times New Roman" w:hAnsi="Calibri" w:cs="Calibri"/>
                <w:color w:val="FFFFFF"/>
              </w:rPr>
              <w:t>(°F)</w:t>
            </w:r>
          </w:p>
        </w:tc>
      </w:tr>
      <w:tr w:rsidR="00563BA3" w:rsidRPr="00563BA3" w:rsidTr="00A51AF4">
        <w:trPr>
          <w:trHeight w:val="300"/>
          <w:jc w:val="center"/>
        </w:trPr>
        <w:tc>
          <w:tcPr>
            <w:tcW w:w="526"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1-in-10 August System Peak Day</w:t>
            </w:r>
          </w:p>
        </w:tc>
        <w:tc>
          <w:tcPr>
            <w:tcW w:w="704" w:type="pct"/>
            <w:tcBorders>
              <w:top w:val="single" w:sz="4" w:space="0" w:color="000000"/>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2012</w:t>
            </w:r>
          </w:p>
        </w:tc>
        <w:tc>
          <w:tcPr>
            <w:tcW w:w="746" w:type="pct"/>
            <w:tcBorders>
              <w:top w:val="single" w:sz="4" w:space="0" w:color="000000"/>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1,384</w:t>
            </w:r>
          </w:p>
        </w:tc>
        <w:tc>
          <w:tcPr>
            <w:tcW w:w="620" w:type="pct"/>
            <w:tcBorders>
              <w:top w:val="single" w:sz="4" w:space="0" w:color="000000"/>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449.3</w:t>
            </w:r>
          </w:p>
        </w:tc>
        <w:tc>
          <w:tcPr>
            <w:tcW w:w="620" w:type="pct"/>
            <w:tcBorders>
              <w:top w:val="single" w:sz="4" w:space="0" w:color="000000"/>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420.4</w:t>
            </w:r>
          </w:p>
        </w:tc>
        <w:tc>
          <w:tcPr>
            <w:tcW w:w="620" w:type="pct"/>
            <w:tcBorders>
              <w:top w:val="single" w:sz="4" w:space="0" w:color="000000"/>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28.9</w:t>
            </w:r>
          </w:p>
        </w:tc>
        <w:tc>
          <w:tcPr>
            <w:tcW w:w="591" w:type="pct"/>
            <w:tcBorders>
              <w:top w:val="single" w:sz="4" w:space="0" w:color="000000"/>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single" w:sz="4" w:space="0" w:color="000000"/>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94.8</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2013</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1,658</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539.1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504.5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34.7</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94.9</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2014</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1,849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612.0</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571.1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40.9</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2015</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1,860</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614.9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573.7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2016</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613.4</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572.2</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2017</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612.2</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571.0</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2018</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1,853</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611.3</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570.1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2019</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610.5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569.4</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2020</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1,850</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609.9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568.9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2021</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1,849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609.5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568.4</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tcBorders>
              <w:top w:val="single" w:sz="4" w:space="0" w:color="000000"/>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2022</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1,849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609.1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568.1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6.7%</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94.6</w:t>
            </w:r>
          </w:p>
        </w:tc>
      </w:tr>
      <w:tr w:rsidR="00563BA3" w:rsidRPr="00563BA3" w:rsidTr="00A51AF4">
        <w:trPr>
          <w:trHeight w:val="300"/>
          <w:jc w:val="center"/>
        </w:trPr>
        <w:tc>
          <w:tcPr>
            <w:tcW w:w="526" w:type="pct"/>
            <w:vMerge w:val="restart"/>
            <w:tcBorders>
              <w:top w:val="nil"/>
              <w:left w:val="single" w:sz="4" w:space="0" w:color="auto"/>
              <w:bottom w:val="single" w:sz="4" w:space="0" w:color="000000"/>
              <w:right w:val="single" w:sz="4" w:space="0" w:color="000000"/>
            </w:tcBorders>
            <w:shd w:val="clear" w:color="auto" w:fill="auto"/>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1-in-2 August System Peak Day</w:t>
            </w: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2012</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1,384</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446.7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419.1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27.6</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6.2%</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94.1</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2013</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1,658</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535.7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502.5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33.2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6.2%</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94.1</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2014</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1,849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608.2</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569.2</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39.0</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2015</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1,860</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611.1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571.9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39.3</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2016</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609.6</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570.4</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2017</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608.5</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569.3</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2018</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1,853</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607.6</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568.4</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6.4%</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2019</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1,851</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606.9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567.7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6.5%</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2020</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1,850</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606.3</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567.2</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39.2</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6.5%</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2021</w:t>
            </w:r>
          </w:p>
        </w:tc>
        <w:tc>
          <w:tcPr>
            <w:tcW w:w="746"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1,849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605.9</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566.7</w:t>
            </w:r>
          </w:p>
        </w:tc>
        <w:tc>
          <w:tcPr>
            <w:tcW w:w="620"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39.1</w:t>
            </w:r>
          </w:p>
        </w:tc>
        <w:tc>
          <w:tcPr>
            <w:tcW w:w="591" w:type="pct"/>
            <w:tcBorders>
              <w:top w:val="nil"/>
              <w:left w:val="nil"/>
              <w:bottom w:val="single" w:sz="4" w:space="0" w:color="000000"/>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6.5%</w:t>
            </w:r>
          </w:p>
        </w:tc>
        <w:tc>
          <w:tcPr>
            <w:tcW w:w="573" w:type="pct"/>
            <w:tcBorders>
              <w:top w:val="nil"/>
              <w:left w:val="nil"/>
              <w:bottom w:val="single" w:sz="4" w:space="0" w:color="000000"/>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r w:rsidR="00563BA3" w:rsidRPr="00563BA3" w:rsidTr="00A51AF4">
        <w:trPr>
          <w:trHeight w:val="300"/>
          <w:jc w:val="center"/>
        </w:trPr>
        <w:tc>
          <w:tcPr>
            <w:tcW w:w="526" w:type="pct"/>
            <w:vMerge/>
            <w:tcBorders>
              <w:top w:val="nil"/>
              <w:left w:val="single" w:sz="4" w:space="0" w:color="auto"/>
              <w:bottom w:val="single" w:sz="4" w:space="0" w:color="000000"/>
              <w:right w:val="single" w:sz="4" w:space="0" w:color="000000"/>
            </w:tcBorders>
            <w:vAlign w:val="center"/>
            <w:hideMark/>
          </w:tcPr>
          <w:p w:rsidR="00563BA3" w:rsidRPr="00563BA3" w:rsidRDefault="00563BA3" w:rsidP="00563BA3">
            <w:pPr>
              <w:spacing w:after="0" w:line="240" w:lineRule="auto"/>
              <w:rPr>
                <w:rFonts w:ascii="Calibri" w:eastAsia="Times New Roman" w:hAnsi="Calibri" w:cs="Calibri"/>
                <w:color w:val="000000"/>
              </w:rPr>
            </w:pPr>
          </w:p>
        </w:tc>
        <w:tc>
          <w:tcPr>
            <w:tcW w:w="704" w:type="pct"/>
            <w:tcBorders>
              <w:top w:val="nil"/>
              <w:left w:val="nil"/>
              <w:bottom w:val="single" w:sz="4" w:space="0" w:color="auto"/>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2022</w:t>
            </w:r>
          </w:p>
        </w:tc>
        <w:tc>
          <w:tcPr>
            <w:tcW w:w="746" w:type="pct"/>
            <w:tcBorders>
              <w:top w:val="nil"/>
              <w:left w:val="nil"/>
              <w:bottom w:val="single" w:sz="4" w:space="0" w:color="auto"/>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1,849</w:t>
            </w:r>
          </w:p>
        </w:tc>
        <w:tc>
          <w:tcPr>
            <w:tcW w:w="620" w:type="pct"/>
            <w:tcBorders>
              <w:top w:val="nil"/>
              <w:left w:val="nil"/>
              <w:bottom w:val="single" w:sz="4" w:space="0" w:color="auto"/>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605.5</w:t>
            </w:r>
          </w:p>
        </w:tc>
        <w:tc>
          <w:tcPr>
            <w:tcW w:w="620" w:type="pct"/>
            <w:tcBorders>
              <w:top w:val="nil"/>
              <w:left w:val="nil"/>
              <w:bottom w:val="single" w:sz="4" w:space="0" w:color="auto"/>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566.4</w:t>
            </w:r>
          </w:p>
        </w:tc>
        <w:tc>
          <w:tcPr>
            <w:tcW w:w="620" w:type="pct"/>
            <w:tcBorders>
              <w:top w:val="nil"/>
              <w:left w:val="nil"/>
              <w:bottom w:val="single" w:sz="4" w:space="0" w:color="auto"/>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39.1</w:t>
            </w:r>
          </w:p>
        </w:tc>
        <w:tc>
          <w:tcPr>
            <w:tcW w:w="591" w:type="pct"/>
            <w:tcBorders>
              <w:top w:val="nil"/>
              <w:left w:val="nil"/>
              <w:bottom w:val="single" w:sz="4" w:space="0" w:color="auto"/>
              <w:right w:val="single" w:sz="4" w:space="0" w:color="000000"/>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6.5%</w:t>
            </w:r>
          </w:p>
        </w:tc>
        <w:tc>
          <w:tcPr>
            <w:tcW w:w="573" w:type="pct"/>
            <w:tcBorders>
              <w:top w:val="nil"/>
              <w:left w:val="nil"/>
              <w:bottom w:val="single" w:sz="4" w:space="0" w:color="auto"/>
              <w:right w:val="single" w:sz="4" w:space="0" w:color="auto"/>
            </w:tcBorders>
            <w:shd w:val="clear" w:color="auto" w:fill="auto"/>
            <w:noWrap/>
            <w:vAlign w:val="center"/>
            <w:hideMark/>
          </w:tcPr>
          <w:p w:rsidR="00563BA3" w:rsidRPr="00563BA3" w:rsidRDefault="00563BA3" w:rsidP="00563BA3">
            <w:pPr>
              <w:spacing w:after="0" w:line="240" w:lineRule="auto"/>
              <w:jc w:val="center"/>
              <w:rPr>
                <w:rFonts w:ascii="Calibri" w:eastAsia="Times New Roman" w:hAnsi="Calibri" w:cs="Calibri"/>
                <w:color w:val="000000"/>
              </w:rPr>
            </w:pPr>
            <w:r w:rsidRPr="00563BA3">
              <w:rPr>
                <w:rFonts w:ascii="Calibri" w:eastAsia="Times New Roman" w:hAnsi="Calibri" w:cs="Calibri"/>
                <w:color w:val="000000"/>
              </w:rPr>
              <w:t>93.6</w:t>
            </w:r>
          </w:p>
        </w:tc>
      </w:tr>
    </w:tbl>
    <w:p w:rsidR="00563BA3" w:rsidRPr="00563BA3" w:rsidRDefault="00563BA3" w:rsidP="00563BA3">
      <w:pPr>
        <w:pStyle w:val="BodyParaAfterTableFigure"/>
        <w:spacing w:before="0"/>
      </w:pPr>
      <w:r>
        <w:t>*The forecasts</w:t>
      </w:r>
      <w:r w:rsidR="00A51AF4">
        <w:t xml:space="preserve"> for 2012 and 2013 reflect the historic 2 PM to 6 PM event window</w:t>
      </w:r>
    </w:p>
    <w:p w:rsidR="001D37BD" w:rsidRDefault="001D37BD" w:rsidP="001D37BD">
      <w:pPr>
        <w:pStyle w:val="Heading3"/>
        <w:spacing w:before="360"/>
        <w:ind w:left="720"/>
      </w:pPr>
      <w:bookmarkStart w:id="102" w:name="_Toc289093912"/>
      <w:bookmarkStart w:id="103" w:name="_Toc289094000"/>
      <w:bookmarkStart w:id="104" w:name="_Toc289112737"/>
      <w:bookmarkStart w:id="105" w:name="_Toc289178031"/>
      <w:bookmarkStart w:id="106" w:name="_Toc326072131"/>
      <w:bookmarkEnd w:id="102"/>
      <w:bookmarkEnd w:id="103"/>
      <w:bookmarkEnd w:id="104"/>
      <w:r>
        <w:lastRenderedPageBreak/>
        <w:t>Ex Ante Load Impact Uncertainty</w:t>
      </w:r>
      <w:bookmarkEnd w:id="105"/>
      <w:bookmarkEnd w:id="106"/>
      <w:r>
        <w:t xml:space="preserve"> </w:t>
      </w:r>
    </w:p>
    <w:p w:rsidR="001D37BD" w:rsidRDefault="001D37BD" w:rsidP="001D37BD">
      <w:pPr>
        <w:pStyle w:val="BodyParagraph"/>
      </w:pPr>
      <w:r w:rsidRPr="00862A0E">
        <w:t>Underlying the impact</w:t>
      </w:r>
      <w:r>
        <w:t xml:space="preserve"> estimate</w:t>
      </w:r>
      <w:r w:rsidRPr="00862A0E">
        <w:t>s</w:t>
      </w:r>
      <w:r>
        <w:t xml:space="preserve"> summarized above </w:t>
      </w:r>
      <w:r w:rsidRPr="00862A0E">
        <w:t xml:space="preserve">is a </w:t>
      </w:r>
      <w:r>
        <w:t>significant amoun</w:t>
      </w:r>
      <w:r w:rsidRPr="00862A0E">
        <w:t>t of uncertainty.</w:t>
      </w:r>
      <w:r>
        <w:t xml:space="preserve">  Table 7-3 summarizes the uncertainty in the ex ante annual system peak load impact estimates for large customers.</w:t>
      </w:r>
      <w:r w:rsidRPr="00862A0E">
        <w:t xml:space="preserve">  </w:t>
      </w:r>
      <w:r w:rsidRPr="00BE286E">
        <w:t>As can be seen, the uncertainty is large.  For example, in 2012, the 80% confidence interval for</w:t>
      </w:r>
      <w:r w:rsidR="00176610">
        <w:t xml:space="preserve"> 1-in-2 impacts ranges from 16.0 MW up to 39.2</w:t>
      </w:r>
      <w:r w:rsidRPr="00BE286E">
        <w:t xml:space="preserve"> MW.  </w:t>
      </w:r>
    </w:p>
    <w:p w:rsidR="001D37BD" w:rsidRDefault="001D37BD" w:rsidP="001D37BD">
      <w:pPr>
        <w:pStyle w:val="TableFigureCaption"/>
      </w:pPr>
      <w:r>
        <w:t>Table 7-3</w:t>
      </w:r>
      <w:proofErr w:type="gramStart"/>
      <w:r>
        <w:t>:</w:t>
      </w:r>
      <w:proofErr w:type="gramEnd"/>
      <w:r w:rsidRPr="00D3489F">
        <w:br/>
      </w:r>
      <w:r w:rsidR="0078670F">
        <w:t>Portfolio</w:t>
      </w:r>
      <w:r>
        <w:t xml:space="preserve"> Annual</w:t>
      </w:r>
      <w:r w:rsidRPr="009B536E">
        <w:t xml:space="preserve"> Peak Day Load Impacts</w:t>
      </w:r>
      <w:r>
        <w:t xml:space="preserve"> for Large Customers</w:t>
      </w:r>
      <w:r w:rsidRPr="009B536E">
        <w:t xml:space="preserve"> with Uncertainty </w:t>
      </w:r>
      <w:r w:rsidRPr="009B536E">
        <w:br/>
        <w:t xml:space="preserve">(Hourly Average Reduction in MW Over the </w:t>
      </w:r>
      <w:r>
        <w:t>Historical Event Day Window- 1 PM</w:t>
      </w:r>
      <w:r w:rsidRPr="009B536E">
        <w:t xml:space="preserve"> to 6 </w:t>
      </w:r>
      <w:r>
        <w:t>PM</w:t>
      </w:r>
      <w:r w:rsidRPr="009B536E">
        <w:t>)</w:t>
      </w:r>
    </w:p>
    <w:tbl>
      <w:tblPr>
        <w:tblW w:w="5000" w:type="pct"/>
        <w:jc w:val="center"/>
        <w:tblLook w:val="04A0"/>
      </w:tblPr>
      <w:tblGrid>
        <w:gridCol w:w="1100"/>
        <w:gridCol w:w="1533"/>
        <w:gridCol w:w="1337"/>
        <w:gridCol w:w="1099"/>
        <w:gridCol w:w="1099"/>
        <w:gridCol w:w="1099"/>
        <w:gridCol w:w="1099"/>
        <w:gridCol w:w="1210"/>
      </w:tblGrid>
      <w:tr w:rsidR="00A51AF4" w:rsidRPr="00A51AF4" w:rsidTr="00A51AF4">
        <w:trPr>
          <w:trHeight w:val="900"/>
          <w:jc w:val="center"/>
        </w:trPr>
        <w:tc>
          <w:tcPr>
            <w:tcW w:w="574" w:type="pct"/>
            <w:vMerge w:val="restart"/>
            <w:tcBorders>
              <w:top w:val="single" w:sz="4" w:space="0" w:color="1F497D"/>
              <w:left w:val="single" w:sz="4" w:space="0" w:color="1F497D"/>
              <w:bottom w:val="single" w:sz="4" w:space="0" w:color="FFFFFF"/>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Weather Year</w:t>
            </w:r>
          </w:p>
        </w:tc>
        <w:tc>
          <w:tcPr>
            <w:tcW w:w="800" w:type="pct"/>
            <w:vMerge w:val="restart"/>
            <w:tcBorders>
              <w:top w:val="single" w:sz="4" w:space="0" w:color="1F497D"/>
              <w:left w:val="single" w:sz="4" w:space="0" w:color="FFFFFF"/>
              <w:bottom w:val="single" w:sz="4" w:space="0" w:color="FFFFFF"/>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Year</w:t>
            </w:r>
          </w:p>
        </w:tc>
        <w:tc>
          <w:tcPr>
            <w:tcW w:w="698" w:type="pct"/>
            <w:tcBorders>
              <w:top w:val="single" w:sz="4" w:space="0" w:color="1F497D"/>
              <w:left w:val="nil"/>
              <w:bottom w:val="single" w:sz="4" w:space="0" w:color="FFFFFF"/>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Expected Avg. Load Impact</w:t>
            </w:r>
          </w:p>
        </w:tc>
        <w:tc>
          <w:tcPr>
            <w:tcW w:w="2927" w:type="pct"/>
            <w:gridSpan w:val="5"/>
            <w:tcBorders>
              <w:top w:val="single" w:sz="4" w:space="0" w:color="1F497D"/>
              <w:left w:val="nil"/>
              <w:bottom w:val="single" w:sz="4" w:space="0" w:color="FFFFFF"/>
              <w:right w:val="single" w:sz="4" w:space="0" w:color="1F497D"/>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Impact Uncertainty</w:t>
            </w:r>
          </w:p>
        </w:tc>
      </w:tr>
      <w:tr w:rsidR="00A51AF4" w:rsidRPr="00A51AF4" w:rsidTr="00A51AF4">
        <w:trPr>
          <w:trHeight w:val="300"/>
          <w:jc w:val="center"/>
        </w:trPr>
        <w:tc>
          <w:tcPr>
            <w:tcW w:w="574" w:type="pct"/>
            <w:vMerge/>
            <w:tcBorders>
              <w:top w:val="single" w:sz="4" w:space="0" w:color="1F497D"/>
              <w:left w:val="single" w:sz="4" w:space="0" w:color="1F497D"/>
              <w:bottom w:val="single" w:sz="4" w:space="0" w:color="FFFFFF"/>
              <w:right w:val="single" w:sz="4" w:space="0" w:color="FFFFFF"/>
            </w:tcBorders>
            <w:vAlign w:val="center"/>
            <w:hideMark/>
          </w:tcPr>
          <w:p w:rsidR="00A51AF4" w:rsidRPr="00A51AF4" w:rsidRDefault="00A51AF4" w:rsidP="00A51AF4">
            <w:pPr>
              <w:spacing w:after="0" w:line="240" w:lineRule="auto"/>
              <w:rPr>
                <w:rFonts w:ascii="Calibri" w:eastAsia="Times New Roman" w:hAnsi="Calibri" w:cs="Calibri"/>
                <w:b/>
                <w:bCs/>
                <w:color w:val="FFFFFF"/>
              </w:rPr>
            </w:pPr>
          </w:p>
        </w:tc>
        <w:tc>
          <w:tcPr>
            <w:tcW w:w="800" w:type="pct"/>
            <w:vMerge/>
            <w:tcBorders>
              <w:top w:val="single" w:sz="4" w:space="0" w:color="1F497D"/>
              <w:left w:val="single" w:sz="4" w:space="0" w:color="FFFFFF"/>
              <w:bottom w:val="single" w:sz="4" w:space="0" w:color="FFFFFF"/>
              <w:right w:val="single" w:sz="4" w:space="0" w:color="FFFFFF"/>
            </w:tcBorders>
            <w:vAlign w:val="center"/>
            <w:hideMark/>
          </w:tcPr>
          <w:p w:rsidR="00A51AF4" w:rsidRPr="00A51AF4" w:rsidRDefault="00A51AF4" w:rsidP="00A51AF4">
            <w:pPr>
              <w:spacing w:after="0" w:line="240" w:lineRule="auto"/>
              <w:rPr>
                <w:rFonts w:ascii="Calibri" w:eastAsia="Times New Roman" w:hAnsi="Calibri" w:cs="Calibri"/>
                <w:b/>
                <w:bCs/>
                <w:color w:val="FFFFFF"/>
              </w:rPr>
            </w:pPr>
          </w:p>
        </w:tc>
        <w:tc>
          <w:tcPr>
            <w:tcW w:w="698" w:type="pct"/>
            <w:tcBorders>
              <w:top w:val="single" w:sz="4" w:space="0" w:color="95B3D7"/>
              <w:left w:val="single" w:sz="4" w:space="0" w:color="95B3D7"/>
              <w:bottom w:val="single" w:sz="4" w:space="0" w:color="95B3D7"/>
              <w:right w:val="single" w:sz="4" w:space="0" w:color="95B3D7"/>
            </w:tcBorders>
            <w:shd w:val="clear" w:color="000000" w:fill="1F497D"/>
            <w:vAlign w:val="center"/>
            <w:hideMark/>
          </w:tcPr>
          <w:p w:rsidR="00A51AF4" w:rsidRPr="00A51AF4" w:rsidRDefault="00A51AF4" w:rsidP="00A51AF4">
            <w:pPr>
              <w:spacing w:after="0" w:line="240" w:lineRule="auto"/>
              <w:jc w:val="center"/>
              <w:rPr>
                <w:rFonts w:ascii="Arial" w:eastAsia="Times New Roman" w:hAnsi="Arial" w:cs="Arial"/>
                <w:b/>
                <w:bCs/>
                <w:color w:val="FFFFFF"/>
                <w:sz w:val="16"/>
                <w:szCs w:val="16"/>
              </w:rPr>
            </w:pPr>
            <w:r w:rsidRPr="00A51AF4">
              <w:rPr>
                <w:rFonts w:ascii="Arial" w:eastAsia="Times New Roman" w:hAnsi="Arial" w:cs="Arial"/>
                <w:b/>
                <w:bCs/>
                <w:color w:val="FFFFFF"/>
                <w:sz w:val="16"/>
                <w:szCs w:val="16"/>
              </w:rPr>
              <w:t>(MW  1-6 pm)</w:t>
            </w:r>
          </w:p>
        </w:tc>
        <w:tc>
          <w:tcPr>
            <w:tcW w:w="574" w:type="pct"/>
            <w:tcBorders>
              <w:top w:val="nil"/>
              <w:left w:val="single" w:sz="4" w:space="0" w:color="FFFFFF"/>
              <w:bottom w:val="nil"/>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10th</w:t>
            </w:r>
          </w:p>
        </w:tc>
        <w:tc>
          <w:tcPr>
            <w:tcW w:w="574" w:type="pct"/>
            <w:tcBorders>
              <w:top w:val="nil"/>
              <w:left w:val="nil"/>
              <w:bottom w:val="nil"/>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30th</w:t>
            </w:r>
          </w:p>
        </w:tc>
        <w:tc>
          <w:tcPr>
            <w:tcW w:w="574" w:type="pct"/>
            <w:tcBorders>
              <w:top w:val="nil"/>
              <w:left w:val="nil"/>
              <w:bottom w:val="nil"/>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50th</w:t>
            </w:r>
          </w:p>
        </w:tc>
        <w:tc>
          <w:tcPr>
            <w:tcW w:w="574" w:type="pct"/>
            <w:tcBorders>
              <w:top w:val="nil"/>
              <w:left w:val="nil"/>
              <w:bottom w:val="nil"/>
              <w:right w:val="single" w:sz="4" w:space="0" w:color="FFFFFF"/>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70th</w:t>
            </w:r>
          </w:p>
        </w:tc>
        <w:tc>
          <w:tcPr>
            <w:tcW w:w="632" w:type="pct"/>
            <w:tcBorders>
              <w:top w:val="nil"/>
              <w:left w:val="nil"/>
              <w:bottom w:val="nil"/>
              <w:right w:val="single" w:sz="4" w:space="0" w:color="1F497D"/>
            </w:tcBorders>
            <w:shd w:val="clear" w:color="000000" w:fill="1F497D"/>
            <w:vAlign w:val="center"/>
            <w:hideMark/>
          </w:tcPr>
          <w:p w:rsidR="00A51AF4" w:rsidRPr="00A51AF4" w:rsidRDefault="00A51AF4" w:rsidP="00A51AF4">
            <w:pPr>
              <w:spacing w:after="0" w:line="240" w:lineRule="auto"/>
              <w:jc w:val="center"/>
              <w:rPr>
                <w:rFonts w:ascii="Calibri" w:eastAsia="Times New Roman" w:hAnsi="Calibri" w:cs="Calibri"/>
                <w:b/>
                <w:bCs/>
                <w:color w:val="FFFFFF"/>
              </w:rPr>
            </w:pPr>
            <w:r w:rsidRPr="00A51AF4">
              <w:rPr>
                <w:rFonts w:ascii="Calibri" w:eastAsia="Times New Roman" w:hAnsi="Calibri" w:cs="Calibri"/>
                <w:b/>
                <w:bCs/>
                <w:color w:val="FFFFFF"/>
              </w:rPr>
              <w:t>90th</w:t>
            </w:r>
          </w:p>
        </w:tc>
      </w:tr>
      <w:tr w:rsidR="00A51AF4" w:rsidRPr="00A51AF4" w:rsidTr="00A51AF4">
        <w:trPr>
          <w:trHeight w:val="300"/>
          <w:jc w:val="center"/>
        </w:trPr>
        <w:tc>
          <w:tcPr>
            <w:tcW w:w="5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1-in-10 August System Peak Day</w:t>
            </w:r>
          </w:p>
        </w:tc>
        <w:tc>
          <w:tcPr>
            <w:tcW w:w="800"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2012</w:t>
            </w:r>
          </w:p>
        </w:tc>
        <w:tc>
          <w:tcPr>
            <w:tcW w:w="698"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28.9</w:t>
            </w:r>
          </w:p>
        </w:tc>
        <w:tc>
          <w:tcPr>
            <w:tcW w:w="574"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17.1</w:t>
            </w:r>
          </w:p>
        </w:tc>
        <w:tc>
          <w:tcPr>
            <w:tcW w:w="574"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24.1</w:t>
            </w:r>
          </w:p>
        </w:tc>
        <w:tc>
          <w:tcPr>
            <w:tcW w:w="574"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28.9</w:t>
            </w:r>
          </w:p>
        </w:tc>
        <w:tc>
          <w:tcPr>
            <w:tcW w:w="574"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33.7</w:t>
            </w:r>
          </w:p>
        </w:tc>
        <w:tc>
          <w:tcPr>
            <w:tcW w:w="632" w:type="pct"/>
            <w:tcBorders>
              <w:top w:val="single" w:sz="4" w:space="0" w:color="000000"/>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40.7</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2013</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34.7</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19.5</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28.4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34.7</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40.8</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49.8</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2014</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40.9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33.7</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40.9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48.1</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58.4</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2015</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23.5</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48.4</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58.9</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2016</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48.4</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58.9</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2017</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48.4</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58.9</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2018</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58.8</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2019</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58.8</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2020</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58.8</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2021</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23.4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58.7</w:t>
            </w:r>
          </w:p>
        </w:tc>
      </w:tr>
      <w:tr w:rsidR="00A51AF4" w:rsidRPr="00A51AF4" w:rsidTr="00A51AF4">
        <w:trPr>
          <w:trHeight w:val="300"/>
          <w:jc w:val="center"/>
        </w:trPr>
        <w:tc>
          <w:tcPr>
            <w:tcW w:w="574" w:type="pct"/>
            <w:vMerge/>
            <w:tcBorders>
              <w:top w:val="single" w:sz="4" w:space="0" w:color="000000"/>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2022</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24.4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34.2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41.1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47.9</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57.7</w:t>
            </w:r>
          </w:p>
        </w:tc>
      </w:tr>
      <w:tr w:rsidR="00A51AF4" w:rsidRPr="00A51AF4" w:rsidTr="00A51AF4">
        <w:trPr>
          <w:trHeight w:val="300"/>
          <w:jc w:val="center"/>
        </w:trPr>
        <w:tc>
          <w:tcPr>
            <w:tcW w:w="57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1-in-2 August System Peak Day</w:t>
            </w: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2012</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27.6</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16.0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22.9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27.6</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32.4</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2013</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18.3</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27.1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33.2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48.0</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2014</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46.0</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56.2</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2015</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39.3</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21.9</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39.3</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46.4</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56.6</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2016</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56.6</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2017</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56.6</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2018</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46.3</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56.6</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2019</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46.2</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56.5</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2020</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39.2</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46.2</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56.5</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2021</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21.8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32.0</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46.2</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56.5</w:t>
            </w:r>
          </w:p>
        </w:tc>
      </w:tr>
      <w:tr w:rsidR="00A51AF4" w:rsidRPr="00A51AF4" w:rsidTr="00A51AF4">
        <w:trPr>
          <w:trHeight w:val="300"/>
          <w:jc w:val="center"/>
        </w:trPr>
        <w:tc>
          <w:tcPr>
            <w:tcW w:w="574" w:type="pct"/>
            <w:vMerge/>
            <w:tcBorders>
              <w:top w:val="nil"/>
              <w:left w:val="single" w:sz="4" w:space="0" w:color="000000"/>
              <w:bottom w:val="single" w:sz="4" w:space="0" w:color="000000"/>
              <w:right w:val="single" w:sz="4" w:space="0" w:color="000000"/>
            </w:tcBorders>
            <w:vAlign w:val="center"/>
            <w:hideMark/>
          </w:tcPr>
          <w:p w:rsidR="00A51AF4" w:rsidRPr="00A51AF4" w:rsidRDefault="00A51AF4" w:rsidP="00A51AF4">
            <w:pPr>
              <w:spacing w:after="0" w:line="240" w:lineRule="auto"/>
              <w:rPr>
                <w:rFonts w:ascii="Calibri" w:eastAsia="Times New Roman" w:hAnsi="Calibri" w:cs="Calibri"/>
                <w:color w:val="000000"/>
              </w:rPr>
            </w:pPr>
          </w:p>
        </w:tc>
        <w:tc>
          <w:tcPr>
            <w:tcW w:w="800"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2022</w:t>
            </w:r>
          </w:p>
        </w:tc>
        <w:tc>
          <w:tcPr>
            <w:tcW w:w="698"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22.8</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32.4</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39.1</w:t>
            </w:r>
          </w:p>
        </w:tc>
        <w:tc>
          <w:tcPr>
            <w:tcW w:w="574"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45.8</w:t>
            </w:r>
          </w:p>
        </w:tc>
        <w:tc>
          <w:tcPr>
            <w:tcW w:w="632" w:type="pct"/>
            <w:tcBorders>
              <w:top w:val="nil"/>
              <w:left w:val="nil"/>
              <w:bottom w:val="single" w:sz="4" w:space="0" w:color="000000"/>
              <w:right w:val="single" w:sz="4" w:space="0" w:color="000000"/>
            </w:tcBorders>
            <w:shd w:val="clear" w:color="auto" w:fill="auto"/>
            <w:noWrap/>
            <w:vAlign w:val="center"/>
            <w:hideMark/>
          </w:tcPr>
          <w:p w:rsidR="00A51AF4" w:rsidRPr="00A51AF4" w:rsidRDefault="00A51AF4" w:rsidP="00A51AF4">
            <w:pPr>
              <w:spacing w:after="0" w:line="240" w:lineRule="auto"/>
              <w:jc w:val="center"/>
              <w:rPr>
                <w:rFonts w:ascii="Calibri" w:eastAsia="Times New Roman" w:hAnsi="Calibri" w:cs="Calibri"/>
                <w:color w:val="000000"/>
              </w:rPr>
            </w:pPr>
            <w:r w:rsidRPr="00A51AF4">
              <w:rPr>
                <w:rFonts w:ascii="Calibri" w:eastAsia="Times New Roman" w:hAnsi="Calibri" w:cs="Calibri"/>
                <w:color w:val="000000"/>
              </w:rPr>
              <w:t>55.5</w:t>
            </w:r>
          </w:p>
        </w:tc>
      </w:tr>
    </w:tbl>
    <w:p w:rsidR="00A51AF4" w:rsidRPr="00A51AF4" w:rsidRDefault="00A51AF4" w:rsidP="00A51AF4">
      <w:pPr>
        <w:pStyle w:val="BodyParaAfterTableFigure"/>
        <w:spacing w:before="0"/>
      </w:pPr>
      <w:r>
        <w:t>*The forecasts for 2012 and 2013 reflect the historic 2 PM to 6 PM event window</w:t>
      </w:r>
    </w:p>
    <w:p w:rsidR="001D37BD" w:rsidRPr="00E84E74" w:rsidRDefault="001D37BD" w:rsidP="001D37BD">
      <w:pPr>
        <w:pStyle w:val="Heading3"/>
        <w:spacing w:before="360"/>
        <w:ind w:left="720"/>
        <w:rPr>
          <w:rFonts w:cs="Calibri"/>
        </w:rPr>
      </w:pPr>
      <w:bookmarkStart w:id="107" w:name="_Toc289093914"/>
      <w:bookmarkStart w:id="108" w:name="_Toc289094002"/>
      <w:bookmarkStart w:id="109" w:name="_Toc289112739"/>
      <w:bookmarkStart w:id="110" w:name="_Toc289178032"/>
      <w:bookmarkStart w:id="111" w:name="_Toc326072132"/>
      <w:bookmarkEnd w:id="107"/>
      <w:bookmarkEnd w:id="108"/>
      <w:bookmarkEnd w:id="109"/>
      <w:r>
        <w:t xml:space="preserve">Ex Ante Impacts by Geographic </w:t>
      </w:r>
      <w:r w:rsidRPr="008429AC">
        <w:t>Location</w:t>
      </w:r>
      <w:bookmarkEnd w:id="110"/>
      <w:bookmarkEnd w:id="111"/>
    </w:p>
    <w:p w:rsidR="001D37BD" w:rsidRDefault="001D37BD" w:rsidP="001D37BD">
      <w:pPr>
        <w:pStyle w:val="BodyParagraph"/>
      </w:pPr>
      <w:r>
        <w:t>PG&amp;E</w:t>
      </w:r>
      <w:r w:rsidRPr="00E84E74">
        <w:t xml:space="preserve"> is compr</w:t>
      </w:r>
      <w:r>
        <w:t>ised of seven</w:t>
      </w:r>
      <w:r w:rsidRPr="00E84E74">
        <w:t xml:space="preserve"> geographic planning zones known as local capacity areas (LCAs).  </w:t>
      </w:r>
      <w:r>
        <w:t xml:space="preserve">An eighth region, deemed </w:t>
      </w:r>
      <w:proofErr w:type="gramStart"/>
      <w:r>
        <w:t>Other</w:t>
      </w:r>
      <w:proofErr w:type="gramEnd"/>
      <w:r>
        <w:t>, is comprised of customers that are not located in any of the seven LCAs.  The ex ante load impacts differ</w:t>
      </w:r>
      <w:r w:rsidRPr="00E84E74">
        <w:t xml:space="preserve"> </w:t>
      </w:r>
      <w:r>
        <w:t xml:space="preserve">by geographic location due to differences in the total population, industry mix and, to a lesser extent, climate. </w:t>
      </w:r>
    </w:p>
    <w:p w:rsidR="001D37BD" w:rsidRDefault="001D37BD" w:rsidP="001D37BD">
      <w:pPr>
        <w:pStyle w:val="BodyParagraph"/>
      </w:pPr>
      <w:r>
        <w:lastRenderedPageBreak/>
        <w:t xml:space="preserve">Table 7-4 summarizes </w:t>
      </w:r>
      <w:proofErr w:type="gramStart"/>
      <w:r>
        <w:t>the per</w:t>
      </w:r>
      <w:proofErr w:type="gramEnd"/>
      <w:r>
        <w:t xml:space="preserve"> customer ex ante impacts for each LCA by month for large customers.  It shows the per customer impacts for each monthly system peak day under 1-in-2 and 1-in-10 system peaking conditions.  </w:t>
      </w:r>
      <w:r w:rsidRPr="00A66E76">
        <w:t xml:space="preserve">In aggregate, the load reductions are largest in the Greater Bay Area and Other.  Based on the 2011 ex post analysis, almost 50% of customers are in the Greater Bay Area and about 20% are outside of the primary LCA's and classified as </w:t>
      </w:r>
      <w:proofErr w:type="gramStart"/>
      <w:r w:rsidRPr="00A66E76">
        <w:t>Other</w:t>
      </w:r>
      <w:proofErr w:type="gramEnd"/>
      <w:r w:rsidRPr="00A66E76">
        <w:t xml:space="preserve">.  In the ex post analysis, customers in </w:t>
      </w:r>
      <w:proofErr w:type="gramStart"/>
      <w:r w:rsidRPr="00A66E76">
        <w:t>Other</w:t>
      </w:r>
      <w:proofErr w:type="gramEnd"/>
      <w:r w:rsidRPr="00A66E76">
        <w:t xml:space="preserve"> provided 31% of aggregate impacts despite only accounting for 20% of the total population.  By comparison, customers in the Greater Bay Area accounted for 35% of aggregate impacts despite representing almost 50% of the accounts.  Customers in the Other LCA are larger, on average, than customers in the Greater Bay Area and provide larger per-customer impacts.</w:t>
      </w:r>
      <w:r>
        <w:t xml:space="preserve"> </w:t>
      </w:r>
    </w:p>
    <w:p w:rsidR="001D37BD" w:rsidRDefault="001D37BD" w:rsidP="001D37BD">
      <w:pPr>
        <w:pStyle w:val="TableFigureCaption"/>
      </w:pPr>
      <w:r w:rsidRPr="00A66E76">
        <w:t>Table 7-4:</w:t>
      </w:r>
      <w:r w:rsidRPr="00A66E76">
        <w:br/>
      </w:r>
      <w:r w:rsidR="00D21D56" w:rsidRPr="00176610">
        <w:t>2012</w:t>
      </w:r>
      <w:r w:rsidRPr="00A66E76">
        <w:t xml:space="preserve"> </w:t>
      </w:r>
      <w:proofErr w:type="gramStart"/>
      <w:r w:rsidRPr="00A66E76">
        <w:t>Per</w:t>
      </w:r>
      <w:proofErr w:type="gramEnd"/>
      <w:r w:rsidRPr="00A66E76">
        <w:t xml:space="preserve"> Customer Ex Ante Impacts for Large Customers by Local Capacity Area </w:t>
      </w:r>
      <w:r w:rsidRPr="00A66E76">
        <w:br/>
        <w:t>(Hourly Average Reduction in kW Over the</w:t>
      </w:r>
      <w:r w:rsidR="00176610">
        <w:t xml:space="preserve"> Historic</w:t>
      </w:r>
      <w:r w:rsidRPr="00A66E76">
        <w:t xml:space="preserve"> Event Window </w:t>
      </w:r>
      <w:r>
        <w:t>–</w:t>
      </w:r>
      <w:r w:rsidRPr="00A66E76">
        <w:t xml:space="preserve"> </w:t>
      </w:r>
      <w:r w:rsidR="00176610">
        <w:t>2</w:t>
      </w:r>
      <w:r>
        <w:t xml:space="preserve"> PM</w:t>
      </w:r>
      <w:r w:rsidRPr="00A66E76">
        <w:t xml:space="preserve"> to 6 PM)</w:t>
      </w:r>
    </w:p>
    <w:tbl>
      <w:tblPr>
        <w:tblW w:w="5000" w:type="pct"/>
        <w:jc w:val="center"/>
        <w:tblLook w:val="04A0"/>
      </w:tblPr>
      <w:tblGrid>
        <w:gridCol w:w="972"/>
        <w:gridCol w:w="1773"/>
        <w:gridCol w:w="568"/>
        <w:gridCol w:w="568"/>
        <w:gridCol w:w="568"/>
        <w:gridCol w:w="568"/>
        <w:gridCol w:w="594"/>
        <w:gridCol w:w="544"/>
        <w:gridCol w:w="569"/>
        <w:gridCol w:w="572"/>
        <w:gridCol w:w="572"/>
        <w:gridCol w:w="564"/>
        <w:gridCol w:w="572"/>
        <w:gridCol w:w="572"/>
      </w:tblGrid>
      <w:tr w:rsidR="00176610" w:rsidRPr="00176610" w:rsidTr="00176610">
        <w:trPr>
          <w:trHeight w:val="705"/>
          <w:jc w:val="center"/>
        </w:trPr>
        <w:tc>
          <w:tcPr>
            <w:tcW w:w="403" w:type="pct"/>
            <w:tcBorders>
              <w:top w:val="single" w:sz="4" w:space="0" w:color="000000"/>
              <w:left w:val="single" w:sz="4" w:space="0" w:color="000000"/>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Weather Year</w:t>
            </w:r>
          </w:p>
        </w:tc>
        <w:tc>
          <w:tcPr>
            <w:tcW w:w="813"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Local Capacity Area</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Jan</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Feb</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Mar</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Apr</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May</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Jun</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Jul</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Aug</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Sep</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Oct</w:t>
            </w:r>
          </w:p>
        </w:tc>
        <w:tc>
          <w:tcPr>
            <w:tcW w:w="315" w:type="pct"/>
            <w:tcBorders>
              <w:top w:val="single" w:sz="4" w:space="0" w:color="000000"/>
              <w:left w:val="nil"/>
              <w:bottom w:val="single" w:sz="4" w:space="0" w:color="000000"/>
              <w:right w:val="single" w:sz="4" w:space="0" w:color="FFFFFF"/>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Nov</w:t>
            </w:r>
          </w:p>
        </w:tc>
        <w:tc>
          <w:tcPr>
            <w:tcW w:w="315" w:type="pct"/>
            <w:tcBorders>
              <w:top w:val="single" w:sz="4" w:space="0" w:color="000000"/>
              <w:left w:val="nil"/>
              <w:bottom w:val="single" w:sz="4" w:space="0" w:color="000000"/>
              <w:right w:val="single" w:sz="4" w:space="0" w:color="000000"/>
            </w:tcBorders>
            <w:shd w:val="clear" w:color="000000" w:fill="1F497D"/>
            <w:vAlign w:val="center"/>
            <w:hideMark/>
          </w:tcPr>
          <w:p w:rsidR="00176610" w:rsidRPr="00176610" w:rsidRDefault="00176610" w:rsidP="00176610">
            <w:pPr>
              <w:spacing w:after="0" w:line="240" w:lineRule="auto"/>
              <w:jc w:val="center"/>
              <w:rPr>
                <w:rFonts w:ascii="Arial" w:eastAsia="Times New Roman" w:hAnsi="Arial" w:cs="Arial"/>
                <w:color w:val="FFFFFF"/>
                <w:sz w:val="20"/>
                <w:szCs w:val="20"/>
              </w:rPr>
            </w:pPr>
            <w:r w:rsidRPr="00176610">
              <w:rPr>
                <w:rFonts w:ascii="Arial" w:eastAsia="Times New Roman" w:hAnsi="Arial" w:cs="Arial"/>
                <w:color w:val="FFFFFF"/>
                <w:sz w:val="20"/>
                <w:szCs w:val="20"/>
              </w:rPr>
              <w:t>Dec</w:t>
            </w:r>
          </w:p>
        </w:tc>
      </w:tr>
      <w:tr w:rsidR="00176610" w:rsidRPr="00176610" w:rsidTr="00176610">
        <w:trPr>
          <w:trHeight w:val="402"/>
          <w:jc w:val="center"/>
        </w:trPr>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1-in-10</w:t>
            </w: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Greater Bay Area</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17</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16</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16</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Greater Fresno</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Kern</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36</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Northern Coast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18</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18</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17</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Other</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26</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Sierra</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Stockton</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37</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b/>
                <w:bCs/>
                <w:color w:val="000000"/>
                <w:sz w:val="20"/>
                <w:szCs w:val="20"/>
              </w:rPr>
            </w:pPr>
            <w:r w:rsidRPr="00176610">
              <w:rPr>
                <w:rFonts w:ascii="Arial" w:eastAsia="Times New Roman" w:hAnsi="Arial" w:cs="Arial"/>
                <w:b/>
                <w:bCs/>
                <w:color w:val="000000"/>
                <w:sz w:val="20"/>
                <w:szCs w:val="20"/>
              </w:rPr>
              <w:t>All Customers</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1-in-2</w:t>
            </w: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Greater Bay Area</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Greater Fresno</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Kern</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Northern Coast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14</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Other</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28</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28</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28</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25</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Sierra</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23</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21</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Stockton</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26</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27</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30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22</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r w:rsidR="00176610" w:rsidRPr="00176610" w:rsidTr="00176610">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176610" w:rsidRPr="00176610" w:rsidRDefault="00176610" w:rsidP="00176610">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b/>
                <w:bCs/>
                <w:color w:val="000000"/>
                <w:sz w:val="20"/>
                <w:szCs w:val="20"/>
              </w:rPr>
            </w:pPr>
            <w:r w:rsidRPr="00176610">
              <w:rPr>
                <w:rFonts w:ascii="Arial" w:eastAsia="Times New Roman" w:hAnsi="Arial" w:cs="Arial"/>
                <w:b/>
                <w:bCs/>
                <w:color w:val="000000"/>
                <w:sz w:val="20"/>
                <w:szCs w:val="20"/>
              </w:rPr>
              <w:t>All Customers</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20</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19</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18</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176610" w:rsidRPr="00176610" w:rsidRDefault="00176610" w:rsidP="00176610">
            <w:pPr>
              <w:spacing w:after="0" w:line="240" w:lineRule="auto"/>
              <w:jc w:val="center"/>
              <w:rPr>
                <w:rFonts w:ascii="Arial" w:eastAsia="Times New Roman" w:hAnsi="Arial" w:cs="Arial"/>
                <w:color w:val="000000"/>
                <w:sz w:val="20"/>
                <w:szCs w:val="20"/>
              </w:rPr>
            </w:pPr>
            <w:r w:rsidRPr="00176610">
              <w:rPr>
                <w:rFonts w:ascii="Arial" w:eastAsia="Times New Roman" w:hAnsi="Arial" w:cs="Arial"/>
                <w:color w:val="000000"/>
                <w:sz w:val="20"/>
                <w:szCs w:val="20"/>
              </w:rPr>
              <w:t>-</w:t>
            </w:r>
          </w:p>
        </w:tc>
      </w:tr>
    </w:tbl>
    <w:p w:rsidR="001D37BD" w:rsidRDefault="001D37BD" w:rsidP="001D37BD">
      <w:pPr>
        <w:pStyle w:val="BodyParaAfterTableFigure"/>
      </w:pPr>
    </w:p>
    <w:p w:rsidR="001D37BD" w:rsidRDefault="001D37BD" w:rsidP="001D37BD">
      <w:pPr>
        <w:pStyle w:val="Heading2"/>
        <w:ind w:left="540" w:hanging="540"/>
      </w:pPr>
      <w:bookmarkStart w:id="112" w:name="_Toc289178033"/>
      <w:bookmarkStart w:id="113" w:name="_Toc326072133"/>
      <w:r>
        <w:t>Medium C&amp;I Ex Ante Impacts</w:t>
      </w:r>
      <w:bookmarkEnd w:id="112"/>
      <w:bookmarkEnd w:id="113"/>
    </w:p>
    <w:p w:rsidR="001D37BD" w:rsidRDefault="001D37BD" w:rsidP="001D37BD">
      <w:pPr>
        <w:pStyle w:val="BodyParagraph"/>
      </w:pPr>
      <w:r>
        <w:t xml:space="preserve">Overall, there is less certainty regarding medium customer impacts under default CPP.  To date, relatively few PG&amp;E medium customers are enrolled on CPP and because only customers with </w:t>
      </w:r>
      <w:r>
        <w:lastRenderedPageBreak/>
        <w:t xml:space="preserve">maximum demand over 200 kW are defaulted, the voluntary medium customers are not necessarily representative of the medium customer population segment as a whole.  To obtain a larger and more diverse sample, customers from the large category with average hourly demands below 100 kW, were used as a proxy for medium customers.  The results were weighted to account for differences in industry mix and/or geographic location.  </w:t>
      </w:r>
    </w:p>
    <w:p w:rsidR="00A26B55" w:rsidRDefault="001D37BD" w:rsidP="001D37BD">
      <w:pPr>
        <w:pStyle w:val="BodyParagraph"/>
      </w:pPr>
      <w:r>
        <w:t xml:space="preserve">The ex ante load impact estimates for CPP reflect statistical uncertainty and enrollment uncertainty in estimates of average customer load impacts.  Table 7-5 shows PG&amp;E's enrollment projections for medium customers through 2022.  There is a large increase in enrollment projected between 2014 and 2015.  Starting in November 2014 medium customers that have had at least 24 months of experience on a TOU rate will begin defaulting onto CPP, leading to the increase in enrollment.  The increase in enrollment is gradual because it is tied to the roll out of smart meters.  In August of 2012, 194 medium customers are forecast to receive service under the tariff, most of </w:t>
      </w:r>
      <w:proofErr w:type="gramStart"/>
      <w:r>
        <w:t>whom</w:t>
      </w:r>
      <w:proofErr w:type="gramEnd"/>
      <w:r>
        <w:t xml:space="preserve"> voluntarily enrolled in CPP.  In contrast, by August 2015, 12,291 medium customers are projected to be served under the rate schedule.  And by November 2016, the medium customer population is expected to stabilize at around 30,000 accounts.</w:t>
      </w:r>
      <w:r w:rsidR="00A26B55">
        <w:t xml:space="preserve">  </w:t>
      </w:r>
    </w:p>
    <w:p w:rsidR="001D37BD" w:rsidRDefault="00A26B55" w:rsidP="001D37BD">
      <w:pPr>
        <w:pStyle w:val="BodyParagraph"/>
      </w:pPr>
      <w:r>
        <w:t xml:space="preserve">The enrollment forecast differ from last year, which projected enrollments that reached a peak of almost 19,000 customers.  The new enrollment forecast factors in actual empirical data about customer opt out rates after first year bill protection expired.  Last year, PG&amp;E did not have experience with opt out rates after first year bill protection expired and used a conservative assumptions.  The other substantive difference is that medium customers are now scheduled to default to CPP in 2015, two years after they have been placed on mandatory TOU.  This change was made so customers would not confound bill changes due to the TOU with bill changes associated with CPP rates. </w:t>
      </w:r>
    </w:p>
    <w:p w:rsidR="001D37BD" w:rsidRDefault="001D37BD" w:rsidP="001D37BD">
      <w:pPr>
        <w:pStyle w:val="TableFigureCaption"/>
      </w:pPr>
      <w:r>
        <w:t>Table 7-5</w:t>
      </w:r>
      <w:proofErr w:type="gramStart"/>
      <w:r w:rsidR="008F0E66">
        <w:t>:</w:t>
      </w:r>
      <w:proofErr w:type="gramEnd"/>
      <w:r>
        <w:br/>
        <w:t>PG&amp;E’s Enrollment Projections for Medium CPP Customers by Forecast Year and Month</w:t>
      </w:r>
    </w:p>
    <w:tbl>
      <w:tblPr>
        <w:tblW w:w="5000" w:type="pct"/>
        <w:jc w:val="center"/>
        <w:tblLook w:val="04A0"/>
      </w:tblPr>
      <w:tblGrid>
        <w:gridCol w:w="1275"/>
        <w:gridCol w:w="691"/>
        <w:gridCol w:w="691"/>
        <w:gridCol w:w="691"/>
        <w:gridCol w:w="691"/>
        <w:gridCol w:w="691"/>
        <w:gridCol w:w="691"/>
        <w:gridCol w:w="691"/>
        <w:gridCol w:w="691"/>
        <w:gridCol w:w="691"/>
        <w:gridCol w:w="692"/>
        <w:gridCol w:w="692"/>
        <w:gridCol w:w="698"/>
      </w:tblGrid>
      <w:tr w:rsidR="00643456" w:rsidRPr="00643456" w:rsidTr="00643456">
        <w:trPr>
          <w:trHeight w:val="315"/>
          <w:jc w:val="center"/>
        </w:trPr>
        <w:tc>
          <w:tcPr>
            <w:tcW w:w="521" w:type="pct"/>
            <w:vMerge w:val="restart"/>
            <w:tcBorders>
              <w:top w:val="single" w:sz="4" w:space="0" w:color="auto"/>
              <w:left w:val="single" w:sz="4" w:space="0" w:color="auto"/>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Forecast Year</w:t>
            </w:r>
          </w:p>
        </w:tc>
        <w:tc>
          <w:tcPr>
            <w:tcW w:w="4479" w:type="pct"/>
            <w:gridSpan w:val="12"/>
            <w:tcBorders>
              <w:top w:val="single" w:sz="4" w:space="0" w:color="auto"/>
              <w:left w:val="nil"/>
              <w:bottom w:val="single" w:sz="8" w:space="0" w:color="FFFFFF"/>
              <w:right w:val="single" w:sz="4" w:space="0" w:color="000000"/>
            </w:tcBorders>
            <w:shd w:val="clear" w:color="000000" w:fill="1F497D"/>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Month</w:t>
            </w:r>
          </w:p>
        </w:tc>
      </w:tr>
      <w:tr w:rsidR="00643456" w:rsidRPr="00643456" w:rsidTr="00643456">
        <w:trPr>
          <w:trHeight w:val="300"/>
          <w:jc w:val="center"/>
        </w:trPr>
        <w:tc>
          <w:tcPr>
            <w:tcW w:w="521" w:type="pct"/>
            <w:vMerge/>
            <w:tcBorders>
              <w:top w:val="single" w:sz="4" w:space="0" w:color="auto"/>
              <w:left w:val="single" w:sz="4" w:space="0" w:color="auto"/>
              <w:bottom w:val="nil"/>
              <w:right w:val="single" w:sz="8" w:space="0" w:color="FFFFFF"/>
            </w:tcBorders>
            <w:vAlign w:val="center"/>
            <w:hideMark/>
          </w:tcPr>
          <w:p w:rsidR="00643456" w:rsidRPr="00643456" w:rsidRDefault="00643456" w:rsidP="00643456">
            <w:pPr>
              <w:spacing w:after="0" w:line="240" w:lineRule="auto"/>
              <w:rPr>
                <w:rFonts w:ascii="Arial" w:eastAsia="Times New Roman" w:hAnsi="Arial" w:cs="Arial"/>
                <w:b/>
                <w:bCs/>
                <w:color w:val="FFFFFF"/>
                <w:sz w:val="16"/>
                <w:szCs w:val="16"/>
              </w:rPr>
            </w:pP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Jan</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Feb</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Mar</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Apr</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May</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Jun</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Jul</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Aug</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Sep</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Oct</w:t>
            </w:r>
          </w:p>
        </w:tc>
        <w:tc>
          <w:tcPr>
            <w:tcW w:w="373" w:type="pct"/>
            <w:tcBorders>
              <w:top w:val="nil"/>
              <w:left w:val="nil"/>
              <w:bottom w:val="nil"/>
              <w:right w:val="single" w:sz="8" w:space="0" w:color="FFFFFF"/>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Nov</w:t>
            </w:r>
          </w:p>
        </w:tc>
        <w:tc>
          <w:tcPr>
            <w:tcW w:w="373" w:type="pct"/>
            <w:tcBorders>
              <w:top w:val="nil"/>
              <w:left w:val="nil"/>
              <w:bottom w:val="nil"/>
              <w:right w:val="single" w:sz="4" w:space="0" w:color="auto"/>
            </w:tcBorders>
            <w:shd w:val="clear" w:color="000000" w:fill="1F497D"/>
            <w:noWrap/>
            <w:vAlign w:val="bottom"/>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Dec</w:t>
            </w:r>
          </w:p>
        </w:tc>
      </w:tr>
      <w:tr w:rsidR="00643456" w:rsidRPr="00643456" w:rsidTr="00643456">
        <w:trPr>
          <w:trHeight w:val="300"/>
          <w:jc w:val="center"/>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2012</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198</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200</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196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11,991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12,013</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12,036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12,060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12,150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12,185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12,210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12,238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12,265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12,291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12,316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12,339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23,975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23,997</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24,021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24,045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24,799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24,833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24,858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24,885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24,912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24,937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24,961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24,982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30,010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30,030</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30,052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30,075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30,497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30,529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30,553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30,578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30,603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30,626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30,648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30,668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29,131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29,151</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29,171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29,192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29,216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29,246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29,267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29,291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29,313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29,335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29,355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29,373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29,394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29,411</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2019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29,430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29,449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29,472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29,500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29,520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29,542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29,564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29,585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29,604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29,621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29,642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29,658</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2020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29,677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29,697</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29,719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29,748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29,768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29,790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29,812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29,832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29,852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29,869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29,889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29,905</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2021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29,923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29,942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29,964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29,992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30,011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30,033</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30,054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30,074</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30,092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30,108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30,128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30,143</w:t>
            </w:r>
          </w:p>
        </w:tc>
      </w:tr>
      <w:tr w:rsidR="00643456" w:rsidRPr="00643456" w:rsidTr="00643456">
        <w:trPr>
          <w:trHeight w:val="300"/>
          <w:jc w:val="center"/>
        </w:trPr>
        <w:tc>
          <w:tcPr>
            <w:tcW w:w="521"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2022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30,161</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30,179</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30,200</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30,226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30,245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30,266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30,286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30,305</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30,322</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30,338</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30,356</w:t>
            </w:r>
          </w:p>
        </w:tc>
        <w:tc>
          <w:tcPr>
            <w:tcW w:w="373"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sz w:val="16"/>
                <w:szCs w:val="16"/>
              </w:rPr>
            </w:pPr>
            <w:r w:rsidRPr="00643456">
              <w:rPr>
                <w:rFonts w:ascii="Calibri" w:eastAsia="Times New Roman" w:hAnsi="Calibri" w:cs="Calibri"/>
                <w:color w:val="000000"/>
                <w:sz w:val="16"/>
                <w:szCs w:val="16"/>
              </w:rPr>
              <w:t>30,371</w:t>
            </w:r>
          </w:p>
        </w:tc>
      </w:tr>
    </w:tbl>
    <w:p w:rsidR="00643456" w:rsidRPr="00643456" w:rsidRDefault="00643456" w:rsidP="00643456">
      <w:pPr>
        <w:pStyle w:val="BodyParaAfterTableFigure"/>
      </w:pPr>
    </w:p>
    <w:p w:rsidR="001D37BD" w:rsidRDefault="001D37BD" w:rsidP="001D37BD">
      <w:pPr>
        <w:pStyle w:val="BodyParaAfterTableFigure"/>
      </w:pPr>
      <w:r>
        <w:lastRenderedPageBreak/>
        <w:t>The remainder of this section presents the ex ante load impact projections for medium customers projected to receive service under PG&amp;E’s CPP tariff.  The load reduction capability for these customers is summarized on the annual system peak day under 1-in-2 and 1-in-10 weather year conditions for the 2012 to 2022 period.  In addition, per customer impacts by geographic location and month are provided under the standardized ex ante conditions.</w:t>
      </w:r>
    </w:p>
    <w:p w:rsidR="001D37BD" w:rsidRDefault="001D37BD" w:rsidP="001D37BD">
      <w:pPr>
        <w:pStyle w:val="Heading3"/>
        <w:ind w:left="720"/>
        <w:rPr>
          <w:rFonts w:cs="Calibri"/>
        </w:rPr>
      </w:pPr>
      <w:bookmarkStart w:id="114" w:name="_Toc289178034"/>
      <w:bookmarkStart w:id="115" w:name="_Toc326072134"/>
      <w:r>
        <w:t>Annual System Peak Day Impacts</w:t>
      </w:r>
      <w:bookmarkEnd w:id="114"/>
      <w:bookmarkEnd w:id="115"/>
    </w:p>
    <w:p w:rsidR="001D37BD" w:rsidRDefault="001D37BD" w:rsidP="001D37BD">
      <w:pPr>
        <w:pStyle w:val="BodyParagraph"/>
      </w:pPr>
      <w:r>
        <w:t xml:space="preserve">Table 7-6 summarizes the aggregate load impact estimates for medium customers on PG&amp;E’s CPP tariff for each forecast year under both 1-in-2 and 1-in-10 weather year scenarios.  The table shows the average load reduction across the 1 PM to 6 PM event period for an August monthly system peak day. </w:t>
      </w:r>
      <w:r w:rsidR="008F0E66">
        <w:t xml:space="preserve"> Importantly, the event window is from 2 PM to 6 Pm for both the 2012 and 2013 forecast, as mentioned previously. </w:t>
      </w:r>
    </w:p>
    <w:p w:rsidR="008F0E66" w:rsidRDefault="008F0E66" w:rsidP="008F0E66">
      <w:pPr>
        <w:pStyle w:val="TableFigureCaption"/>
        <w:spacing w:after="0"/>
      </w:pPr>
      <w:r>
        <w:t>Table 7-6:</w:t>
      </w:r>
    </w:p>
    <w:p w:rsidR="001D37BD" w:rsidRDefault="008F0E66" w:rsidP="001D37BD">
      <w:pPr>
        <w:pStyle w:val="TableFigureCaption"/>
      </w:pPr>
      <w:r>
        <w:t>Portfolio Annual Peak Day Load Impacts for Medium PG&amp;E CPP Customers</w:t>
      </w:r>
      <w:r w:rsidR="001D37BD">
        <w:t xml:space="preserve"> </w:t>
      </w:r>
      <w:r w:rsidR="001D37BD">
        <w:br/>
        <w:t>(Hourly Average Reduction in MW Over Event Day Period - 1 PM to 6 PM)</w:t>
      </w:r>
    </w:p>
    <w:tbl>
      <w:tblPr>
        <w:tblW w:w="5000" w:type="pct"/>
        <w:jc w:val="center"/>
        <w:tblLook w:val="04A0"/>
      </w:tblPr>
      <w:tblGrid>
        <w:gridCol w:w="1003"/>
        <w:gridCol w:w="1355"/>
        <w:gridCol w:w="1298"/>
        <w:gridCol w:w="1184"/>
        <w:gridCol w:w="1184"/>
        <w:gridCol w:w="1184"/>
        <w:gridCol w:w="1184"/>
        <w:gridCol w:w="1184"/>
      </w:tblGrid>
      <w:tr w:rsidR="00643456" w:rsidRPr="00643456" w:rsidTr="00643456">
        <w:trPr>
          <w:trHeight w:val="900"/>
          <w:jc w:val="center"/>
        </w:trPr>
        <w:tc>
          <w:tcPr>
            <w:tcW w:w="524"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Weather Year</w:t>
            </w:r>
          </w:p>
        </w:tc>
        <w:tc>
          <w:tcPr>
            <w:tcW w:w="70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Year</w:t>
            </w:r>
          </w:p>
        </w:tc>
        <w:tc>
          <w:tcPr>
            <w:tcW w:w="67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Enrolled Accts (Forecast)</w:t>
            </w:r>
            <w:r w:rsidRPr="00643456">
              <w:rPr>
                <w:rFonts w:ascii="Calibri" w:eastAsia="Times New Roman" w:hAnsi="Calibri" w:cs="Calibri"/>
                <w:color w:val="FFFFFF"/>
                <w:vertAlign w:val="superscript"/>
              </w:rPr>
              <w:t>[1]</w:t>
            </w:r>
          </w:p>
        </w:tc>
        <w:tc>
          <w:tcPr>
            <w:tcW w:w="618" w:type="pct"/>
            <w:tcBorders>
              <w:top w:val="single" w:sz="4" w:space="0" w:color="auto"/>
              <w:left w:val="nil"/>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Avg. Reference Load</w:t>
            </w:r>
          </w:p>
        </w:tc>
        <w:tc>
          <w:tcPr>
            <w:tcW w:w="618" w:type="pct"/>
            <w:tcBorders>
              <w:top w:val="single" w:sz="4" w:space="0" w:color="auto"/>
              <w:left w:val="nil"/>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Avg. Estimated Load w DR</w:t>
            </w:r>
          </w:p>
        </w:tc>
        <w:tc>
          <w:tcPr>
            <w:tcW w:w="618" w:type="pct"/>
            <w:tcBorders>
              <w:top w:val="single" w:sz="4" w:space="0" w:color="auto"/>
              <w:left w:val="nil"/>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Avg. Load impact</w:t>
            </w:r>
          </w:p>
        </w:tc>
        <w:tc>
          <w:tcPr>
            <w:tcW w:w="618" w:type="pct"/>
            <w:tcBorders>
              <w:top w:val="single" w:sz="4" w:space="0" w:color="auto"/>
              <w:left w:val="nil"/>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 Load Reduction</w:t>
            </w:r>
          </w:p>
        </w:tc>
        <w:tc>
          <w:tcPr>
            <w:tcW w:w="618" w:type="pct"/>
            <w:tcBorders>
              <w:top w:val="single" w:sz="4" w:space="0" w:color="auto"/>
              <w:left w:val="nil"/>
              <w:bottom w:val="single" w:sz="4" w:space="0" w:color="FFFFFF"/>
              <w:right w:val="single" w:sz="4" w:space="0" w:color="auto"/>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Weighted Temp</w:t>
            </w:r>
          </w:p>
        </w:tc>
      </w:tr>
      <w:tr w:rsidR="00643456" w:rsidRPr="00643456" w:rsidTr="00643456">
        <w:trPr>
          <w:trHeight w:val="300"/>
          <w:jc w:val="center"/>
        </w:trPr>
        <w:tc>
          <w:tcPr>
            <w:tcW w:w="524" w:type="pct"/>
            <w:vMerge/>
            <w:tcBorders>
              <w:top w:val="single" w:sz="4" w:space="0" w:color="auto"/>
              <w:left w:val="single" w:sz="4" w:space="0" w:color="auto"/>
              <w:bottom w:val="single" w:sz="4" w:space="0" w:color="000000"/>
              <w:right w:val="single" w:sz="4" w:space="0" w:color="FFFFFF"/>
            </w:tcBorders>
            <w:vAlign w:val="center"/>
            <w:hideMark/>
          </w:tcPr>
          <w:p w:rsidR="00643456" w:rsidRPr="00643456" w:rsidRDefault="00643456" w:rsidP="00643456">
            <w:pPr>
              <w:spacing w:after="0" w:line="240" w:lineRule="auto"/>
              <w:rPr>
                <w:rFonts w:ascii="Calibri" w:eastAsia="Times New Roman" w:hAnsi="Calibri" w:cs="Calibri"/>
                <w:color w:val="FFFFFF"/>
              </w:rPr>
            </w:pPr>
          </w:p>
        </w:tc>
        <w:tc>
          <w:tcPr>
            <w:tcW w:w="708" w:type="pct"/>
            <w:vMerge/>
            <w:tcBorders>
              <w:top w:val="single" w:sz="4" w:space="0" w:color="auto"/>
              <w:left w:val="single" w:sz="4" w:space="0" w:color="FFFFFF"/>
              <w:bottom w:val="single" w:sz="4" w:space="0" w:color="000000"/>
              <w:right w:val="single" w:sz="4" w:space="0" w:color="FFFFFF"/>
            </w:tcBorders>
            <w:vAlign w:val="center"/>
            <w:hideMark/>
          </w:tcPr>
          <w:p w:rsidR="00643456" w:rsidRPr="00643456" w:rsidRDefault="00643456" w:rsidP="00643456">
            <w:pPr>
              <w:spacing w:after="0" w:line="240" w:lineRule="auto"/>
              <w:rPr>
                <w:rFonts w:ascii="Calibri" w:eastAsia="Times New Roman" w:hAnsi="Calibri" w:cs="Calibri"/>
                <w:color w:val="FFFFFF"/>
              </w:rPr>
            </w:pPr>
          </w:p>
        </w:tc>
        <w:tc>
          <w:tcPr>
            <w:tcW w:w="678" w:type="pct"/>
            <w:vMerge/>
            <w:tcBorders>
              <w:top w:val="single" w:sz="4" w:space="0" w:color="auto"/>
              <w:left w:val="single" w:sz="4" w:space="0" w:color="FFFFFF"/>
              <w:bottom w:val="single" w:sz="4" w:space="0" w:color="000000"/>
              <w:right w:val="single" w:sz="4" w:space="0" w:color="FFFFFF"/>
            </w:tcBorders>
            <w:vAlign w:val="center"/>
            <w:hideMark/>
          </w:tcPr>
          <w:p w:rsidR="00643456" w:rsidRPr="00643456" w:rsidRDefault="00643456" w:rsidP="00643456">
            <w:pPr>
              <w:spacing w:after="0" w:line="240" w:lineRule="auto"/>
              <w:rPr>
                <w:rFonts w:ascii="Calibri" w:eastAsia="Times New Roman" w:hAnsi="Calibri" w:cs="Calibri"/>
                <w:color w:val="FFFFFF"/>
              </w:rPr>
            </w:pPr>
          </w:p>
        </w:tc>
        <w:tc>
          <w:tcPr>
            <w:tcW w:w="618" w:type="pct"/>
            <w:tcBorders>
              <w:top w:val="single" w:sz="4" w:space="0" w:color="95B3D7"/>
              <w:left w:val="single" w:sz="4" w:space="0" w:color="95B3D7"/>
              <w:bottom w:val="single" w:sz="4" w:space="0" w:color="auto"/>
              <w:right w:val="single" w:sz="4" w:space="0" w:color="95B3D7"/>
            </w:tcBorders>
            <w:shd w:val="clear" w:color="000000" w:fill="1F497D"/>
            <w:vAlign w:val="center"/>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(MW  1-6 pm)</w:t>
            </w:r>
          </w:p>
        </w:tc>
        <w:tc>
          <w:tcPr>
            <w:tcW w:w="618" w:type="pct"/>
            <w:tcBorders>
              <w:top w:val="single" w:sz="4" w:space="0" w:color="95B3D7"/>
              <w:left w:val="nil"/>
              <w:bottom w:val="single" w:sz="4" w:space="0" w:color="auto"/>
              <w:right w:val="single" w:sz="4" w:space="0" w:color="95B3D7"/>
            </w:tcBorders>
            <w:shd w:val="clear" w:color="000000" w:fill="1F497D"/>
            <w:vAlign w:val="center"/>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(MW  1-6 pm)</w:t>
            </w:r>
          </w:p>
        </w:tc>
        <w:tc>
          <w:tcPr>
            <w:tcW w:w="618" w:type="pct"/>
            <w:tcBorders>
              <w:top w:val="single" w:sz="4" w:space="0" w:color="95B3D7"/>
              <w:left w:val="nil"/>
              <w:bottom w:val="single" w:sz="4" w:space="0" w:color="auto"/>
              <w:right w:val="single" w:sz="4" w:space="0" w:color="95B3D7"/>
            </w:tcBorders>
            <w:shd w:val="clear" w:color="000000" w:fill="1F497D"/>
            <w:vAlign w:val="center"/>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(MW  1-6 pm)</w:t>
            </w:r>
          </w:p>
        </w:tc>
        <w:tc>
          <w:tcPr>
            <w:tcW w:w="618" w:type="pct"/>
            <w:tcBorders>
              <w:top w:val="single" w:sz="4" w:space="0" w:color="95B3D7"/>
              <w:left w:val="nil"/>
              <w:bottom w:val="single" w:sz="4" w:space="0" w:color="auto"/>
              <w:right w:val="single" w:sz="4" w:space="0" w:color="95B3D7"/>
            </w:tcBorders>
            <w:shd w:val="clear" w:color="000000" w:fill="1F497D"/>
            <w:vAlign w:val="center"/>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(1-6 pm)</w:t>
            </w:r>
          </w:p>
        </w:tc>
        <w:tc>
          <w:tcPr>
            <w:tcW w:w="618" w:type="pct"/>
            <w:tcBorders>
              <w:top w:val="nil"/>
              <w:left w:val="single" w:sz="4" w:space="0" w:color="FFFFFF"/>
              <w:bottom w:val="single" w:sz="4" w:space="0" w:color="auto"/>
              <w:right w:val="single" w:sz="4" w:space="0" w:color="auto"/>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color w:val="FFFFFF"/>
              </w:rPr>
            </w:pPr>
            <w:r w:rsidRPr="00643456">
              <w:rPr>
                <w:rFonts w:ascii="Calibri" w:eastAsia="Times New Roman" w:hAnsi="Calibri" w:cs="Calibri"/>
                <w:color w:val="FFFFFF"/>
              </w:rPr>
              <w:t>(°F)</w:t>
            </w:r>
          </w:p>
        </w:tc>
      </w:tr>
      <w:tr w:rsidR="00643456" w:rsidRPr="00643456" w:rsidTr="00D775D8">
        <w:trPr>
          <w:trHeight w:val="274"/>
          <w:jc w:val="center"/>
        </w:trPr>
        <w:tc>
          <w:tcPr>
            <w:tcW w:w="524" w:type="pct"/>
            <w:vMerge w:val="restart"/>
            <w:tcBorders>
              <w:top w:val="nil"/>
              <w:left w:val="single" w:sz="4" w:space="0" w:color="auto"/>
              <w:bottom w:val="single" w:sz="4" w:space="0" w:color="000000"/>
              <w:right w:val="single" w:sz="4" w:space="0" w:color="000000"/>
            </w:tcBorders>
            <w:shd w:val="clear" w:color="auto" w:fill="auto"/>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1-in-10 August System Peak Day</w:t>
            </w: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2012</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10.6%</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97.8</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2013</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10.4%</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97.8</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2014</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10.7%</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97.3</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2015</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12,291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465.0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412.4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52.6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11.3%</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98.1</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2016</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24,937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982.0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894.3</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87.7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8.9%</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96.1</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2017</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30,626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1,221.2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1,117.2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104.0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8.5%</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95.7</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2018</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29,335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1,167.2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1,066.7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100.5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8.6%</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95.8</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2019</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29,585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1,177.1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1,075.8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101.4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8.6%</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95.8</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2020</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29,832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1,187.0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1,084.8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102.2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8.6%</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95.8</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2021</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30,074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1,196.5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1,093.5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103.0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8.6%</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95.8</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2022</w:t>
            </w:r>
          </w:p>
        </w:tc>
        <w:tc>
          <w:tcPr>
            <w:tcW w:w="67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30,305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1,205.7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1,101.9</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103.8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8.6%</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95.8</w:t>
            </w:r>
          </w:p>
        </w:tc>
      </w:tr>
      <w:tr w:rsidR="00643456" w:rsidRPr="00643456" w:rsidTr="00D775D8">
        <w:trPr>
          <w:trHeight w:val="274"/>
          <w:jc w:val="center"/>
        </w:trPr>
        <w:tc>
          <w:tcPr>
            <w:tcW w:w="524" w:type="pct"/>
            <w:vMerge w:val="restart"/>
            <w:tcBorders>
              <w:top w:val="nil"/>
              <w:left w:val="single" w:sz="4" w:space="0" w:color="auto"/>
              <w:bottom w:val="single" w:sz="4" w:space="0" w:color="000000"/>
              <w:right w:val="single" w:sz="4" w:space="0" w:color="000000"/>
            </w:tcBorders>
            <w:shd w:val="clear" w:color="auto" w:fill="auto"/>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1-in-2 August System Peak Day</w:t>
            </w: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2012</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6.8</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6.3</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7.4%</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94.9</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2013</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7.2%</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94.9</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2014</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7.3</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7.4%</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94.3</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2015</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12,291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442.1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407.1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35.0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7.9%</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94.6</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2016</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24,937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936.9</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876.4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60.5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6.5%</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94.1</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2017</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30,626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1,167.7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1,095.7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72.1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6.2%</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94.0</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2018</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29,335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1,115.5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1,046.0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69.5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6.2%</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94.0</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2019</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29,585</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1,125.0</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1,054.9</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70.1</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6.2%</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94.0</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2020</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29,832</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1,134.4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1,063.7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70.7</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6.2%</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94.0</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2021</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30,074</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1,143.6</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1,072.3</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71.3</w:t>
            </w:r>
          </w:p>
        </w:tc>
        <w:tc>
          <w:tcPr>
            <w:tcW w:w="618" w:type="pct"/>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6.2%</w:t>
            </w:r>
          </w:p>
        </w:tc>
        <w:tc>
          <w:tcPr>
            <w:tcW w:w="618" w:type="pct"/>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94.0</w:t>
            </w:r>
          </w:p>
        </w:tc>
      </w:tr>
      <w:tr w:rsidR="00643456" w:rsidRPr="00643456" w:rsidTr="00D775D8">
        <w:trPr>
          <w:trHeight w:val="274"/>
          <w:jc w:val="center"/>
        </w:trPr>
        <w:tc>
          <w:tcPr>
            <w:tcW w:w="524" w:type="pct"/>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708" w:type="pct"/>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2022</w:t>
            </w:r>
          </w:p>
        </w:tc>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30,305</w:t>
            </w:r>
          </w:p>
        </w:tc>
        <w:tc>
          <w:tcPr>
            <w:tcW w:w="618" w:type="pct"/>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1,152.3</w:t>
            </w:r>
          </w:p>
        </w:tc>
        <w:tc>
          <w:tcPr>
            <w:tcW w:w="618" w:type="pct"/>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1,080.5</w:t>
            </w:r>
          </w:p>
        </w:tc>
        <w:tc>
          <w:tcPr>
            <w:tcW w:w="618" w:type="pct"/>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71.8</w:t>
            </w:r>
          </w:p>
        </w:tc>
        <w:tc>
          <w:tcPr>
            <w:tcW w:w="618" w:type="pct"/>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6.2%</w:t>
            </w:r>
          </w:p>
        </w:tc>
        <w:tc>
          <w:tcPr>
            <w:tcW w:w="618" w:type="pct"/>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94.0</w:t>
            </w:r>
          </w:p>
        </w:tc>
      </w:tr>
    </w:tbl>
    <w:p w:rsidR="001D37BD" w:rsidRDefault="00643456" w:rsidP="00643456">
      <w:pPr>
        <w:pStyle w:val="BodyParaAfterTableFigure"/>
        <w:spacing w:before="0"/>
      </w:pPr>
      <w:r>
        <w:t>*The forecasts for 2012 and 2013 reflect the historic 2 PM to 6 PM event window</w:t>
      </w:r>
    </w:p>
    <w:p w:rsidR="00BE286D" w:rsidRDefault="00D775D8" w:rsidP="00BE286D">
      <w:pPr>
        <w:pStyle w:val="BodyParagraph"/>
      </w:pPr>
      <w:r>
        <w:lastRenderedPageBreak/>
        <w:t xml:space="preserve">Differences in average temperature from year to year are a direct result of changes in enrollment and the customer mix by weather station. </w:t>
      </w:r>
      <w:r w:rsidRPr="008455EE">
        <w:t xml:space="preserve"> The average aggregate load impacts, presented i</w:t>
      </w:r>
      <w:r>
        <w:t>n the sixth column, are</w:t>
      </w:r>
      <w:r w:rsidRPr="008455EE">
        <w:t xml:space="preserve"> higher under 1-in-10 conditions as expected.  </w:t>
      </w:r>
      <w:r w:rsidRPr="00940F63">
        <w:t>And, impacts increase proportionally with population growth.  In 2012, the average aggregate load impact during an August event for the 1-in</w:t>
      </w:r>
      <w:r>
        <w:t>-10 weather year scenario is 0.8</w:t>
      </w:r>
      <w:r w:rsidRPr="00940F63">
        <w:t> MW for medium customers.  Due to the planned default of PG&amp;E’s medium C&amp;I population, the imp</w:t>
      </w:r>
      <w:r>
        <w:t>acts are projected to grow to 52.6</w:t>
      </w:r>
      <w:r w:rsidRPr="00940F63">
        <w:t xml:space="preserve"> </w:t>
      </w:r>
      <w:r>
        <w:t>MW for the same scenario in 2015</w:t>
      </w:r>
      <w:r w:rsidRPr="00940F63">
        <w:t>.  Impacts for</w:t>
      </w:r>
      <w:r>
        <w:t xml:space="preserve"> August reach their peak at 104.0 MW in 2017</w:t>
      </w:r>
      <w:r w:rsidRPr="00940F63">
        <w:t xml:space="preserve"> with </w:t>
      </w:r>
      <w:r>
        <w:t>30,626</w:t>
      </w:r>
      <w:r w:rsidRPr="00940F63">
        <w:t xml:space="preserve"> customers enrolled.</w:t>
      </w:r>
    </w:p>
    <w:p w:rsidR="001D37BD" w:rsidRDefault="001D37BD" w:rsidP="001D37BD">
      <w:pPr>
        <w:pStyle w:val="Heading3"/>
        <w:spacing w:before="360"/>
        <w:ind w:left="720"/>
      </w:pPr>
      <w:bookmarkStart w:id="116" w:name="_Toc289093918"/>
      <w:bookmarkStart w:id="117" w:name="_Toc289094006"/>
      <w:bookmarkStart w:id="118" w:name="_Toc289112743"/>
      <w:bookmarkStart w:id="119" w:name="_Toc289178035"/>
      <w:bookmarkStart w:id="120" w:name="_Toc326072135"/>
      <w:bookmarkEnd w:id="116"/>
      <w:bookmarkEnd w:id="117"/>
      <w:bookmarkEnd w:id="118"/>
      <w:r>
        <w:t>Ex Ante Load Impact Uncertainty</w:t>
      </w:r>
      <w:bookmarkEnd w:id="119"/>
      <w:bookmarkEnd w:id="120"/>
      <w:r>
        <w:t xml:space="preserve"> </w:t>
      </w:r>
    </w:p>
    <w:p w:rsidR="006011BF" w:rsidRDefault="001D37BD" w:rsidP="001D37BD">
      <w:pPr>
        <w:pStyle w:val="BodyParagraph"/>
      </w:pPr>
      <w:r w:rsidRPr="00862A0E">
        <w:t>Underlying the impact</w:t>
      </w:r>
      <w:r>
        <w:t xml:space="preserve"> estimate</w:t>
      </w:r>
      <w:r w:rsidRPr="00862A0E">
        <w:t>s</w:t>
      </w:r>
      <w:r>
        <w:t xml:space="preserve"> summarized above </w:t>
      </w:r>
      <w:r w:rsidRPr="00862A0E">
        <w:t xml:space="preserve">is a </w:t>
      </w:r>
      <w:r>
        <w:t>significant amoun</w:t>
      </w:r>
      <w:r w:rsidRPr="00862A0E">
        <w:t>t of uncertainty.</w:t>
      </w:r>
      <w:r>
        <w:t xml:space="preserve">  Table 7-7 summarizes the uncertainty in the ex ante annual system peak load impact estimates for medium customers.</w:t>
      </w:r>
      <w:r w:rsidRPr="00862A0E">
        <w:t xml:space="preserve">  </w:t>
      </w:r>
      <w:r>
        <w:t>For 2015</w:t>
      </w:r>
      <w:r w:rsidRPr="00225A57">
        <w:t>, the 80% confidence interval for</w:t>
      </w:r>
      <w:r>
        <w:t xml:space="preserve"> 1-in-2 impacts ranges from 11.8 MW up to 58.1</w:t>
      </w:r>
      <w:r w:rsidRPr="00225A57">
        <w:t xml:space="preserve"> </w:t>
      </w:r>
      <w:r>
        <w:t>MW, a difference of close to 50</w:t>
      </w:r>
      <w:r w:rsidRPr="00225A57">
        <w:t xml:space="preserve"> MW.  The majority of uncertainty once again is associated with enrollment projections.</w:t>
      </w:r>
    </w:p>
    <w:p w:rsidR="008F0E66" w:rsidRDefault="008F0E66" w:rsidP="008F0E66">
      <w:pPr>
        <w:pStyle w:val="TableFigureCaption"/>
        <w:spacing w:after="0"/>
      </w:pPr>
      <w:r>
        <w:t>Table 7-7:</w:t>
      </w:r>
    </w:p>
    <w:p w:rsidR="00643456" w:rsidRPr="008455EE" w:rsidRDefault="008F0E66" w:rsidP="00643456">
      <w:pPr>
        <w:pStyle w:val="TableFigureCaption"/>
      </w:pPr>
      <w:r>
        <w:t>Portfolio Annual</w:t>
      </w:r>
      <w:r w:rsidRPr="009B536E">
        <w:t xml:space="preserve"> Peak Day Load Impacts</w:t>
      </w:r>
      <w:r>
        <w:t xml:space="preserve"> for Medium Customers</w:t>
      </w:r>
      <w:r w:rsidRPr="009B536E">
        <w:t xml:space="preserve"> with </w:t>
      </w:r>
      <w:proofErr w:type="gramStart"/>
      <w:r w:rsidRPr="009B536E">
        <w:t>Uncertainty</w:t>
      </w:r>
      <w:proofErr w:type="gramEnd"/>
      <w:r w:rsidR="001D37BD" w:rsidRPr="009B536E">
        <w:br/>
        <w:t xml:space="preserve">(Hourly Average Reduction in MW Over the </w:t>
      </w:r>
      <w:r w:rsidR="001D37BD">
        <w:t>Historical Event Day Window- 1 PM</w:t>
      </w:r>
      <w:r w:rsidR="001D37BD" w:rsidRPr="009B536E">
        <w:t xml:space="preserve"> to 6 </w:t>
      </w:r>
      <w:r w:rsidR="001D37BD">
        <w:t>PM</w:t>
      </w:r>
      <w:r w:rsidR="001D37BD" w:rsidRPr="009B536E">
        <w:t>)</w:t>
      </w:r>
    </w:p>
    <w:tbl>
      <w:tblPr>
        <w:tblW w:w="8879" w:type="dxa"/>
        <w:tblInd w:w="93" w:type="dxa"/>
        <w:tblLook w:val="04A0"/>
      </w:tblPr>
      <w:tblGrid>
        <w:gridCol w:w="1019"/>
        <w:gridCol w:w="1420"/>
        <w:gridCol w:w="1240"/>
        <w:gridCol w:w="1020"/>
        <w:gridCol w:w="1020"/>
        <w:gridCol w:w="1020"/>
        <w:gridCol w:w="1020"/>
        <w:gridCol w:w="1120"/>
      </w:tblGrid>
      <w:tr w:rsidR="00643456" w:rsidRPr="00643456" w:rsidTr="006011BF">
        <w:trPr>
          <w:trHeight w:val="900"/>
        </w:trPr>
        <w:tc>
          <w:tcPr>
            <w:tcW w:w="1019" w:type="dxa"/>
            <w:vMerge w:val="restart"/>
            <w:tcBorders>
              <w:top w:val="single" w:sz="4" w:space="0" w:color="auto"/>
              <w:left w:val="single" w:sz="4" w:space="0" w:color="auto"/>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Weather Year</w:t>
            </w:r>
          </w:p>
        </w:tc>
        <w:tc>
          <w:tcPr>
            <w:tcW w:w="1420" w:type="dxa"/>
            <w:vMerge w:val="restart"/>
            <w:tcBorders>
              <w:top w:val="single" w:sz="4" w:space="0" w:color="auto"/>
              <w:left w:val="single" w:sz="4" w:space="0" w:color="FFFFFF"/>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Year</w:t>
            </w:r>
          </w:p>
        </w:tc>
        <w:tc>
          <w:tcPr>
            <w:tcW w:w="1240" w:type="dxa"/>
            <w:tcBorders>
              <w:top w:val="single" w:sz="4" w:space="0" w:color="auto"/>
              <w:left w:val="nil"/>
              <w:bottom w:val="single" w:sz="4" w:space="0" w:color="FFFFFF"/>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Expected Avg. Load Impact</w:t>
            </w:r>
          </w:p>
        </w:tc>
        <w:tc>
          <w:tcPr>
            <w:tcW w:w="5200" w:type="dxa"/>
            <w:gridSpan w:val="5"/>
            <w:tcBorders>
              <w:top w:val="single" w:sz="4" w:space="0" w:color="auto"/>
              <w:left w:val="nil"/>
              <w:bottom w:val="single" w:sz="4" w:space="0" w:color="FFFFFF"/>
              <w:right w:val="single" w:sz="4" w:space="0" w:color="000000"/>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Impact Uncertainty</w:t>
            </w:r>
          </w:p>
        </w:tc>
      </w:tr>
      <w:tr w:rsidR="00643456" w:rsidRPr="00643456" w:rsidTr="006011BF">
        <w:trPr>
          <w:trHeight w:val="300"/>
        </w:trPr>
        <w:tc>
          <w:tcPr>
            <w:tcW w:w="1019" w:type="dxa"/>
            <w:vMerge/>
            <w:tcBorders>
              <w:top w:val="single" w:sz="4" w:space="0" w:color="auto"/>
              <w:left w:val="single" w:sz="4" w:space="0" w:color="auto"/>
              <w:bottom w:val="single" w:sz="4" w:space="0" w:color="FFFFFF"/>
              <w:right w:val="single" w:sz="4" w:space="0" w:color="FFFFFF"/>
            </w:tcBorders>
            <w:vAlign w:val="center"/>
            <w:hideMark/>
          </w:tcPr>
          <w:p w:rsidR="00643456" w:rsidRPr="00643456" w:rsidRDefault="00643456" w:rsidP="00643456">
            <w:pPr>
              <w:spacing w:after="0" w:line="240" w:lineRule="auto"/>
              <w:rPr>
                <w:rFonts w:ascii="Calibri" w:eastAsia="Times New Roman" w:hAnsi="Calibri" w:cs="Calibri"/>
                <w:b/>
                <w:bCs/>
                <w:color w:val="FFFFFF"/>
              </w:rPr>
            </w:pPr>
          </w:p>
        </w:tc>
        <w:tc>
          <w:tcPr>
            <w:tcW w:w="1420" w:type="dxa"/>
            <w:vMerge/>
            <w:tcBorders>
              <w:top w:val="single" w:sz="4" w:space="0" w:color="auto"/>
              <w:left w:val="single" w:sz="4" w:space="0" w:color="FFFFFF"/>
              <w:bottom w:val="single" w:sz="4" w:space="0" w:color="FFFFFF"/>
              <w:right w:val="single" w:sz="4" w:space="0" w:color="FFFFFF"/>
            </w:tcBorders>
            <w:vAlign w:val="center"/>
            <w:hideMark/>
          </w:tcPr>
          <w:p w:rsidR="00643456" w:rsidRPr="00643456" w:rsidRDefault="00643456" w:rsidP="00643456">
            <w:pPr>
              <w:spacing w:after="0" w:line="240" w:lineRule="auto"/>
              <w:rPr>
                <w:rFonts w:ascii="Calibri" w:eastAsia="Times New Roman" w:hAnsi="Calibri" w:cs="Calibri"/>
                <w:b/>
                <w:bCs/>
                <w:color w:val="FFFFFF"/>
              </w:rPr>
            </w:pPr>
          </w:p>
        </w:tc>
        <w:tc>
          <w:tcPr>
            <w:tcW w:w="1240" w:type="dxa"/>
            <w:tcBorders>
              <w:top w:val="single" w:sz="4" w:space="0" w:color="95B3D7"/>
              <w:left w:val="single" w:sz="4" w:space="0" w:color="95B3D7"/>
              <w:bottom w:val="single" w:sz="4" w:space="0" w:color="95B3D7"/>
              <w:right w:val="single" w:sz="4" w:space="0" w:color="95B3D7"/>
            </w:tcBorders>
            <w:shd w:val="clear" w:color="000000" w:fill="1F497D"/>
            <w:vAlign w:val="center"/>
            <w:hideMark/>
          </w:tcPr>
          <w:p w:rsidR="00643456" w:rsidRPr="00643456" w:rsidRDefault="00643456" w:rsidP="00643456">
            <w:pPr>
              <w:spacing w:after="0" w:line="240" w:lineRule="auto"/>
              <w:jc w:val="center"/>
              <w:rPr>
                <w:rFonts w:ascii="Arial" w:eastAsia="Times New Roman" w:hAnsi="Arial" w:cs="Arial"/>
                <w:b/>
                <w:bCs/>
                <w:color w:val="FFFFFF"/>
                <w:sz w:val="16"/>
                <w:szCs w:val="16"/>
              </w:rPr>
            </w:pPr>
            <w:r w:rsidRPr="00643456">
              <w:rPr>
                <w:rFonts w:ascii="Arial" w:eastAsia="Times New Roman" w:hAnsi="Arial" w:cs="Arial"/>
                <w:b/>
                <w:bCs/>
                <w:color w:val="FFFFFF"/>
                <w:sz w:val="16"/>
                <w:szCs w:val="16"/>
              </w:rPr>
              <w:t>(MW  1-6 pm)</w:t>
            </w:r>
          </w:p>
        </w:tc>
        <w:tc>
          <w:tcPr>
            <w:tcW w:w="1020" w:type="dxa"/>
            <w:tcBorders>
              <w:top w:val="nil"/>
              <w:left w:val="single" w:sz="4" w:space="0" w:color="FFFFFF"/>
              <w:bottom w:val="nil"/>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10th</w:t>
            </w:r>
          </w:p>
        </w:tc>
        <w:tc>
          <w:tcPr>
            <w:tcW w:w="1020" w:type="dxa"/>
            <w:tcBorders>
              <w:top w:val="nil"/>
              <w:left w:val="nil"/>
              <w:bottom w:val="nil"/>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30th</w:t>
            </w:r>
          </w:p>
        </w:tc>
        <w:tc>
          <w:tcPr>
            <w:tcW w:w="1020" w:type="dxa"/>
            <w:tcBorders>
              <w:top w:val="nil"/>
              <w:left w:val="nil"/>
              <w:bottom w:val="nil"/>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50th</w:t>
            </w:r>
          </w:p>
        </w:tc>
        <w:tc>
          <w:tcPr>
            <w:tcW w:w="1020" w:type="dxa"/>
            <w:tcBorders>
              <w:top w:val="nil"/>
              <w:left w:val="nil"/>
              <w:bottom w:val="nil"/>
              <w:right w:val="single" w:sz="4" w:space="0" w:color="FFFFFF"/>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70th</w:t>
            </w:r>
          </w:p>
        </w:tc>
        <w:tc>
          <w:tcPr>
            <w:tcW w:w="1120" w:type="dxa"/>
            <w:tcBorders>
              <w:top w:val="nil"/>
              <w:left w:val="nil"/>
              <w:bottom w:val="nil"/>
              <w:right w:val="single" w:sz="4" w:space="0" w:color="auto"/>
            </w:tcBorders>
            <w:shd w:val="clear" w:color="000000" w:fill="1F497D"/>
            <w:vAlign w:val="center"/>
            <w:hideMark/>
          </w:tcPr>
          <w:p w:rsidR="00643456" w:rsidRPr="00643456" w:rsidRDefault="00643456" w:rsidP="00643456">
            <w:pPr>
              <w:spacing w:after="0" w:line="240" w:lineRule="auto"/>
              <w:jc w:val="center"/>
              <w:rPr>
                <w:rFonts w:ascii="Calibri" w:eastAsia="Times New Roman" w:hAnsi="Calibri" w:cs="Calibri"/>
                <w:b/>
                <w:bCs/>
                <w:color w:val="FFFFFF"/>
              </w:rPr>
            </w:pPr>
            <w:r w:rsidRPr="00643456">
              <w:rPr>
                <w:rFonts w:ascii="Calibri" w:eastAsia="Times New Roman" w:hAnsi="Calibri" w:cs="Calibri"/>
                <w:b/>
                <w:bCs/>
                <w:color w:val="FFFFFF"/>
              </w:rPr>
              <w:t>90th</w:t>
            </w:r>
          </w:p>
        </w:tc>
      </w:tr>
      <w:tr w:rsidR="00643456" w:rsidRPr="00643456" w:rsidTr="00D775D8">
        <w:trPr>
          <w:trHeight w:val="274"/>
        </w:trPr>
        <w:tc>
          <w:tcPr>
            <w:tcW w:w="1019"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1-in-10 August System Peak Day</w:t>
            </w: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2012</w:t>
            </w:r>
          </w:p>
        </w:tc>
        <w:tc>
          <w:tcPr>
            <w:tcW w:w="1240" w:type="dxa"/>
            <w:tcBorders>
              <w:top w:val="single" w:sz="4" w:space="0" w:color="000000"/>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1020" w:type="dxa"/>
            <w:tcBorders>
              <w:top w:val="single" w:sz="4" w:space="0" w:color="000000"/>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0.4</w:t>
            </w:r>
          </w:p>
        </w:tc>
        <w:tc>
          <w:tcPr>
            <w:tcW w:w="1020" w:type="dxa"/>
            <w:tcBorders>
              <w:top w:val="single" w:sz="4" w:space="0" w:color="000000"/>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0.6</w:t>
            </w:r>
          </w:p>
        </w:tc>
        <w:tc>
          <w:tcPr>
            <w:tcW w:w="1020" w:type="dxa"/>
            <w:tcBorders>
              <w:top w:val="single" w:sz="4" w:space="0" w:color="000000"/>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1020" w:type="dxa"/>
            <w:tcBorders>
              <w:top w:val="single" w:sz="4" w:space="0" w:color="000000"/>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0.9</w:t>
            </w:r>
          </w:p>
        </w:tc>
        <w:tc>
          <w:tcPr>
            <w:tcW w:w="1120" w:type="dxa"/>
            <w:tcBorders>
              <w:top w:val="single" w:sz="4" w:space="0" w:color="000000"/>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2013</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0.9</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2014</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2015</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52.6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26.8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42.1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52.6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63.2</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78.4</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2016</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87.7</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37.6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67.2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87.7</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108.3</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137.9</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2017</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104.0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46.0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80.3</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104.0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127.7</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161.9</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2018</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44.4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77.6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123.5</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156.6</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2019</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101.4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44.8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78.2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101.4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124.5</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158.0</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2020</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102.2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45.2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78.9</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102.2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125.5</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159.3</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2021</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103.0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45.5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79.5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103.0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126.5</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160.5</w:t>
            </w:r>
          </w:p>
        </w:tc>
      </w:tr>
      <w:tr w:rsidR="00643456" w:rsidRPr="00643456" w:rsidTr="00D775D8">
        <w:trPr>
          <w:trHeight w:val="274"/>
        </w:trPr>
        <w:tc>
          <w:tcPr>
            <w:tcW w:w="1019" w:type="dxa"/>
            <w:vMerge/>
            <w:tcBorders>
              <w:top w:val="single" w:sz="4" w:space="0" w:color="000000"/>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2022</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103.8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45.9</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80.1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103.8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127.5</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161.7</w:t>
            </w:r>
          </w:p>
        </w:tc>
      </w:tr>
      <w:tr w:rsidR="00643456" w:rsidRPr="00643456" w:rsidTr="00D775D8">
        <w:trPr>
          <w:trHeight w:val="274"/>
        </w:trPr>
        <w:tc>
          <w:tcPr>
            <w:tcW w:w="1019" w:type="dxa"/>
            <w:vMerge w:val="restart"/>
            <w:tcBorders>
              <w:top w:val="nil"/>
              <w:left w:val="single" w:sz="4" w:space="0" w:color="auto"/>
              <w:bottom w:val="single" w:sz="4" w:space="0" w:color="000000"/>
              <w:right w:val="single" w:sz="4" w:space="0" w:color="000000"/>
            </w:tcBorders>
            <w:shd w:val="clear" w:color="auto" w:fill="auto"/>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1-in-2 August System Peak Day</w:t>
            </w: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2012</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0.6</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0.8</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2013</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0.7</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0.9</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2014</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0.2</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0.7</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0.9</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2015</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35.0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11.8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25.5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35.0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44.4</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58.1</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2016</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14.7</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41.8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60.5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79.2</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106.3</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2017</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72.1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19.1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50.4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72.1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93.7</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125.0</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2018</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69.5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18.3</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48.6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69.5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90.5</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120.8</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2019</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70.1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18.5</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49.0</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70.1</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91.3</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121.8</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2020</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70.7</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18.6</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49.4</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70.7</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92.0</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122.8</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2021</w:t>
            </w:r>
          </w:p>
        </w:tc>
        <w:tc>
          <w:tcPr>
            <w:tcW w:w="124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71.3</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18.8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49.8</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71.3</w:t>
            </w:r>
          </w:p>
        </w:tc>
        <w:tc>
          <w:tcPr>
            <w:tcW w:w="1020" w:type="dxa"/>
            <w:tcBorders>
              <w:top w:val="nil"/>
              <w:left w:val="nil"/>
              <w:bottom w:val="single" w:sz="4" w:space="0" w:color="000000"/>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92.8</w:t>
            </w:r>
          </w:p>
        </w:tc>
        <w:tc>
          <w:tcPr>
            <w:tcW w:w="1120" w:type="dxa"/>
            <w:tcBorders>
              <w:top w:val="nil"/>
              <w:left w:val="nil"/>
              <w:bottom w:val="single" w:sz="4" w:space="0" w:color="000000"/>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123.8</w:t>
            </w:r>
          </w:p>
        </w:tc>
      </w:tr>
      <w:tr w:rsidR="00643456" w:rsidRPr="00643456" w:rsidTr="00D775D8">
        <w:trPr>
          <w:trHeight w:val="274"/>
        </w:trPr>
        <w:tc>
          <w:tcPr>
            <w:tcW w:w="1019" w:type="dxa"/>
            <w:vMerge/>
            <w:tcBorders>
              <w:top w:val="nil"/>
              <w:left w:val="single" w:sz="4" w:space="0" w:color="auto"/>
              <w:bottom w:val="single" w:sz="4" w:space="0" w:color="000000"/>
              <w:right w:val="single" w:sz="4" w:space="0" w:color="000000"/>
            </w:tcBorders>
            <w:vAlign w:val="center"/>
            <w:hideMark/>
          </w:tcPr>
          <w:p w:rsidR="00643456" w:rsidRPr="00643456" w:rsidRDefault="00643456" w:rsidP="00643456">
            <w:pPr>
              <w:spacing w:after="0" w:line="240" w:lineRule="auto"/>
              <w:rPr>
                <w:rFonts w:ascii="Calibri" w:eastAsia="Times New Roman" w:hAnsi="Calibri" w:cs="Calibri"/>
                <w:color w:val="000000"/>
              </w:rPr>
            </w:pPr>
          </w:p>
        </w:tc>
        <w:tc>
          <w:tcPr>
            <w:tcW w:w="1420" w:type="dxa"/>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2022</w:t>
            </w:r>
          </w:p>
        </w:tc>
        <w:tc>
          <w:tcPr>
            <w:tcW w:w="1240" w:type="dxa"/>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71.8</w:t>
            </w:r>
          </w:p>
        </w:tc>
        <w:tc>
          <w:tcPr>
            <w:tcW w:w="1020" w:type="dxa"/>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18.9</w:t>
            </w:r>
          </w:p>
        </w:tc>
        <w:tc>
          <w:tcPr>
            <w:tcW w:w="1020" w:type="dxa"/>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50.2</w:t>
            </w:r>
          </w:p>
        </w:tc>
        <w:tc>
          <w:tcPr>
            <w:tcW w:w="1020" w:type="dxa"/>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71.8</w:t>
            </w:r>
          </w:p>
        </w:tc>
        <w:tc>
          <w:tcPr>
            <w:tcW w:w="1020" w:type="dxa"/>
            <w:tcBorders>
              <w:top w:val="nil"/>
              <w:left w:val="nil"/>
              <w:bottom w:val="single" w:sz="4" w:space="0" w:color="auto"/>
              <w:right w:val="single" w:sz="4" w:space="0" w:color="000000"/>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93.5</w:t>
            </w:r>
          </w:p>
        </w:tc>
        <w:tc>
          <w:tcPr>
            <w:tcW w:w="1120" w:type="dxa"/>
            <w:tcBorders>
              <w:top w:val="nil"/>
              <w:left w:val="nil"/>
              <w:bottom w:val="single" w:sz="4" w:space="0" w:color="auto"/>
              <w:right w:val="single" w:sz="4" w:space="0" w:color="auto"/>
            </w:tcBorders>
            <w:shd w:val="clear" w:color="auto" w:fill="auto"/>
            <w:noWrap/>
            <w:vAlign w:val="center"/>
            <w:hideMark/>
          </w:tcPr>
          <w:p w:rsidR="00643456" w:rsidRPr="00643456" w:rsidRDefault="00643456" w:rsidP="00643456">
            <w:pPr>
              <w:spacing w:after="0" w:line="240" w:lineRule="auto"/>
              <w:jc w:val="center"/>
              <w:rPr>
                <w:rFonts w:ascii="Calibri" w:eastAsia="Times New Roman" w:hAnsi="Calibri" w:cs="Calibri"/>
                <w:color w:val="000000"/>
              </w:rPr>
            </w:pPr>
            <w:r w:rsidRPr="00643456">
              <w:rPr>
                <w:rFonts w:ascii="Calibri" w:eastAsia="Times New Roman" w:hAnsi="Calibri" w:cs="Calibri"/>
                <w:color w:val="000000"/>
              </w:rPr>
              <w:t>124.7</w:t>
            </w:r>
          </w:p>
        </w:tc>
      </w:tr>
    </w:tbl>
    <w:p w:rsidR="001D37BD" w:rsidRPr="008455EE" w:rsidRDefault="006011BF" w:rsidP="006011BF">
      <w:pPr>
        <w:pStyle w:val="BodyParaAfterTableFigure"/>
        <w:spacing w:before="0"/>
      </w:pPr>
      <w:r>
        <w:t>*The forecasts for 2012 and 2013 reflect the historic 2 PM to 6 PM event window</w:t>
      </w:r>
    </w:p>
    <w:p w:rsidR="001D37BD" w:rsidRPr="00E84E74" w:rsidRDefault="001D37BD" w:rsidP="001D37BD">
      <w:pPr>
        <w:pStyle w:val="Heading3"/>
        <w:numPr>
          <w:ilvl w:val="2"/>
          <w:numId w:val="17"/>
        </w:numPr>
        <w:spacing w:before="360"/>
        <w:rPr>
          <w:rFonts w:cs="Calibri"/>
        </w:rPr>
      </w:pPr>
      <w:bookmarkStart w:id="121" w:name="_Toc289093920"/>
      <w:bookmarkStart w:id="122" w:name="_Toc289094008"/>
      <w:bookmarkStart w:id="123" w:name="_Toc289112745"/>
      <w:bookmarkStart w:id="124" w:name="_Toc289178036"/>
      <w:bookmarkStart w:id="125" w:name="_Toc326072136"/>
      <w:bookmarkEnd w:id="121"/>
      <w:bookmarkEnd w:id="122"/>
      <w:bookmarkEnd w:id="123"/>
      <w:r>
        <w:lastRenderedPageBreak/>
        <w:t>Ex Ante Impacts by Geographic Location</w:t>
      </w:r>
      <w:bookmarkEnd w:id="124"/>
      <w:bookmarkEnd w:id="125"/>
    </w:p>
    <w:p w:rsidR="001D37BD" w:rsidRDefault="001D37BD" w:rsidP="001D37BD">
      <w:pPr>
        <w:pStyle w:val="BodyParagraph"/>
      </w:pPr>
      <w:r>
        <w:t xml:space="preserve">Table 7-8 summarizes </w:t>
      </w:r>
      <w:proofErr w:type="gramStart"/>
      <w:r>
        <w:t>the per</w:t>
      </w:r>
      <w:proofErr w:type="gramEnd"/>
      <w:r>
        <w:t xml:space="preserve"> customer ex ante impacts for each LCA by month for medium customers.  It shows the per customer impacts for each monthly system peak day under 1-in-2 and 1-in-10 system peaking conditions</w:t>
      </w:r>
      <w:r w:rsidRPr="00225A57">
        <w:t xml:space="preserve">.  </w:t>
      </w:r>
      <w:r>
        <w:t>Impacts are shown for 2015 because the distribution of enrolled medium customers across LCAs will be more stable in 2015 once more medium customers have been defaulted.</w:t>
      </w:r>
    </w:p>
    <w:p w:rsidR="001D37BD" w:rsidRDefault="001D37BD" w:rsidP="001D37BD">
      <w:pPr>
        <w:pStyle w:val="TableFigureCaption"/>
      </w:pPr>
      <w:r w:rsidRPr="00A66E76">
        <w:t>Table 7-8:</w:t>
      </w:r>
      <w:r>
        <w:rPr>
          <w:highlight w:val="yellow"/>
        </w:rPr>
        <w:br/>
      </w:r>
      <w:r>
        <w:t>2015</w:t>
      </w:r>
      <w:r w:rsidRPr="00A66E76">
        <w:t xml:space="preserve"> Per Customer </w:t>
      </w:r>
      <w:proofErr w:type="gramStart"/>
      <w:r w:rsidRPr="00A66E76">
        <w:t>Ex</w:t>
      </w:r>
      <w:proofErr w:type="gramEnd"/>
      <w:r w:rsidRPr="00A66E76">
        <w:t xml:space="preserve"> Ante Impacts for</w:t>
      </w:r>
      <w:r>
        <w:t xml:space="preserve"> Medium</w:t>
      </w:r>
      <w:r w:rsidRPr="00A66E76">
        <w:t xml:space="preserve"> Customers by Local Capacity Area </w:t>
      </w:r>
      <w:r>
        <w:rPr>
          <w:highlight w:val="yellow"/>
        </w:rPr>
        <w:br/>
      </w:r>
      <w:r w:rsidRPr="00A66E76">
        <w:t xml:space="preserve">(Hourly Average Reduction in kW Over the Event window </w:t>
      </w:r>
      <w:r>
        <w:t>–</w:t>
      </w:r>
      <w:r w:rsidRPr="00A66E76">
        <w:t xml:space="preserve"> </w:t>
      </w:r>
      <w:r>
        <w:t>1 PM</w:t>
      </w:r>
      <w:r w:rsidRPr="00A66E76">
        <w:t xml:space="preserve"> to 6 PM)</w:t>
      </w:r>
    </w:p>
    <w:tbl>
      <w:tblPr>
        <w:tblW w:w="5000" w:type="pct"/>
        <w:jc w:val="center"/>
        <w:tblLook w:val="04A0"/>
      </w:tblPr>
      <w:tblGrid>
        <w:gridCol w:w="972"/>
        <w:gridCol w:w="1773"/>
        <w:gridCol w:w="568"/>
        <w:gridCol w:w="568"/>
        <w:gridCol w:w="568"/>
        <w:gridCol w:w="568"/>
        <w:gridCol w:w="594"/>
        <w:gridCol w:w="544"/>
        <w:gridCol w:w="569"/>
        <w:gridCol w:w="572"/>
        <w:gridCol w:w="572"/>
        <w:gridCol w:w="564"/>
        <w:gridCol w:w="572"/>
        <w:gridCol w:w="572"/>
      </w:tblGrid>
      <w:tr w:rsidR="006011BF" w:rsidRPr="006011BF" w:rsidTr="006011BF">
        <w:trPr>
          <w:trHeight w:val="705"/>
          <w:jc w:val="center"/>
        </w:trPr>
        <w:tc>
          <w:tcPr>
            <w:tcW w:w="403" w:type="pc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bookmarkStart w:id="126" w:name="_Toc289178037"/>
            <w:bookmarkEnd w:id="96"/>
            <w:r w:rsidRPr="006011BF">
              <w:rPr>
                <w:rFonts w:ascii="Arial" w:eastAsia="Times New Roman" w:hAnsi="Arial" w:cs="Arial"/>
                <w:color w:val="FFFFFF"/>
                <w:sz w:val="20"/>
                <w:szCs w:val="20"/>
              </w:rPr>
              <w:t>Weather Year</w:t>
            </w:r>
          </w:p>
        </w:tc>
        <w:tc>
          <w:tcPr>
            <w:tcW w:w="813"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Local Capacity Area</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Jan</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Feb</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Mar</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Apr</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May</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Jun</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Jul</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Aug</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Sep</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Oct</w:t>
            </w:r>
          </w:p>
        </w:tc>
        <w:tc>
          <w:tcPr>
            <w:tcW w:w="315" w:type="pct"/>
            <w:tcBorders>
              <w:top w:val="single" w:sz="4" w:space="0" w:color="auto"/>
              <w:left w:val="nil"/>
              <w:bottom w:val="single" w:sz="4" w:space="0" w:color="000000"/>
              <w:right w:val="single" w:sz="4" w:space="0" w:color="FFFFFF"/>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Nov</w:t>
            </w:r>
          </w:p>
        </w:tc>
        <w:tc>
          <w:tcPr>
            <w:tcW w:w="315" w:type="pct"/>
            <w:tcBorders>
              <w:top w:val="single" w:sz="4" w:space="0" w:color="auto"/>
              <w:left w:val="nil"/>
              <w:bottom w:val="single" w:sz="4" w:space="0" w:color="000000"/>
              <w:right w:val="single" w:sz="4" w:space="0" w:color="auto"/>
            </w:tcBorders>
            <w:shd w:val="clear" w:color="000000" w:fill="1F497D"/>
            <w:vAlign w:val="center"/>
            <w:hideMark/>
          </w:tcPr>
          <w:p w:rsidR="006011BF" w:rsidRPr="006011BF" w:rsidRDefault="006011BF" w:rsidP="006011BF">
            <w:pPr>
              <w:spacing w:after="0" w:line="240" w:lineRule="auto"/>
              <w:jc w:val="center"/>
              <w:rPr>
                <w:rFonts w:ascii="Arial" w:eastAsia="Times New Roman" w:hAnsi="Arial" w:cs="Arial"/>
                <w:color w:val="FFFFFF"/>
                <w:sz w:val="20"/>
                <w:szCs w:val="20"/>
              </w:rPr>
            </w:pPr>
            <w:r w:rsidRPr="006011BF">
              <w:rPr>
                <w:rFonts w:ascii="Arial" w:eastAsia="Times New Roman" w:hAnsi="Arial" w:cs="Arial"/>
                <w:color w:val="FFFFFF"/>
                <w:sz w:val="20"/>
                <w:szCs w:val="20"/>
              </w:rPr>
              <w:t>Dec</w:t>
            </w:r>
          </w:p>
        </w:tc>
      </w:tr>
      <w:tr w:rsidR="006011BF" w:rsidRPr="006011BF" w:rsidTr="006011BF">
        <w:trPr>
          <w:trHeight w:val="402"/>
          <w:jc w:val="center"/>
        </w:trPr>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1-in-10</w:t>
            </w: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Greater Bay Area</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Greater Fresno</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6</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Kern</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7</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7</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8</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9</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6</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Northern Coast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Other</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Sierra</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Stockton</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b/>
                <w:bCs/>
                <w:color w:val="000000"/>
                <w:sz w:val="20"/>
                <w:szCs w:val="20"/>
              </w:rPr>
            </w:pPr>
            <w:r w:rsidRPr="006011BF">
              <w:rPr>
                <w:rFonts w:ascii="Arial" w:eastAsia="Times New Roman" w:hAnsi="Arial" w:cs="Arial"/>
                <w:b/>
                <w:bCs/>
                <w:color w:val="000000"/>
                <w:sz w:val="20"/>
                <w:szCs w:val="20"/>
              </w:rPr>
              <w:t>All Customers</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1-in-2</w:t>
            </w: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Greater Bay Area</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Greater Fresno</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Kern</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6</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7</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6</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5</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Northern Coast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Other</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Sierra</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Stockton</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0</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r w:rsidR="006011BF" w:rsidRPr="006011BF" w:rsidTr="006011BF">
        <w:trPr>
          <w:trHeight w:val="402"/>
          <w:jc w:val="center"/>
        </w:trPr>
        <w:tc>
          <w:tcPr>
            <w:tcW w:w="403" w:type="pct"/>
            <w:vMerge/>
            <w:tcBorders>
              <w:top w:val="nil"/>
              <w:left w:val="single" w:sz="4" w:space="0" w:color="auto"/>
              <w:bottom w:val="single" w:sz="4" w:space="0" w:color="000000"/>
              <w:right w:val="single" w:sz="4" w:space="0" w:color="auto"/>
            </w:tcBorders>
            <w:vAlign w:val="center"/>
            <w:hideMark/>
          </w:tcPr>
          <w:p w:rsidR="006011BF" w:rsidRPr="006011BF" w:rsidRDefault="006011BF" w:rsidP="006011BF">
            <w:pPr>
              <w:spacing w:after="0" w:line="240" w:lineRule="auto"/>
              <w:rPr>
                <w:rFonts w:ascii="Arial" w:eastAsia="Times New Roman" w:hAnsi="Arial" w:cs="Arial"/>
                <w:color w:val="000000"/>
                <w:sz w:val="20"/>
                <w:szCs w:val="20"/>
              </w:rPr>
            </w:pPr>
          </w:p>
        </w:tc>
        <w:tc>
          <w:tcPr>
            <w:tcW w:w="813"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b/>
                <w:bCs/>
                <w:color w:val="000000"/>
                <w:sz w:val="20"/>
                <w:szCs w:val="20"/>
              </w:rPr>
            </w:pPr>
            <w:r w:rsidRPr="006011BF">
              <w:rPr>
                <w:rFonts w:ascii="Arial" w:eastAsia="Times New Roman" w:hAnsi="Arial" w:cs="Arial"/>
                <w:b/>
                <w:bCs/>
                <w:color w:val="000000"/>
                <w:sz w:val="20"/>
                <w:szCs w:val="20"/>
              </w:rPr>
              <w:t>All Customers</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2</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4</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3</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1</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c>
          <w:tcPr>
            <w:tcW w:w="315" w:type="pct"/>
            <w:tcBorders>
              <w:top w:val="nil"/>
              <w:left w:val="nil"/>
              <w:bottom w:val="single" w:sz="4" w:space="0" w:color="auto"/>
              <w:right w:val="single" w:sz="4" w:space="0" w:color="auto"/>
            </w:tcBorders>
            <w:shd w:val="clear" w:color="auto" w:fill="auto"/>
            <w:noWrap/>
            <w:vAlign w:val="center"/>
            <w:hideMark/>
          </w:tcPr>
          <w:p w:rsidR="006011BF" w:rsidRPr="006011BF" w:rsidRDefault="006011BF" w:rsidP="006011BF">
            <w:pPr>
              <w:spacing w:after="0" w:line="240" w:lineRule="auto"/>
              <w:jc w:val="center"/>
              <w:rPr>
                <w:rFonts w:ascii="Arial" w:eastAsia="Times New Roman" w:hAnsi="Arial" w:cs="Arial"/>
                <w:color w:val="000000"/>
                <w:sz w:val="20"/>
                <w:szCs w:val="20"/>
              </w:rPr>
            </w:pPr>
            <w:r w:rsidRPr="006011BF">
              <w:rPr>
                <w:rFonts w:ascii="Arial" w:eastAsia="Times New Roman" w:hAnsi="Arial" w:cs="Arial"/>
                <w:color w:val="000000"/>
                <w:sz w:val="20"/>
                <w:szCs w:val="20"/>
              </w:rPr>
              <w:t>-</w:t>
            </w:r>
          </w:p>
        </w:tc>
      </w:tr>
    </w:tbl>
    <w:p w:rsidR="00CC420A" w:rsidRDefault="00CC420A" w:rsidP="00CC420A">
      <w:pPr>
        <w:pStyle w:val="Heading1"/>
        <w:numPr>
          <w:ilvl w:val="0"/>
          <w:numId w:val="0"/>
        </w:numPr>
      </w:pPr>
    </w:p>
    <w:bookmarkEnd w:id="126"/>
    <w:p w:rsidR="00F749A3" w:rsidRDefault="00D775D8" w:rsidP="00F749A3">
      <w:pPr>
        <w:pStyle w:val="Heading1"/>
      </w:pPr>
      <w:r>
        <w:br w:type="column"/>
      </w:r>
      <w:bookmarkStart w:id="127" w:name="_Toc326072137"/>
      <w:r w:rsidR="00F749A3">
        <w:lastRenderedPageBreak/>
        <w:t>Ex Ante Load Impact Estimates for SCE</w:t>
      </w:r>
      <w:bookmarkEnd w:id="127"/>
    </w:p>
    <w:p w:rsidR="00F749A3" w:rsidRDefault="00F749A3" w:rsidP="00F749A3">
      <w:pPr>
        <w:pStyle w:val="BodyParagraph"/>
      </w:pPr>
      <w:r>
        <w:t>This report section presents ex ante</w:t>
      </w:r>
      <w:r w:rsidRPr="007954D4">
        <w:t xml:space="preserve"> load impact estimates for </w:t>
      </w:r>
      <w:r>
        <w:t>SCE's</w:t>
      </w:r>
      <w:r w:rsidRPr="007954D4">
        <w:t xml:space="preserve"> </w:t>
      </w:r>
      <w:r>
        <w:t xml:space="preserve">CPP tariff.  The main purpose of ex ante load impact estimates is to reflect the load reduction capability of a DR resource under a standard set of conditions that align with system planning.  These estimates are used in assessing alternatives for meeting peak demand, cost-effectiveness comparisons and long-term planning.  </w:t>
      </w:r>
    </w:p>
    <w:p w:rsidR="00F749A3" w:rsidRDefault="00F749A3" w:rsidP="00F749A3">
      <w:pPr>
        <w:pStyle w:val="BodyParagraph"/>
      </w:pPr>
      <w:r>
        <w:t xml:space="preserve">The ex ante load impact estimates for SCE reflect statistical uncertainty in estimates of average customer load impacts.  However, they do not incorporate enrollment uncertainty.  Enrollment uncertainty is greatest when substantial program growth is projected.  It is relatively small when enrollment and resources are maintained constant – that is when new enrollment simply replaces closed accounts or customers that leave the rate.  </w:t>
      </w:r>
    </w:p>
    <w:p w:rsidR="00F749A3" w:rsidRDefault="00F749A3" w:rsidP="00F749A3">
      <w:pPr>
        <w:pStyle w:val="BodyParagraph"/>
      </w:pPr>
      <w:r>
        <w:t>The enrollment estimates for SCE assume relatively stable enrollment.  The first two years of experience allows customers the opportunity to assess if the rate fits their electricity use patterns and load reduction capability.  Table 8-1 shows SCE’s enrollment projections through 2022.  SCE is assuming a slight increase in enrollment on the CPP tariff in 2012 and a more substantial increase by the end of the forecast period in December 2022.  On average 3,006 accounts participated in 2011 events.  The changes are simply associated with population growth and the transition of some medium customers into the large customer category.  By January 2012 3,247 customers are projected to be served under the rate schedule and by December 2014, 3,452 customers are forecast to be enrolled.</w:t>
      </w:r>
    </w:p>
    <w:p w:rsidR="00F749A3" w:rsidRDefault="00F749A3" w:rsidP="00F749A3">
      <w:pPr>
        <w:pStyle w:val="BodyParagraph"/>
      </w:pPr>
      <w:r>
        <w:t xml:space="preserve">The enrollment forecast differ from last year, which projected large customer enrollment to be between 2,500 and 2,900.  The new enrollment forecast factors in actual empirical data about customer opt out rates after first year bill protection expired.  For the most part, they reflect customers that are currently enrolled in CPP and have remained on the rate after first year bill protection expired.  Last year, SCE did not have experience with opt out rates after first year bill protection expired and used a conservative assumptions. </w:t>
      </w:r>
    </w:p>
    <w:p w:rsidR="00F749A3" w:rsidRDefault="00F749A3" w:rsidP="00F749A3">
      <w:pPr>
        <w:pStyle w:val="TableFigureCaption"/>
      </w:pPr>
      <w:r>
        <w:t>Table 8-1</w:t>
      </w:r>
      <w:proofErr w:type="gramStart"/>
      <w:r>
        <w:t>:</w:t>
      </w:r>
      <w:proofErr w:type="gramEnd"/>
      <w:r>
        <w:br/>
        <w:t>SCE’s Enrollment Projections for the CPP Tariff by Forecast Year and Month</w:t>
      </w:r>
    </w:p>
    <w:tbl>
      <w:tblPr>
        <w:tblW w:w="5000" w:type="pct"/>
        <w:jc w:val="center"/>
        <w:tblLook w:val="04A0"/>
      </w:tblPr>
      <w:tblGrid>
        <w:gridCol w:w="1539"/>
        <w:gridCol w:w="675"/>
        <w:gridCol w:w="675"/>
        <w:gridCol w:w="675"/>
        <w:gridCol w:w="675"/>
        <w:gridCol w:w="666"/>
        <w:gridCol w:w="666"/>
        <w:gridCol w:w="666"/>
        <w:gridCol w:w="666"/>
        <w:gridCol w:w="667"/>
        <w:gridCol w:w="667"/>
        <w:gridCol w:w="667"/>
        <w:gridCol w:w="672"/>
      </w:tblGrid>
      <w:tr w:rsidR="00F749A3" w:rsidRPr="00EC1D45" w:rsidTr="00F749A3">
        <w:trPr>
          <w:trHeight w:val="315"/>
          <w:jc w:val="center"/>
        </w:trPr>
        <w:tc>
          <w:tcPr>
            <w:tcW w:w="549" w:type="pct"/>
            <w:vMerge w:val="restart"/>
            <w:tcBorders>
              <w:top w:val="single" w:sz="4" w:space="0" w:color="auto"/>
              <w:left w:val="single" w:sz="4" w:space="0" w:color="auto"/>
              <w:bottom w:val="single" w:sz="8" w:space="0" w:color="000000"/>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Forecast Year</w:t>
            </w:r>
          </w:p>
        </w:tc>
        <w:tc>
          <w:tcPr>
            <w:tcW w:w="4451"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Month</w:t>
            </w:r>
          </w:p>
        </w:tc>
      </w:tr>
      <w:tr w:rsidR="00F749A3" w:rsidRPr="00EC1D45" w:rsidTr="00F749A3">
        <w:trPr>
          <w:trHeight w:val="315"/>
          <w:jc w:val="center"/>
        </w:trPr>
        <w:tc>
          <w:tcPr>
            <w:tcW w:w="549" w:type="pct"/>
            <w:vMerge/>
            <w:tcBorders>
              <w:top w:val="single" w:sz="4" w:space="0" w:color="auto"/>
              <w:left w:val="single" w:sz="4" w:space="0" w:color="auto"/>
              <w:bottom w:val="single" w:sz="8" w:space="0" w:color="000000"/>
              <w:right w:val="single" w:sz="8" w:space="0" w:color="FFFFFF"/>
            </w:tcBorders>
            <w:vAlign w:val="center"/>
            <w:hideMark/>
          </w:tcPr>
          <w:p w:rsidR="00F749A3" w:rsidRPr="00EC1D45" w:rsidRDefault="00F749A3" w:rsidP="00F749A3">
            <w:pPr>
              <w:spacing w:after="0" w:line="240" w:lineRule="auto"/>
              <w:rPr>
                <w:rFonts w:ascii="Arial" w:eastAsia="Times New Roman" w:hAnsi="Arial" w:cs="Arial"/>
                <w:b/>
                <w:bCs/>
                <w:color w:val="FFFFFF"/>
                <w:sz w:val="20"/>
                <w:szCs w:val="20"/>
              </w:rPr>
            </w:pPr>
          </w:p>
        </w:tc>
        <w:tc>
          <w:tcPr>
            <w:tcW w:w="374"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Jan</w:t>
            </w:r>
          </w:p>
        </w:tc>
        <w:tc>
          <w:tcPr>
            <w:tcW w:w="374"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Feb</w:t>
            </w:r>
          </w:p>
        </w:tc>
        <w:tc>
          <w:tcPr>
            <w:tcW w:w="374"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Mar</w:t>
            </w:r>
          </w:p>
        </w:tc>
        <w:tc>
          <w:tcPr>
            <w:tcW w:w="374"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Apr</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May</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Jun</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Jul</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Aug</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Sep</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Oct</w:t>
            </w:r>
          </w:p>
        </w:tc>
        <w:tc>
          <w:tcPr>
            <w:tcW w:w="369" w:type="pct"/>
            <w:tcBorders>
              <w:top w:val="nil"/>
              <w:left w:val="nil"/>
              <w:bottom w:val="single" w:sz="8" w:space="0" w:color="auto"/>
              <w:right w:val="single" w:sz="8" w:space="0" w:color="FFFFFF"/>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Nov</w:t>
            </w:r>
          </w:p>
        </w:tc>
        <w:tc>
          <w:tcPr>
            <w:tcW w:w="369" w:type="pct"/>
            <w:tcBorders>
              <w:top w:val="nil"/>
              <w:left w:val="nil"/>
              <w:bottom w:val="single" w:sz="8" w:space="0" w:color="auto"/>
              <w:right w:val="single" w:sz="4" w:space="0" w:color="auto"/>
            </w:tcBorders>
            <w:shd w:val="clear" w:color="000000" w:fill="1F497D"/>
            <w:noWrap/>
            <w:vAlign w:val="bottom"/>
            <w:hideMark/>
          </w:tcPr>
          <w:p w:rsidR="00F749A3" w:rsidRPr="00EC1D45" w:rsidRDefault="00F749A3" w:rsidP="00F749A3">
            <w:pPr>
              <w:spacing w:after="0" w:line="240" w:lineRule="auto"/>
              <w:jc w:val="center"/>
              <w:rPr>
                <w:rFonts w:ascii="Arial" w:eastAsia="Times New Roman" w:hAnsi="Arial" w:cs="Arial"/>
                <w:b/>
                <w:bCs/>
                <w:color w:val="FFFFFF"/>
                <w:sz w:val="20"/>
                <w:szCs w:val="20"/>
              </w:rPr>
            </w:pPr>
            <w:r w:rsidRPr="00EC1D45">
              <w:rPr>
                <w:rFonts w:ascii="Arial" w:eastAsia="Times New Roman" w:hAnsi="Arial" w:cs="Arial"/>
                <w:b/>
                <w:bCs/>
                <w:color w:val="FFFFFF"/>
                <w:sz w:val="20"/>
                <w:szCs w:val="20"/>
              </w:rPr>
              <w:t>Dec</w:t>
            </w:r>
          </w:p>
        </w:tc>
      </w:tr>
      <w:tr w:rsidR="00F749A3" w:rsidRPr="00EC1D45" w:rsidTr="00F749A3">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2012</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right"/>
              <w:rPr>
                <w:rFonts w:eastAsia="Times New Roman" w:cs="Calibri"/>
                <w:color w:val="000000"/>
                <w:sz w:val="20"/>
                <w:szCs w:val="20"/>
              </w:rPr>
            </w:pPr>
            <w:r w:rsidRPr="00EC1D45">
              <w:rPr>
                <w:rFonts w:eastAsia="Times New Roman" w:cs="Calibri"/>
                <w:color w:val="000000"/>
                <w:sz w:val="20"/>
                <w:szCs w:val="20"/>
              </w:rPr>
              <w:t>3271</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right"/>
              <w:rPr>
                <w:rFonts w:eastAsia="Times New Roman" w:cs="Calibri"/>
                <w:color w:val="000000"/>
                <w:sz w:val="20"/>
                <w:szCs w:val="20"/>
              </w:rPr>
            </w:pPr>
            <w:r w:rsidRPr="00EC1D45">
              <w:rPr>
                <w:rFonts w:eastAsia="Times New Roman" w:cs="Calibri"/>
                <w:color w:val="000000"/>
                <w:sz w:val="20"/>
                <w:szCs w:val="20"/>
              </w:rPr>
              <w:t>3261</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right"/>
              <w:rPr>
                <w:rFonts w:eastAsia="Times New Roman" w:cs="Calibri"/>
                <w:color w:val="000000"/>
                <w:sz w:val="20"/>
                <w:szCs w:val="20"/>
              </w:rPr>
            </w:pPr>
            <w:r w:rsidRPr="00EC1D45">
              <w:rPr>
                <w:rFonts w:eastAsia="Times New Roman" w:cs="Calibri"/>
                <w:color w:val="000000"/>
                <w:sz w:val="20"/>
                <w:szCs w:val="20"/>
              </w:rPr>
              <w:t>3267</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right"/>
              <w:rPr>
                <w:rFonts w:eastAsia="Times New Roman" w:cs="Calibri"/>
                <w:color w:val="000000"/>
                <w:sz w:val="20"/>
                <w:szCs w:val="20"/>
              </w:rPr>
            </w:pPr>
            <w:r w:rsidRPr="00EC1D45">
              <w:rPr>
                <w:rFonts w:eastAsia="Times New Roman" w:cs="Calibri"/>
                <w:color w:val="000000"/>
                <w:sz w:val="20"/>
                <w:szCs w:val="20"/>
              </w:rPr>
              <w:t>3272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3278</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3283</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3289</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3294</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3300</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3305</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3311</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3316</w:t>
            </w:r>
          </w:p>
        </w:tc>
      </w:tr>
      <w:tr w:rsidR="00F749A3" w:rsidRPr="00EC1D45" w:rsidTr="00F749A3">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2013</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3322</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3328</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3333</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3339</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3344</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3350</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3355</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3361</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3367</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3372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3378</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3384</w:t>
            </w:r>
          </w:p>
        </w:tc>
      </w:tr>
      <w:tr w:rsidR="00F749A3" w:rsidRPr="00EC1D45" w:rsidTr="00F749A3">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2014</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3389</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3395</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3400</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3406</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3412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3418</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3423</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3429</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3435</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3440</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3446</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r>
      <w:tr w:rsidR="00F749A3" w:rsidRPr="00EC1D45" w:rsidTr="00F749A3">
        <w:trPr>
          <w:trHeight w:val="300"/>
          <w:jc w:val="center"/>
        </w:trPr>
        <w:tc>
          <w:tcPr>
            <w:tcW w:w="549" w:type="pct"/>
            <w:tcBorders>
              <w:top w:val="nil"/>
              <w:left w:val="single" w:sz="4" w:space="0" w:color="auto"/>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2015-2022</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EC1D45" w:rsidRDefault="00F749A3" w:rsidP="00F749A3">
            <w:pPr>
              <w:spacing w:after="0" w:line="240" w:lineRule="auto"/>
              <w:jc w:val="center"/>
              <w:rPr>
                <w:rFonts w:ascii="Arial" w:eastAsia="Times New Roman" w:hAnsi="Arial" w:cs="Arial"/>
                <w:color w:val="000000"/>
                <w:sz w:val="18"/>
                <w:szCs w:val="18"/>
              </w:rPr>
            </w:pPr>
            <w:r w:rsidRPr="00EC1D45">
              <w:rPr>
                <w:rFonts w:ascii="Arial" w:eastAsia="Times New Roman" w:hAnsi="Arial" w:cs="Arial"/>
                <w:color w:val="000000"/>
                <w:sz w:val="18"/>
                <w:szCs w:val="18"/>
              </w:rPr>
              <w:t>3452</w:t>
            </w:r>
          </w:p>
        </w:tc>
      </w:tr>
    </w:tbl>
    <w:p w:rsidR="00F749A3" w:rsidRDefault="00F749A3" w:rsidP="00F749A3">
      <w:pPr>
        <w:pStyle w:val="BodyParaAfterTableFigure"/>
      </w:pPr>
      <w:r>
        <w:t>The remainder of this section contains the ex ante load impact projections for SCE’s CPP tariff.  The load reduction capability is summarized for the program on the annual system peak day under 1-in-2 and 1-in-10 weather year conditions for the 2012 to 2022 period.  In addition per customer impacts are provided by geographic location and month under the standardized ex ante conditions.</w:t>
      </w:r>
    </w:p>
    <w:p w:rsidR="00F749A3" w:rsidRDefault="00F749A3" w:rsidP="00F749A3">
      <w:pPr>
        <w:pStyle w:val="Heading2"/>
        <w:rPr>
          <w:rFonts w:cs="Calibri"/>
        </w:rPr>
      </w:pPr>
      <w:bookmarkStart w:id="128" w:name="_Toc289178038"/>
      <w:bookmarkStart w:id="129" w:name="_Toc326072138"/>
      <w:r>
        <w:lastRenderedPageBreak/>
        <w:t>Annual System Peak Day Impacts</w:t>
      </w:r>
      <w:bookmarkEnd w:id="128"/>
      <w:bookmarkEnd w:id="129"/>
    </w:p>
    <w:p w:rsidR="00F749A3" w:rsidRDefault="00F749A3" w:rsidP="00F749A3">
      <w:pPr>
        <w:pStyle w:val="BodyParagraph"/>
      </w:pPr>
      <w:r>
        <w:t xml:space="preserve">At the end of the 2011 summer, SCE had roughly 3,050 large accounts enrolled in CPP.  By 2012, enrollment is projected to increase to roughly 3,300 service accounts.  The currently enrolled service accounts are assumed to be fully representative of the service accounts that will enroll.  Table 8-2 summarizes the CPP ex ante impacts for 1-in-2 and 1-in-10 conditions through 2022. </w:t>
      </w:r>
      <w:r>
        <w:rPr>
          <w:rFonts w:cs="Arial"/>
          <w:szCs w:val="20"/>
        </w:rPr>
        <w:t xml:space="preserve"> It </w:t>
      </w:r>
      <w:r>
        <w:t xml:space="preserve">shows the average load reduction across the 1 PM to 6 PM event period for an August monthly system peak day.  The aggregate load impacts, in the sixth column, stay relatively constant across forecast years and both 1-in-2 and 1-in-10 weather year conditions.  On the low end, aggregate impacts in 2012 under the 1-in-10 weather scenario are forecast to be 28.6 MW.  At the upper end, the forecasted aggregate impacts are 34.5 MW in 2015-2022 under the 1-in-2 weather year scenario.  In general, large CPP customers are not highly </w:t>
      </w:r>
      <w:proofErr w:type="gramStart"/>
      <w:r>
        <w:t>weather</w:t>
      </w:r>
      <w:proofErr w:type="gramEnd"/>
      <w:r>
        <w:t xml:space="preserve"> sensitive so their impacts do not change significantly between 1-in-2 and 1-in-10 weather years.  Although SCE is expecting enrollment to increase slightly, the reference loads and impacts remain constant and linearly related to the number of customer enrolled because customers currently on CPP are assumed to be fully representative of the small number of customers who will join the program in the future.  Put differently, while large C&amp;I CPP enrollment increases, percent impacts are assumed to remain constant. </w:t>
      </w:r>
    </w:p>
    <w:p w:rsidR="00F749A3" w:rsidRDefault="00F749A3" w:rsidP="00F749A3">
      <w:pPr>
        <w:pStyle w:val="TableFigureCaption"/>
      </w:pPr>
      <w:r>
        <w:t>Table 8-2</w:t>
      </w:r>
      <w:proofErr w:type="gramStart"/>
      <w:r>
        <w:t>:</w:t>
      </w:r>
      <w:proofErr w:type="gramEnd"/>
      <w:r>
        <w:br/>
        <w:t>Portfolio Annual System Peak Day Load Impacts for SCE’s CPP Tariff by Year</w:t>
      </w:r>
      <w:r>
        <w:br/>
        <w:t>(Hourly Average Reduction in MW Over Event Day Period - 1 to 6 PM)</w:t>
      </w:r>
    </w:p>
    <w:tbl>
      <w:tblPr>
        <w:tblW w:w="5000" w:type="pct"/>
        <w:jc w:val="center"/>
        <w:tblLook w:val="04A0"/>
      </w:tblPr>
      <w:tblGrid>
        <w:gridCol w:w="1069"/>
        <w:gridCol w:w="1077"/>
        <w:gridCol w:w="1259"/>
        <w:gridCol w:w="1261"/>
        <w:gridCol w:w="1320"/>
        <w:gridCol w:w="1129"/>
        <w:gridCol w:w="1272"/>
        <w:gridCol w:w="1189"/>
      </w:tblGrid>
      <w:tr w:rsidR="00F749A3" w:rsidRPr="008B3622" w:rsidTr="00F749A3">
        <w:trPr>
          <w:trHeight w:val="780"/>
          <w:jc w:val="center"/>
        </w:trPr>
        <w:tc>
          <w:tcPr>
            <w:tcW w:w="562" w:type="pct"/>
            <w:vMerge w:val="restart"/>
            <w:tcBorders>
              <w:top w:val="single" w:sz="4" w:space="0" w:color="auto"/>
              <w:left w:val="single" w:sz="4" w:space="0" w:color="auto"/>
              <w:bottom w:val="single" w:sz="4" w:space="0" w:color="000000"/>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Weather Year</w:t>
            </w:r>
          </w:p>
        </w:tc>
        <w:tc>
          <w:tcPr>
            <w:tcW w:w="537" w:type="pct"/>
            <w:vMerge w:val="restart"/>
            <w:tcBorders>
              <w:top w:val="single" w:sz="4" w:space="0" w:color="auto"/>
              <w:left w:val="single" w:sz="8" w:space="0" w:color="FFFFFF"/>
              <w:bottom w:val="single" w:sz="4" w:space="0" w:color="000000"/>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Year</w:t>
            </w:r>
          </w:p>
        </w:tc>
        <w:tc>
          <w:tcPr>
            <w:tcW w:w="661" w:type="pct"/>
            <w:vMerge w:val="restart"/>
            <w:tcBorders>
              <w:top w:val="single" w:sz="4" w:space="0" w:color="auto"/>
              <w:left w:val="single" w:sz="8" w:space="0" w:color="FFFFFF"/>
              <w:bottom w:val="single" w:sz="4" w:space="0" w:color="000000"/>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Enrolled Accts (Forecast)</w:t>
            </w:r>
          </w:p>
        </w:tc>
        <w:tc>
          <w:tcPr>
            <w:tcW w:w="66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Avg. Reference Load</w:t>
            </w:r>
          </w:p>
        </w:tc>
        <w:tc>
          <w:tcPr>
            <w:tcW w:w="693"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Avg. Estimated Load w DR</w:t>
            </w:r>
          </w:p>
        </w:tc>
        <w:tc>
          <w:tcPr>
            <w:tcW w:w="593"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Avg. Load impact</w:t>
            </w:r>
          </w:p>
        </w:tc>
        <w:tc>
          <w:tcPr>
            <w:tcW w:w="668"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 Load Reduction</w:t>
            </w:r>
          </w:p>
        </w:tc>
        <w:tc>
          <w:tcPr>
            <w:tcW w:w="624" w:type="pct"/>
            <w:tcBorders>
              <w:top w:val="single" w:sz="4" w:space="0" w:color="auto"/>
              <w:left w:val="nil"/>
              <w:bottom w:val="nil"/>
              <w:right w:val="single" w:sz="4" w:space="0" w:color="auto"/>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Weighted Temp</w:t>
            </w:r>
          </w:p>
        </w:tc>
      </w:tr>
      <w:tr w:rsidR="00F749A3" w:rsidRPr="008B3622" w:rsidTr="00F749A3">
        <w:trPr>
          <w:trHeight w:val="480"/>
          <w:jc w:val="center"/>
        </w:trPr>
        <w:tc>
          <w:tcPr>
            <w:tcW w:w="562" w:type="pct"/>
            <w:vMerge/>
            <w:tcBorders>
              <w:top w:val="single" w:sz="4" w:space="0" w:color="auto"/>
              <w:left w:val="single" w:sz="4" w:space="0" w:color="auto"/>
              <w:bottom w:val="single" w:sz="4" w:space="0" w:color="000000"/>
              <w:right w:val="single" w:sz="8" w:space="0" w:color="FFFFFF"/>
            </w:tcBorders>
            <w:vAlign w:val="center"/>
            <w:hideMark/>
          </w:tcPr>
          <w:p w:rsidR="00F749A3" w:rsidRPr="008B3622" w:rsidRDefault="00F749A3" w:rsidP="00F749A3">
            <w:pPr>
              <w:spacing w:after="0" w:line="240" w:lineRule="auto"/>
              <w:rPr>
                <w:rFonts w:ascii="Arial" w:eastAsia="Times New Roman" w:hAnsi="Arial" w:cs="Arial"/>
                <w:b/>
                <w:bCs/>
                <w:color w:val="FFFFFF"/>
                <w:sz w:val="20"/>
                <w:szCs w:val="20"/>
              </w:rPr>
            </w:pPr>
          </w:p>
        </w:tc>
        <w:tc>
          <w:tcPr>
            <w:tcW w:w="537" w:type="pct"/>
            <w:vMerge/>
            <w:tcBorders>
              <w:top w:val="single" w:sz="4" w:space="0" w:color="auto"/>
              <w:left w:val="single" w:sz="8" w:space="0" w:color="FFFFFF"/>
              <w:bottom w:val="single" w:sz="4" w:space="0" w:color="000000"/>
              <w:right w:val="single" w:sz="8" w:space="0" w:color="FFFFFF"/>
            </w:tcBorders>
            <w:vAlign w:val="center"/>
            <w:hideMark/>
          </w:tcPr>
          <w:p w:rsidR="00F749A3" w:rsidRPr="008B3622" w:rsidRDefault="00F749A3" w:rsidP="00F749A3">
            <w:pPr>
              <w:spacing w:after="0" w:line="240" w:lineRule="auto"/>
              <w:rPr>
                <w:rFonts w:ascii="Arial" w:eastAsia="Times New Roman" w:hAnsi="Arial" w:cs="Arial"/>
                <w:b/>
                <w:bCs/>
                <w:color w:val="FFFFFF"/>
                <w:sz w:val="20"/>
                <w:szCs w:val="20"/>
              </w:rPr>
            </w:pPr>
          </w:p>
        </w:tc>
        <w:tc>
          <w:tcPr>
            <w:tcW w:w="661" w:type="pct"/>
            <w:vMerge/>
            <w:tcBorders>
              <w:top w:val="single" w:sz="4" w:space="0" w:color="auto"/>
              <w:left w:val="single" w:sz="8" w:space="0" w:color="FFFFFF"/>
              <w:bottom w:val="single" w:sz="4" w:space="0" w:color="000000"/>
              <w:right w:val="single" w:sz="8" w:space="0" w:color="FFFFFF"/>
            </w:tcBorders>
            <w:vAlign w:val="center"/>
            <w:hideMark/>
          </w:tcPr>
          <w:p w:rsidR="00F749A3" w:rsidRPr="008B3622" w:rsidRDefault="00F749A3" w:rsidP="00F749A3">
            <w:pPr>
              <w:spacing w:after="0" w:line="240" w:lineRule="auto"/>
              <w:rPr>
                <w:rFonts w:ascii="Arial" w:eastAsia="Times New Roman" w:hAnsi="Arial" w:cs="Arial"/>
                <w:b/>
                <w:bCs/>
                <w:color w:val="FFFFFF"/>
                <w:sz w:val="20"/>
                <w:szCs w:val="20"/>
              </w:rPr>
            </w:pPr>
          </w:p>
        </w:tc>
        <w:tc>
          <w:tcPr>
            <w:tcW w:w="662"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18"/>
                <w:szCs w:val="18"/>
              </w:rPr>
            </w:pPr>
            <w:r w:rsidRPr="008B3622">
              <w:rPr>
                <w:rFonts w:ascii="Arial" w:eastAsia="Times New Roman" w:hAnsi="Arial" w:cs="Arial"/>
                <w:b/>
                <w:bCs/>
                <w:color w:val="FFFFFF"/>
                <w:sz w:val="18"/>
                <w:szCs w:val="18"/>
              </w:rPr>
              <w:t>(MW  1-6 PM)</w:t>
            </w:r>
          </w:p>
        </w:tc>
        <w:tc>
          <w:tcPr>
            <w:tcW w:w="693"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18"/>
                <w:szCs w:val="18"/>
              </w:rPr>
            </w:pPr>
            <w:r w:rsidRPr="008B3622">
              <w:rPr>
                <w:rFonts w:ascii="Arial" w:eastAsia="Times New Roman" w:hAnsi="Arial" w:cs="Arial"/>
                <w:b/>
                <w:bCs/>
                <w:color w:val="FFFFFF"/>
                <w:sz w:val="18"/>
                <w:szCs w:val="18"/>
              </w:rPr>
              <w:t>(MW  1-6 PM)</w:t>
            </w:r>
          </w:p>
        </w:tc>
        <w:tc>
          <w:tcPr>
            <w:tcW w:w="593"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18"/>
                <w:szCs w:val="18"/>
              </w:rPr>
            </w:pPr>
            <w:r w:rsidRPr="008B3622">
              <w:rPr>
                <w:rFonts w:ascii="Arial" w:eastAsia="Times New Roman" w:hAnsi="Arial" w:cs="Arial"/>
                <w:b/>
                <w:bCs/>
                <w:color w:val="FFFFFF"/>
                <w:sz w:val="18"/>
                <w:szCs w:val="18"/>
              </w:rPr>
              <w:t>(MW  1-6 PM)</w:t>
            </w:r>
          </w:p>
        </w:tc>
        <w:tc>
          <w:tcPr>
            <w:tcW w:w="668"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18"/>
                <w:szCs w:val="18"/>
              </w:rPr>
            </w:pPr>
            <w:r w:rsidRPr="008B3622">
              <w:rPr>
                <w:rFonts w:ascii="Arial" w:eastAsia="Times New Roman" w:hAnsi="Arial" w:cs="Arial"/>
                <w:b/>
                <w:bCs/>
                <w:color w:val="FFFFFF"/>
                <w:sz w:val="18"/>
                <w:szCs w:val="18"/>
              </w:rPr>
              <w:t>(MW 1-6 PM)</w:t>
            </w:r>
          </w:p>
        </w:tc>
        <w:tc>
          <w:tcPr>
            <w:tcW w:w="624" w:type="pct"/>
            <w:tcBorders>
              <w:top w:val="nil"/>
              <w:left w:val="nil"/>
              <w:bottom w:val="nil"/>
              <w:right w:val="single" w:sz="4" w:space="0" w:color="auto"/>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(°F)</w:t>
            </w:r>
          </w:p>
        </w:tc>
      </w:tr>
      <w:tr w:rsidR="00F749A3" w:rsidRPr="008B3622" w:rsidTr="00F749A3">
        <w:trPr>
          <w:trHeight w:val="315"/>
          <w:jc w:val="center"/>
        </w:trPr>
        <w:tc>
          <w:tcPr>
            <w:tcW w:w="562" w:type="pct"/>
            <w:vMerge w:val="restart"/>
            <w:tcBorders>
              <w:top w:val="nil"/>
              <w:left w:val="single" w:sz="4" w:space="0" w:color="auto"/>
              <w:bottom w:val="single" w:sz="4" w:space="0" w:color="000000"/>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1-in-10 August System Peak Day</w:t>
            </w: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2012</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3,294</w:t>
            </w:r>
          </w:p>
        </w:tc>
        <w:tc>
          <w:tcPr>
            <w:tcW w:w="662"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710.3</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683.8</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26.5</w:t>
            </w:r>
          </w:p>
        </w:tc>
        <w:tc>
          <w:tcPr>
            <w:tcW w:w="668"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3.74%</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96.0</w:t>
            </w:r>
          </w:p>
        </w:tc>
      </w:tr>
      <w:tr w:rsidR="00F749A3" w:rsidRPr="008B3622" w:rsidTr="00F749A3">
        <w:trPr>
          <w:trHeight w:val="300"/>
          <w:jc w:val="center"/>
        </w:trPr>
        <w:tc>
          <w:tcPr>
            <w:tcW w:w="562"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2013</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3,361</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724.8</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697.7</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27.1</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3.74%</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96.0</w:t>
            </w:r>
          </w:p>
        </w:tc>
      </w:tr>
      <w:tr w:rsidR="00F749A3" w:rsidRPr="008B3622" w:rsidTr="00F749A3">
        <w:trPr>
          <w:trHeight w:val="300"/>
          <w:jc w:val="center"/>
        </w:trPr>
        <w:tc>
          <w:tcPr>
            <w:tcW w:w="562"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2014</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3,429</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739.4</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711.8</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27.6</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3.74%</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96.0</w:t>
            </w:r>
          </w:p>
        </w:tc>
      </w:tr>
      <w:tr w:rsidR="00F749A3" w:rsidRPr="008B3622" w:rsidTr="00F749A3">
        <w:trPr>
          <w:trHeight w:val="300"/>
          <w:jc w:val="center"/>
        </w:trPr>
        <w:tc>
          <w:tcPr>
            <w:tcW w:w="562"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2015-2022</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3,452</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744.4</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716.6</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27.8</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3.74%</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96.0</w:t>
            </w:r>
          </w:p>
        </w:tc>
      </w:tr>
      <w:tr w:rsidR="00F749A3" w:rsidRPr="008B3622" w:rsidTr="00F749A3">
        <w:trPr>
          <w:trHeight w:val="300"/>
          <w:jc w:val="center"/>
        </w:trPr>
        <w:tc>
          <w:tcPr>
            <w:tcW w:w="562" w:type="pct"/>
            <w:vMerge w:val="restart"/>
            <w:tcBorders>
              <w:top w:val="nil"/>
              <w:left w:val="single" w:sz="4" w:space="0" w:color="auto"/>
              <w:bottom w:val="single" w:sz="4" w:space="0" w:color="000000"/>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1-in-2 August System Peak Day</w:t>
            </w: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2012</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3,294</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695.6</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668.2</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27.3</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3.93%</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93.5</w:t>
            </w:r>
          </w:p>
        </w:tc>
      </w:tr>
      <w:tr w:rsidR="00F749A3" w:rsidRPr="008B3622" w:rsidTr="00F749A3">
        <w:trPr>
          <w:trHeight w:val="300"/>
          <w:jc w:val="center"/>
        </w:trPr>
        <w:tc>
          <w:tcPr>
            <w:tcW w:w="562"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2013</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3,361</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709.7</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681.8</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27.9</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3.93%</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93.5</w:t>
            </w:r>
          </w:p>
        </w:tc>
      </w:tr>
      <w:tr w:rsidR="00F749A3" w:rsidRPr="008B3622" w:rsidTr="00F749A3">
        <w:trPr>
          <w:trHeight w:val="300"/>
          <w:jc w:val="center"/>
        </w:trPr>
        <w:tc>
          <w:tcPr>
            <w:tcW w:w="562"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2014</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3,429</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724.1</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695.6</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28.4</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3.93%</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93.5</w:t>
            </w:r>
          </w:p>
        </w:tc>
      </w:tr>
      <w:tr w:rsidR="00F749A3" w:rsidRPr="008B3622" w:rsidTr="00F749A3">
        <w:trPr>
          <w:trHeight w:val="300"/>
          <w:jc w:val="center"/>
        </w:trPr>
        <w:tc>
          <w:tcPr>
            <w:tcW w:w="562"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37"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2015-2022</w:t>
            </w:r>
          </w:p>
        </w:tc>
        <w:tc>
          <w:tcPr>
            <w:tcW w:w="661"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3,452</w:t>
            </w:r>
          </w:p>
        </w:tc>
        <w:tc>
          <w:tcPr>
            <w:tcW w:w="66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728.9</w:t>
            </w:r>
          </w:p>
        </w:tc>
        <w:tc>
          <w:tcPr>
            <w:tcW w:w="6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700.3</w:t>
            </w:r>
          </w:p>
        </w:tc>
        <w:tc>
          <w:tcPr>
            <w:tcW w:w="593"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28.6</w:t>
            </w:r>
          </w:p>
        </w:tc>
        <w:tc>
          <w:tcPr>
            <w:tcW w:w="66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3.93%</w:t>
            </w:r>
          </w:p>
        </w:tc>
        <w:tc>
          <w:tcPr>
            <w:tcW w:w="624"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93.5</w:t>
            </w:r>
          </w:p>
        </w:tc>
      </w:tr>
    </w:tbl>
    <w:p w:rsidR="00F749A3" w:rsidRDefault="00F749A3" w:rsidP="00F749A3">
      <w:pPr>
        <w:pStyle w:val="BodyParagraph"/>
      </w:pPr>
    </w:p>
    <w:p w:rsidR="00F749A3" w:rsidRDefault="00F749A3" w:rsidP="00F749A3">
      <w:pPr>
        <w:pStyle w:val="BodyParagraph"/>
        <w:rPr>
          <w:highlight w:val="yellow"/>
        </w:rPr>
      </w:pPr>
      <w:r w:rsidRPr="0075090C">
        <w:t xml:space="preserve">Depending on the forecast year and weather conditions, large customers in the CPP program </w:t>
      </w:r>
      <w:r>
        <w:t>are expected to reduce between 3.7% and 3</w:t>
      </w:r>
      <w:r w:rsidRPr="0075090C">
        <w:t>.9 % of demand under peaking conditions.  The reductions are lower than percent reductions observed for ex post events in 2011, which range</w:t>
      </w:r>
      <w:r>
        <w:t>d from 5.4% to 5.9%.  The difference is explained by three</w:t>
      </w:r>
      <w:r w:rsidRPr="0075090C">
        <w:t xml:space="preserve"> factors.  </w:t>
      </w:r>
      <w:r>
        <w:t>First, the RA window has been extended to include the event window from 1 to 2 PM.  Impacts of close to zero are included for this hour in the 1 to 6 PM average event window.  This makes sense for ex ante reporting purposes because the price signal will be lowered by approximately 20% to compensate for the longer event window.  On another note, c</w:t>
      </w:r>
      <w:r w:rsidRPr="0075090C">
        <w:t xml:space="preserve">ustomers dually enrolled in other DR programs, are excluded from the portfolio impacts to avoid double counting.  Since these customers generally reduce a larger share of their demand, excluding them lower the demand reductions by roughly 12%.  The remaining difference is explained </w:t>
      </w:r>
      <w:r w:rsidRPr="0075090C">
        <w:lastRenderedPageBreak/>
        <w:t>by fact that the ex ante impacts incorporate information about current participant performance in 2010 and 2011.</w:t>
      </w:r>
      <w:r w:rsidRPr="00F960F4">
        <w:rPr>
          <w:highlight w:val="yellow"/>
        </w:rPr>
        <w:t xml:space="preserve">  </w:t>
      </w:r>
    </w:p>
    <w:p w:rsidR="00F749A3" w:rsidRDefault="00F749A3" w:rsidP="00F749A3">
      <w:pPr>
        <w:pStyle w:val="BodyParagraph"/>
      </w:pPr>
      <w:r>
        <w:rPr>
          <w:shd w:val="clear" w:color="auto" w:fill="FFFFFF" w:themeFill="background1"/>
        </w:rPr>
        <w:t>As mentioned previously, the ex ante impacts in Table 8-2 reflect a 1 to 6 PM window with what is essentially an assumed 20% reduction in impacts.  To compare the ex ant impacts produced last year with those produced this year, FSC uses the 2 to 6 PM window in both years.  Under the 2 to 6 PM window, t</w:t>
      </w:r>
      <w:r w:rsidRPr="00EB432E">
        <w:rPr>
          <w:shd w:val="clear" w:color="auto" w:fill="FFFFFF" w:themeFill="background1"/>
        </w:rPr>
        <w:t>he ex ante impacts are higher than those produced last year by roughly one third.  Last year, 24.5 MW were estimated to be available for 2012 under 1-in-2 peaking conditions.  This year, we estimate 33.0 MW will be available.  The difference is due to changes in enrollment forecast and improved performance.</w:t>
      </w:r>
      <w:r>
        <w:t xml:space="preserve">  Despite a reduction in the number of customers from 4,000 to 3,100 customers between 2010 and 2011, average ex post demand reduction increased from 30.7 MW in 2010 to 35 MW in 2011.  As detailed in Section 5.7, the results suggest that SCE retained the bulk of the most price responsive customers enrolled in CPP.  The project ex-ante demand reductions are well within the range of reductions observed in 2011.   </w:t>
      </w:r>
    </w:p>
    <w:p w:rsidR="00F749A3" w:rsidRDefault="00F749A3" w:rsidP="00F749A3">
      <w:pPr>
        <w:pStyle w:val="BodyParaAfterTableFigure"/>
      </w:pPr>
      <w:r>
        <w:t>Figures 8-1 and 8-2 show the impacts by hour for the annual peak day based on 1-in-2 year weather conditions for 2012 and 2022.  They illustrate how enrollment changes slightly and aggregate impacts stay basically constant from the beginning to the end of the forecast period.  The figures are an example of the electronic appendices included with this report, which contain hourly load impact tables for each day type, weather year and forecast year.</w:t>
      </w:r>
    </w:p>
    <w:p w:rsidR="00F749A3" w:rsidRDefault="00F749A3" w:rsidP="00F749A3">
      <w:pPr>
        <w:pStyle w:val="BodyParagraph"/>
      </w:pPr>
      <w:r>
        <w:t>As seen in Figure 8-1, in 2012 the aggregate reference load decreases steadily over the 4-hour event period, from roughly 740 MW to 610 MW.  Both the load drop (MW) and the percent load drop vary across the hours, with the lowest load drop occurring in the last event hour.  Impacts vary with the magnitude of the reference load and range from about 30 MW to 35 MW.  The 2022 electricity consumption patterns do not differ significantly.  In total, 158 customers are projected to enroll in CPP between August 2012 and August 2022, leading to very little change in aggregate program impacts.  Figure 8-2 makes clear that the reference load, observed load, load impacts and percent load impacts are almost the same in August 2012 as August 2015-2022 under SCE’s enrollment assumptions.</w:t>
      </w:r>
    </w:p>
    <w:p w:rsidR="00F749A3" w:rsidRDefault="00F749A3" w:rsidP="00F749A3">
      <w:pPr>
        <w:pStyle w:val="TableFigureCaption"/>
      </w:pPr>
      <w:r>
        <w:lastRenderedPageBreak/>
        <w:t>Figure 8-1</w:t>
      </w:r>
      <w:proofErr w:type="gramStart"/>
      <w:r>
        <w:t>:</w:t>
      </w:r>
      <w:proofErr w:type="gramEnd"/>
      <w:r>
        <w:br/>
        <w:t>Hourly Aggregate Load Reduction for CPP for an August Monthly System Peak Day</w:t>
      </w:r>
      <w:r>
        <w:br/>
        <w:t>Portfolio Impacts, 1-in-2 Weather Year Conditions and 2012 Program Enrollment</w:t>
      </w:r>
    </w:p>
    <w:p w:rsidR="00F749A3" w:rsidRPr="00242912" w:rsidRDefault="00F749A3" w:rsidP="00F749A3">
      <w:pPr>
        <w:pStyle w:val="BodyParaAfterTableFigure"/>
        <w:jc w:val="center"/>
      </w:pPr>
      <w:r>
        <w:rPr>
          <w:noProof/>
        </w:rPr>
        <w:drawing>
          <wp:inline distT="0" distB="0" distL="0" distR="0">
            <wp:extent cx="5943600" cy="389433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3894334"/>
                    </a:xfrm>
                    <a:prstGeom prst="rect">
                      <a:avLst/>
                    </a:prstGeom>
                    <a:noFill/>
                    <a:ln w="9525">
                      <a:noFill/>
                      <a:miter lim="800000"/>
                      <a:headEnd/>
                      <a:tailEnd/>
                    </a:ln>
                  </pic:spPr>
                </pic:pic>
              </a:graphicData>
            </a:graphic>
          </wp:inline>
        </w:drawing>
      </w:r>
    </w:p>
    <w:p w:rsidR="00F749A3" w:rsidRDefault="00F749A3" w:rsidP="00F749A3">
      <w:pPr>
        <w:spacing w:after="0"/>
        <w:jc w:val="center"/>
        <w:rPr>
          <w:b/>
        </w:rPr>
      </w:pPr>
    </w:p>
    <w:p w:rsidR="00F749A3" w:rsidRDefault="00F749A3" w:rsidP="00F749A3">
      <w:pPr>
        <w:pStyle w:val="TableFigureCaption"/>
      </w:pPr>
      <w:r>
        <w:br w:type="page"/>
      </w:r>
      <w:r>
        <w:lastRenderedPageBreak/>
        <w:t>Figure 8-2</w:t>
      </w:r>
      <w:proofErr w:type="gramStart"/>
      <w:r>
        <w:t>:</w:t>
      </w:r>
      <w:proofErr w:type="gramEnd"/>
      <w:r>
        <w:br/>
        <w:t xml:space="preserve">Hourly Aggregate Load Reduction for CPP Tariff for a August Monthly System Peak Day </w:t>
      </w:r>
      <w:r>
        <w:br/>
        <w:t>Portfolio Impacts, 1-in-2 Weather Year Conditions and 2015-2022 Program Enrollment</w:t>
      </w:r>
    </w:p>
    <w:p w:rsidR="00F749A3" w:rsidRPr="00F31367" w:rsidRDefault="00F749A3" w:rsidP="00F749A3">
      <w:pPr>
        <w:pStyle w:val="BodyParaAfterTableFigure"/>
      </w:pPr>
      <w:r>
        <w:rPr>
          <w:noProof/>
        </w:rPr>
        <w:drawing>
          <wp:inline distT="0" distB="0" distL="0" distR="0">
            <wp:extent cx="5943600" cy="3991050"/>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3991050"/>
                    </a:xfrm>
                    <a:prstGeom prst="rect">
                      <a:avLst/>
                    </a:prstGeom>
                    <a:noFill/>
                    <a:ln w="9525">
                      <a:noFill/>
                      <a:miter lim="800000"/>
                      <a:headEnd/>
                      <a:tailEnd/>
                    </a:ln>
                  </pic:spPr>
                </pic:pic>
              </a:graphicData>
            </a:graphic>
          </wp:inline>
        </w:drawing>
      </w:r>
    </w:p>
    <w:p w:rsidR="00F749A3" w:rsidRDefault="00F749A3" w:rsidP="00F749A3">
      <w:pPr>
        <w:pStyle w:val="Heading2"/>
        <w:spacing w:before="360"/>
        <w:ind w:left="547" w:hanging="547"/>
      </w:pPr>
      <w:bookmarkStart w:id="130" w:name="_Toc289178039"/>
      <w:bookmarkStart w:id="131" w:name="_Toc326072139"/>
      <w:r>
        <w:t>Ex Ante Load Impact Uncertainty</w:t>
      </w:r>
      <w:bookmarkEnd w:id="130"/>
      <w:bookmarkEnd w:id="131"/>
      <w:r>
        <w:t xml:space="preserve"> </w:t>
      </w:r>
    </w:p>
    <w:p w:rsidR="00F749A3" w:rsidRPr="006C502C" w:rsidRDefault="00F749A3" w:rsidP="00F749A3">
      <w:pPr>
        <w:pStyle w:val="BodyParagraph"/>
      </w:pPr>
      <w:r>
        <w:t>Table 8-3 summarizes the uncertainty in the ex ante annual system peak load impact estimates.  The statistical uncertainty of the impact estimates is substantial due to the relatively small percent impacts.</w:t>
      </w:r>
      <w:r w:rsidRPr="00862A0E">
        <w:t xml:space="preserve">  </w:t>
      </w:r>
      <w:r>
        <w:t>For example, for 2012</w:t>
      </w:r>
      <w:r w:rsidRPr="00862A0E">
        <w:t xml:space="preserve">, the 80% confidence interval </w:t>
      </w:r>
      <w:r>
        <w:t>for 1-in-10 impacts ranges from 20.7 MW up to 32.4 MW - a swing of 11.7 MW.</w:t>
      </w:r>
    </w:p>
    <w:p w:rsidR="00F749A3" w:rsidRDefault="00F749A3" w:rsidP="00F749A3">
      <w:pPr>
        <w:pStyle w:val="TableFigureCaption"/>
      </w:pPr>
      <w:r>
        <w:br w:type="page"/>
      </w:r>
      <w:r>
        <w:lastRenderedPageBreak/>
        <w:t>Table 8-3</w:t>
      </w:r>
      <w:proofErr w:type="gramStart"/>
      <w:r>
        <w:t>:</w:t>
      </w:r>
      <w:proofErr w:type="gramEnd"/>
      <w:r w:rsidRPr="00D3489F">
        <w:br/>
      </w:r>
      <w:r>
        <w:t xml:space="preserve">Portfolio Ex </w:t>
      </w:r>
      <w:r w:rsidRPr="009B536E">
        <w:t xml:space="preserve">Ante Annual System Peak Day Load Impacts with Uncertainty </w:t>
      </w:r>
      <w:r w:rsidRPr="009B536E">
        <w:br/>
        <w:t>(Hourly A</w:t>
      </w:r>
      <w:r>
        <w:t>verage Reduction in MW Over the Event Day Window- 1</w:t>
      </w:r>
      <w:r w:rsidRPr="009B536E">
        <w:t xml:space="preserve"> to 6 </w:t>
      </w:r>
      <w:r>
        <w:t>PM</w:t>
      </w:r>
      <w:r w:rsidRPr="009B536E">
        <w:t>)</w:t>
      </w:r>
    </w:p>
    <w:tbl>
      <w:tblPr>
        <w:tblW w:w="5000" w:type="pct"/>
        <w:jc w:val="center"/>
        <w:tblLook w:val="04A0"/>
      </w:tblPr>
      <w:tblGrid>
        <w:gridCol w:w="1225"/>
        <w:gridCol w:w="1169"/>
        <w:gridCol w:w="1344"/>
        <w:gridCol w:w="1168"/>
        <w:gridCol w:w="1168"/>
        <w:gridCol w:w="1168"/>
        <w:gridCol w:w="1168"/>
        <w:gridCol w:w="1166"/>
      </w:tblGrid>
      <w:tr w:rsidR="00F749A3" w:rsidRPr="008B3622" w:rsidTr="00F749A3">
        <w:trPr>
          <w:trHeight w:val="780"/>
          <w:jc w:val="center"/>
        </w:trPr>
        <w:tc>
          <w:tcPr>
            <w:tcW w:w="639" w:type="pct"/>
            <w:vMerge w:val="restart"/>
            <w:tcBorders>
              <w:top w:val="single" w:sz="4" w:space="0" w:color="auto"/>
              <w:left w:val="single" w:sz="4" w:space="0" w:color="auto"/>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Weather Year</w:t>
            </w:r>
          </w:p>
        </w:tc>
        <w:tc>
          <w:tcPr>
            <w:tcW w:w="610" w:type="pct"/>
            <w:vMerge w:val="restart"/>
            <w:tcBorders>
              <w:top w:val="single" w:sz="4" w:space="0" w:color="auto"/>
              <w:left w:val="single" w:sz="8" w:space="0" w:color="FFFFFF"/>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Year</w:t>
            </w:r>
          </w:p>
        </w:tc>
        <w:tc>
          <w:tcPr>
            <w:tcW w:w="702" w:type="pct"/>
            <w:tcBorders>
              <w:top w:val="single" w:sz="4" w:space="0" w:color="auto"/>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Expected Avg. Load Impact</w:t>
            </w:r>
          </w:p>
        </w:tc>
        <w:tc>
          <w:tcPr>
            <w:tcW w:w="3049" w:type="pct"/>
            <w:gridSpan w:val="5"/>
            <w:tcBorders>
              <w:top w:val="single" w:sz="4" w:space="0" w:color="auto"/>
              <w:left w:val="nil"/>
              <w:bottom w:val="single" w:sz="8" w:space="0" w:color="FFFFFF"/>
              <w:right w:val="single" w:sz="4" w:space="0" w:color="000000"/>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Impact Uncertainty</w:t>
            </w:r>
          </w:p>
        </w:tc>
      </w:tr>
      <w:tr w:rsidR="00F749A3" w:rsidRPr="008B3622" w:rsidTr="00F749A3">
        <w:trPr>
          <w:trHeight w:val="510"/>
          <w:jc w:val="center"/>
        </w:trPr>
        <w:tc>
          <w:tcPr>
            <w:tcW w:w="639" w:type="pct"/>
            <w:vMerge/>
            <w:tcBorders>
              <w:top w:val="single" w:sz="4" w:space="0" w:color="auto"/>
              <w:left w:val="single" w:sz="4" w:space="0" w:color="auto"/>
              <w:bottom w:val="nil"/>
              <w:right w:val="single" w:sz="8" w:space="0" w:color="FFFFFF"/>
            </w:tcBorders>
            <w:vAlign w:val="center"/>
            <w:hideMark/>
          </w:tcPr>
          <w:p w:rsidR="00F749A3" w:rsidRPr="008B3622" w:rsidRDefault="00F749A3" w:rsidP="00F749A3">
            <w:pPr>
              <w:spacing w:after="0" w:line="240" w:lineRule="auto"/>
              <w:rPr>
                <w:rFonts w:ascii="Arial" w:eastAsia="Times New Roman" w:hAnsi="Arial" w:cs="Arial"/>
                <w:b/>
                <w:bCs/>
                <w:color w:val="FFFFFF"/>
                <w:sz w:val="20"/>
                <w:szCs w:val="20"/>
              </w:rPr>
            </w:pPr>
          </w:p>
        </w:tc>
        <w:tc>
          <w:tcPr>
            <w:tcW w:w="610" w:type="pct"/>
            <w:vMerge/>
            <w:tcBorders>
              <w:top w:val="single" w:sz="4" w:space="0" w:color="auto"/>
              <w:left w:val="single" w:sz="8" w:space="0" w:color="FFFFFF"/>
              <w:bottom w:val="nil"/>
              <w:right w:val="single" w:sz="8" w:space="0" w:color="FFFFFF"/>
            </w:tcBorders>
            <w:vAlign w:val="center"/>
            <w:hideMark/>
          </w:tcPr>
          <w:p w:rsidR="00F749A3" w:rsidRPr="008B3622" w:rsidRDefault="00F749A3" w:rsidP="00F749A3">
            <w:pPr>
              <w:spacing w:after="0" w:line="240" w:lineRule="auto"/>
              <w:rPr>
                <w:rFonts w:ascii="Arial" w:eastAsia="Times New Roman" w:hAnsi="Arial" w:cs="Arial"/>
                <w:b/>
                <w:bCs/>
                <w:color w:val="FFFFFF"/>
                <w:sz w:val="20"/>
                <w:szCs w:val="20"/>
              </w:rPr>
            </w:pPr>
          </w:p>
        </w:tc>
        <w:tc>
          <w:tcPr>
            <w:tcW w:w="702"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(MW  1-6 PM)</w:t>
            </w:r>
          </w:p>
        </w:tc>
        <w:tc>
          <w:tcPr>
            <w:tcW w:w="610"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10th</w:t>
            </w:r>
          </w:p>
        </w:tc>
        <w:tc>
          <w:tcPr>
            <w:tcW w:w="610"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30th</w:t>
            </w:r>
          </w:p>
        </w:tc>
        <w:tc>
          <w:tcPr>
            <w:tcW w:w="610"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50th</w:t>
            </w:r>
          </w:p>
        </w:tc>
        <w:tc>
          <w:tcPr>
            <w:tcW w:w="610" w:type="pct"/>
            <w:tcBorders>
              <w:top w:val="nil"/>
              <w:left w:val="nil"/>
              <w:bottom w:val="nil"/>
              <w:right w:val="single" w:sz="8" w:space="0" w:color="FFFFFF"/>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70th</w:t>
            </w:r>
          </w:p>
        </w:tc>
        <w:tc>
          <w:tcPr>
            <w:tcW w:w="610" w:type="pct"/>
            <w:tcBorders>
              <w:top w:val="nil"/>
              <w:left w:val="nil"/>
              <w:bottom w:val="nil"/>
              <w:right w:val="single" w:sz="4" w:space="0" w:color="auto"/>
            </w:tcBorders>
            <w:shd w:val="clear" w:color="000000" w:fill="1F497D"/>
            <w:vAlign w:val="center"/>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90th</w:t>
            </w:r>
          </w:p>
        </w:tc>
      </w:tr>
      <w:tr w:rsidR="00F749A3" w:rsidRPr="008B3622" w:rsidTr="00F749A3">
        <w:trPr>
          <w:trHeight w:val="315"/>
          <w:jc w:val="center"/>
        </w:trPr>
        <w:tc>
          <w:tcPr>
            <w:tcW w:w="6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1-in-10 August System Peak Day</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2012</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26.5</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20.7</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24.1</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26.5</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28.9</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32.4</w:t>
            </w:r>
          </w:p>
        </w:tc>
      </w:tr>
      <w:tr w:rsidR="00F749A3" w:rsidRPr="008B3622" w:rsidTr="00F749A3">
        <w:trPr>
          <w:trHeight w:val="300"/>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2013</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27.1</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21.1</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24.6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27.1</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29.5</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33.0</w:t>
            </w:r>
          </w:p>
        </w:tc>
      </w:tr>
      <w:tr w:rsidR="00F749A3" w:rsidRPr="008B3622" w:rsidTr="00F749A3">
        <w:trPr>
          <w:trHeight w:val="300"/>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2014</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21.5</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25.1</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30.1</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33.7</w:t>
            </w:r>
          </w:p>
        </w:tc>
      </w:tr>
      <w:tr w:rsidR="00F749A3" w:rsidRPr="008B3622" w:rsidTr="00F749A3">
        <w:trPr>
          <w:trHeight w:val="300"/>
          <w:jc w:val="center"/>
        </w:trPr>
        <w:tc>
          <w:tcPr>
            <w:tcW w:w="639" w:type="pct"/>
            <w:vMerge/>
            <w:tcBorders>
              <w:top w:val="single" w:sz="4" w:space="0" w:color="auto"/>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2015-2022</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27.8</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21.7</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25.3</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27.8</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30.3</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33.9</w:t>
            </w:r>
          </w:p>
        </w:tc>
      </w:tr>
      <w:tr w:rsidR="00F749A3" w:rsidRPr="008B3622" w:rsidTr="00F749A3">
        <w:trPr>
          <w:trHeight w:val="315"/>
          <w:jc w:val="center"/>
        </w:trPr>
        <w:tc>
          <w:tcPr>
            <w:tcW w:w="639"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1-in-2 August System Peak Day</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2012</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27.3</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25.0</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27.3</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29.6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33.0</w:t>
            </w:r>
          </w:p>
        </w:tc>
      </w:tr>
      <w:tr w:rsidR="00F749A3" w:rsidRPr="008B3622" w:rsidTr="00F749A3">
        <w:trPr>
          <w:trHeight w:val="300"/>
          <w:jc w:val="center"/>
        </w:trPr>
        <w:tc>
          <w:tcPr>
            <w:tcW w:w="639" w:type="pct"/>
            <w:vMerge/>
            <w:tcBorders>
              <w:top w:val="nil"/>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2013</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27.9</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22.0</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25.5</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27.9</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30.2</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33.7</w:t>
            </w:r>
          </w:p>
        </w:tc>
      </w:tr>
      <w:tr w:rsidR="00F749A3" w:rsidRPr="008B3622" w:rsidTr="00F749A3">
        <w:trPr>
          <w:trHeight w:val="300"/>
          <w:jc w:val="center"/>
        </w:trPr>
        <w:tc>
          <w:tcPr>
            <w:tcW w:w="639" w:type="pct"/>
            <w:vMerge/>
            <w:tcBorders>
              <w:top w:val="nil"/>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2014</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28.4</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22.5</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26.0</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28.4</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30.9</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34.4</w:t>
            </w:r>
          </w:p>
        </w:tc>
      </w:tr>
      <w:tr w:rsidR="00F749A3" w:rsidRPr="008B3622" w:rsidTr="00F749A3">
        <w:trPr>
          <w:trHeight w:val="300"/>
          <w:jc w:val="center"/>
        </w:trPr>
        <w:tc>
          <w:tcPr>
            <w:tcW w:w="639" w:type="pct"/>
            <w:vMerge/>
            <w:tcBorders>
              <w:top w:val="nil"/>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2015-2022</w:t>
            </w:r>
          </w:p>
        </w:tc>
        <w:tc>
          <w:tcPr>
            <w:tcW w:w="702"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26.2</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28.6</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31.1</w:t>
            </w:r>
          </w:p>
        </w:tc>
        <w:tc>
          <w:tcPr>
            <w:tcW w:w="610"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34.6</w:t>
            </w:r>
          </w:p>
        </w:tc>
      </w:tr>
    </w:tbl>
    <w:p w:rsidR="00F749A3" w:rsidRPr="008B3622" w:rsidRDefault="00F749A3" w:rsidP="00F749A3">
      <w:pPr>
        <w:pStyle w:val="Heading2"/>
        <w:numPr>
          <w:ilvl w:val="0"/>
          <w:numId w:val="0"/>
        </w:numPr>
        <w:rPr>
          <w:rFonts w:cs="Calibri"/>
          <w:b w:val="0"/>
        </w:rPr>
      </w:pPr>
    </w:p>
    <w:p w:rsidR="00F749A3" w:rsidRDefault="00F749A3" w:rsidP="00F749A3">
      <w:pPr>
        <w:pStyle w:val="Heading2"/>
      </w:pPr>
      <w:bookmarkStart w:id="132" w:name="_Toc289178040"/>
      <w:bookmarkStart w:id="133" w:name="_Toc326072140"/>
      <w:r>
        <w:t xml:space="preserve">Per Customer </w:t>
      </w:r>
      <w:r w:rsidRPr="0053357A">
        <w:t>Ex Ante Reference Loads and Impacts by Geographic</w:t>
      </w:r>
      <w:r>
        <w:t xml:space="preserve"> Location</w:t>
      </w:r>
      <w:bookmarkEnd w:id="132"/>
      <w:bookmarkEnd w:id="133"/>
    </w:p>
    <w:p w:rsidR="00F749A3" w:rsidRPr="0053357A" w:rsidRDefault="00F749A3" w:rsidP="00F749A3">
      <w:pPr>
        <w:pStyle w:val="BodyParagraph"/>
      </w:pPr>
      <w:r>
        <w:t xml:space="preserve">It is instructive to look at per customer ex ante estimates of peak reference loads and load reduction independent of enrollment projections.  The biggest sources of uncertainty in aggregate ex ante impacts arise from the enrollment projections under default CPP.  The per-customer impacts can also help inform how results may vary with different enrollment mix, targeting strategies or default CPP policies.  </w:t>
      </w:r>
    </w:p>
    <w:p w:rsidR="00F749A3" w:rsidRDefault="00F749A3" w:rsidP="00F749A3">
      <w:pPr>
        <w:pStyle w:val="BodyParagraph"/>
      </w:pPr>
      <w:r>
        <w:t>SC</w:t>
      </w:r>
      <w:r w:rsidRPr="00E84E74">
        <w:t>E is compr</w:t>
      </w:r>
      <w:r>
        <w:t>ised of three</w:t>
      </w:r>
      <w:r w:rsidRPr="00E84E74">
        <w:t xml:space="preserve"> geographic planning zones known as local capacity areas (LCAs).  </w:t>
      </w:r>
      <w:r>
        <w:t>The per-customer ex ante load impacts differ</w:t>
      </w:r>
      <w:r w:rsidRPr="00E84E74">
        <w:t xml:space="preserve"> </w:t>
      </w:r>
      <w:r>
        <w:t>by geographic location due to differences industry mix and to a lesser extent, climate.  Table 8-4 shows the average reference loads and load reduction over the 1 PM to 6 PM event window for the average customer in 2012 by LCA, month and weather year.  Within each LCA, the overall load absent DR – the reference loads – vary significantly with weather year and month.  Table 8-5 summarizes the per-customer ex ante load reductions for each LCA by month.  It shows the average participant load reduction for each monthly system peak day under 1-in-2 and 1-in-10 system peaking conditions.  Reference load and impacts are not provided for non-summer months because SCE has never called a CPP event during non-summer months and there is no data to inform plausible load impact estimates.  On an individual customer basis, the load reductions are largest in the LA Basin as are the reference loads.  Most of SCE’s CPP customers are located in the LA Basin including many Industrial customers.</w:t>
      </w:r>
    </w:p>
    <w:p w:rsidR="00F749A3" w:rsidRDefault="00F749A3" w:rsidP="00F749A3">
      <w:pPr>
        <w:pStyle w:val="BodyParagraph"/>
      </w:pPr>
    </w:p>
    <w:p w:rsidR="00F749A3" w:rsidRDefault="00F749A3" w:rsidP="00F749A3">
      <w:pPr>
        <w:pStyle w:val="BodyParagraph"/>
      </w:pPr>
    </w:p>
    <w:p w:rsidR="00F749A3" w:rsidRDefault="00F749A3" w:rsidP="00F749A3">
      <w:pPr>
        <w:pStyle w:val="BodyParagraph"/>
      </w:pPr>
    </w:p>
    <w:p w:rsidR="00F749A3" w:rsidRDefault="00F749A3" w:rsidP="00F749A3">
      <w:pPr>
        <w:pStyle w:val="TableFigureCaption"/>
      </w:pPr>
      <w:r>
        <w:lastRenderedPageBreak/>
        <w:t>Table 8-4</w:t>
      </w:r>
      <w:proofErr w:type="gramStart"/>
      <w:r>
        <w:t>:</w:t>
      </w:r>
      <w:proofErr w:type="gramEnd"/>
      <w:r>
        <w:br/>
        <w:t>Average Reference Load per CPP Customer (kW) During Peak Period</w:t>
      </w:r>
      <w:r>
        <w:br/>
        <w:t>by LCA and Month for 2012</w:t>
      </w:r>
      <w:r>
        <w:br/>
        <w:t>(1-in-2 and 1-in-10 Year Weather Conditions)</w:t>
      </w:r>
    </w:p>
    <w:tbl>
      <w:tblPr>
        <w:tblW w:w="5000" w:type="pct"/>
        <w:jc w:val="center"/>
        <w:tblLook w:val="04A0"/>
      </w:tblPr>
      <w:tblGrid>
        <w:gridCol w:w="1006"/>
        <w:gridCol w:w="1607"/>
        <w:gridCol w:w="576"/>
        <w:gridCol w:w="578"/>
        <w:gridCol w:w="579"/>
        <w:gridCol w:w="577"/>
        <w:gridCol w:w="606"/>
        <w:gridCol w:w="572"/>
        <w:gridCol w:w="559"/>
        <w:gridCol w:w="605"/>
        <w:gridCol w:w="583"/>
        <w:gridCol w:w="551"/>
        <w:gridCol w:w="594"/>
        <w:gridCol w:w="583"/>
      </w:tblGrid>
      <w:tr w:rsidR="00F749A3" w:rsidRPr="008B3622" w:rsidTr="00F749A3">
        <w:trPr>
          <w:trHeight w:val="780"/>
          <w:jc w:val="center"/>
        </w:trPr>
        <w:tc>
          <w:tcPr>
            <w:tcW w:w="373" w:type="pct"/>
            <w:tcBorders>
              <w:top w:val="single" w:sz="4" w:space="0" w:color="auto"/>
              <w:left w:val="single" w:sz="4" w:space="0" w:color="auto"/>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Weather Year</w:t>
            </w:r>
          </w:p>
        </w:tc>
        <w:tc>
          <w:tcPr>
            <w:tcW w:w="528"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Local Capacity Area</w:t>
            </w:r>
          </w:p>
        </w:tc>
        <w:tc>
          <w:tcPr>
            <w:tcW w:w="341"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Jan</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Feb</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Mar</w:t>
            </w:r>
          </w:p>
        </w:tc>
        <w:tc>
          <w:tcPr>
            <w:tcW w:w="341"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Apr</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May</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Jun</w:t>
            </w:r>
          </w:p>
        </w:tc>
        <w:tc>
          <w:tcPr>
            <w:tcW w:w="340"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Jul</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Aug</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Sep</w:t>
            </w:r>
          </w:p>
        </w:tc>
        <w:tc>
          <w:tcPr>
            <w:tcW w:w="341"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Oct</w:t>
            </w:r>
          </w:p>
        </w:tc>
        <w:tc>
          <w:tcPr>
            <w:tcW w:w="342" w:type="pct"/>
            <w:tcBorders>
              <w:top w:val="single" w:sz="4" w:space="0" w:color="auto"/>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Nov</w:t>
            </w:r>
          </w:p>
        </w:tc>
        <w:tc>
          <w:tcPr>
            <w:tcW w:w="342" w:type="pct"/>
            <w:tcBorders>
              <w:top w:val="single" w:sz="4" w:space="0" w:color="auto"/>
              <w:left w:val="nil"/>
              <w:bottom w:val="nil"/>
              <w:right w:val="single" w:sz="4" w:space="0" w:color="auto"/>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Dec</w:t>
            </w:r>
          </w:p>
        </w:tc>
      </w:tr>
      <w:tr w:rsidR="00F749A3" w:rsidRPr="008B3622" w:rsidTr="00F749A3">
        <w:trPr>
          <w:trHeight w:val="300"/>
          <w:jc w:val="center"/>
        </w:trPr>
        <w:tc>
          <w:tcPr>
            <w:tcW w:w="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1-in-10</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LA Basin</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225</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229</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237</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238</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single" w:sz="4" w:space="0" w:color="auto"/>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Outside LA Basin</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217</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211</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227</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228</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single" w:sz="4" w:space="0" w:color="auto"/>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Ventura</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123</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120</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126</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123</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single" w:sz="4" w:space="0" w:color="auto"/>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All Customers</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206</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208</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216</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216</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1-in-2</w:t>
            </w: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LA Basin</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216</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223</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233</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238</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Outside LA Basin</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197</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204</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217</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217</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Ventura</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117</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119</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121</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124</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nil"/>
              <w:left w:val="single" w:sz="4" w:space="0" w:color="auto"/>
              <w:bottom w:val="single" w:sz="4" w:space="0" w:color="000000"/>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All Customers</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196</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202</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211</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215</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bl>
    <w:p w:rsidR="00F749A3" w:rsidRDefault="00F749A3" w:rsidP="00F749A3">
      <w:pPr>
        <w:pStyle w:val="BodyParagraph"/>
      </w:pPr>
    </w:p>
    <w:p w:rsidR="00F749A3" w:rsidRDefault="00F749A3" w:rsidP="00F749A3">
      <w:pPr>
        <w:pStyle w:val="TableFigureCaption"/>
        <w:spacing w:after="0"/>
      </w:pPr>
      <w:r>
        <w:t>Table 8-5:</w:t>
      </w:r>
    </w:p>
    <w:p w:rsidR="00F749A3" w:rsidRPr="00825D7E" w:rsidRDefault="00F749A3" w:rsidP="00F749A3">
      <w:pPr>
        <w:pStyle w:val="TableFigureCaption"/>
      </w:pPr>
      <w:r>
        <w:t>Average Load Reduction per CPP Customer (kW) During Peak Period</w:t>
      </w:r>
      <w:r>
        <w:br/>
        <w:t>by LCA and Month for 2012</w:t>
      </w:r>
      <w:r>
        <w:br/>
        <w:t>(1-in-2 and 1-in-10 Year Weather Conditions)</w:t>
      </w:r>
    </w:p>
    <w:tbl>
      <w:tblPr>
        <w:tblW w:w="5000" w:type="pct"/>
        <w:jc w:val="center"/>
        <w:tblLook w:val="04A0"/>
      </w:tblPr>
      <w:tblGrid>
        <w:gridCol w:w="1006"/>
        <w:gridCol w:w="1607"/>
        <w:gridCol w:w="576"/>
        <w:gridCol w:w="578"/>
        <w:gridCol w:w="579"/>
        <w:gridCol w:w="577"/>
        <w:gridCol w:w="606"/>
        <w:gridCol w:w="572"/>
        <w:gridCol w:w="559"/>
        <w:gridCol w:w="605"/>
        <w:gridCol w:w="583"/>
        <w:gridCol w:w="551"/>
        <w:gridCol w:w="594"/>
        <w:gridCol w:w="583"/>
      </w:tblGrid>
      <w:tr w:rsidR="00F749A3" w:rsidRPr="008B3622" w:rsidTr="00F749A3">
        <w:trPr>
          <w:trHeight w:val="780"/>
          <w:jc w:val="center"/>
        </w:trPr>
        <w:tc>
          <w:tcPr>
            <w:tcW w:w="373" w:type="pct"/>
            <w:tcBorders>
              <w:top w:val="single" w:sz="8" w:space="0" w:color="000000"/>
              <w:left w:val="single" w:sz="8" w:space="0" w:color="000000"/>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Weather Year</w:t>
            </w:r>
          </w:p>
        </w:tc>
        <w:tc>
          <w:tcPr>
            <w:tcW w:w="528"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Local Capacity Area</w:t>
            </w:r>
          </w:p>
        </w:tc>
        <w:tc>
          <w:tcPr>
            <w:tcW w:w="341"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Jan</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Feb</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Mar</w:t>
            </w:r>
          </w:p>
        </w:tc>
        <w:tc>
          <w:tcPr>
            <w:tcW w:w="341"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Apr</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May</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Jun</w:t>
            </w:r>
          </w:p>
        </w:tc>
        <w:tc>
          <w:tcPr>
            <w:tcW w:w="340"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Jul</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Aug</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Sep</w:t>
            </w:r>
          </w:p>
        </w:tc>
        <w:tc>
          <w:tcPr>
            <w:tcW w:w="341"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Oct</w:t>
            </w:r>
          </w:p>
        </w:tc>
        <w:tc>
          <w:tcPr>
            <w:tcW w:w="342" w:type="pct"/>
            <w:tcBorders>
              <w:top w:val="single" w:sz="8" w:space="0" w:color="000000"/>
              <w:left w:val="nil"/>
              <w:bottom w:val="nil"/>
              <w:right w:val="single" w:sz="8" w:space="0" w:color="FFFFFF"/>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Nov</w:t>
            </w:r>
          </w:p>
        </w:tc>
        <w:tc>
          <w:tcPr>
            <w:tcW w:w="342" w:type="pct"/>
            <w:tcBorders>
              <w:top w:val="single" w:sz="8" w:space="0" w:color="000000"/>
              <w:left w:val="nil"/>
              <w:bottom w:val="nil"/>
              <w:right w:val="single" w:sz="8" w:space="0" w:color="000000"/>
            </w:tcBorders>
            <w:shd w:val="clear" w:color="000000" w:fill="1F497D"/>
            <w:vAlign w:val="bottom"/>
            <w:hideMark/>
          </w:tcPr>
          <w:p w:rsidR="00F749A3" w:rsidRPr="008B3622" w:rsidRDefault="00F749A3" w:rsidP="00F749A3">
            <w:pPr>
              <w:spacing w:after="0" w:line="240" w:lineRule="auto"/>
              <w:jc w:val="center"/>
              <w:rPr>
                <w:rFonts w:ascii="Arial" w:eastAsia="Times New Roman" w:hAnsi="Arial" w:cs="Arial"/>
                <w:b/>
                <w:bCs/>
                <w:color w:val="FFFFFF"/>
                <w:sz w:val="20"/>
                <w:szCs w:val="20"/>
              </w:rPr>
            </w:pPr>
            <w:r w:rsidRPr="008B3622">
              <w:rPr>
                <w:rFonts w:ascii="Arial" w:eastAsia="Times New Roman" w:hAnsi="Arial" w:cs="Arial"/>
                <w:b/>
                <w:bCs/>
                <w:color w:val="FFFFFF"/>
                <w:sz w:val="20"/>
                <w:szCs w:val="20"/>
              </w:rPr>
              <w:t>Dec</w:t>
            </w:r>
          </w:p>
        </w:tc>
      </w:tr>
      <w:tr w:rsidR="00F749A3" w:rsidRPr="008B3622" w:rsidTr="00F749A3">
        <w:trPr>
          <w:trHeight w:val="300"/>
          <w:jc w:val="center"/>
        </w:trPr>
        <w:tc>
          <w:tcPr>
            <w:tcW w:w="3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1-in-10</w:t>
            </w:r>
          </w:p>
        </w:tc>
        <w:tc>
          <w:tcPr>
            <w:tcW w:w="528" w:type="pct"/>
            <w:tcBorders>
              <w:top w:val="single" w:sz="4" w:space="0" w:color="auto"/>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LA Basin</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10</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single" w:sz="4" w:space="0" w:color="auto"/>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Outside LA Basin</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single" w:sz="4" w:space="0" w:color="auto"/>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Ventura</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single" w:sz="4" w:space="0" w:color="auto"/>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All Customers</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1-in-2</w:t>
            </w: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LA Basin</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10</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nil"/>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Outside LA Basin</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7</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nil"/>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Ventura</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5</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6</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r w:rsidR="00F749A3" w:rsidRPr="008B3622" w:rsidTr="00F749A3">
        <w:trPr>
          <w:trHeight w:val="300"/>
          <w:jc w:val="center"/>
        </w:trPr>
        <w:tc>
          <w:tcPr>
            <w:tcW w:w="373" w:type="pct"/>
            <w:vMerge/>
            <w:tcBorders>
              <w:top w:val="nil"/>
              <w:left w:val="single" w:sz="4" w:space="0" w:color="auto"/>
              <w:bottom w:val="single" w:sz="4" w:space="0" w:color="auto"/>
              <w:right w:val="single" w:sz="4" w:space="0" w:color="auto"/>
            </w:tcBorders>
            <w:vAlign w:val="center"/>
            <w:hideMark/>
          </w:tcPr>
          <w:p w:rsidR="00F749A3" w:rsidRPr="008B3622" w:rsidRDefault="00F749A3" w:rsidP="00F749A3">
            <w:pPr>
              <w:spacing w:after="0" w:line="240" w:lineRule="auto"/>
              <w:rPr>
                <w:rFonts w:ascii="Arial" w:eastAsia="Times New Roman" w:hAnsi="Arial" w:cs="Arial"/>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All Customers</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9</w:t>
            </w:r>
          </w:p>
        </w:tc>
        <w:tc>
          <w:tcPr>
            <w:tcW w:w="340"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8</w:t>
            </w:r>
          </w:p>
        </w:tc>
        <w:tc>
          <w:tcPr>
            <w:tcW w:w="341"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c>
          <w:tcPr>
            <w:tcW w:w="342" w:type="pct"/>
            <w:tcBorders>
              <w:top w:val="nil"/>
              <w:left w:val="nil"/>
              <w:bottom w:val="single" w:sz="4" w:space="0" w:color="auto"/>
              <w:right w:val="single" w:sz="4" w:space="0" w:color="auto"/>
            </w:tcBorders>
            <w:shd w:val="clear" w:color="auto" w:fill="auto"/>
            <w:noWrap/>
            <w:vAlign w:val="center"/>
            <w:hideMark/>
          </w:tcPr>
          <w:p w:rsidR="00F749A3" w:rsidRPr="008B3622" w:rsidRDefault="00F749A3" w:rsidP="00F749A3">
            <w:pPr>
              <w:spacing w:after="0" w:line="240" w:lineRule="auto"/>
              <w:jc w:val="center"/>
              <w:rPr>
                <w:rFonts w:ascii="Arial" w:eastAsia="Times New Roman" w:hAnsi="Arial" w:cs="Arial"/>
                <w:color w:val="000000"/>
                <w:sz w:val="18"/>
                <w:szCs w:val="18"/>
              </w:rPr>
            </w:pPr>
            <w:r w:rsidRPr="008B3622">
              <w:rPr>
                <w:rFonts w:ascii="Arial" w:eastAsia="Times New Roman" w:hAnsi="Arial" w:cs="Arial"/>
                <w:color w:val="000000"/>
                <w:sz w:val="18"/>
                <w:szCs w:val="18"/>
              </w:rPr>
              <w:t>-</w:t>
            </w:r>
          </w:p>
        </w:tc>
      </w:tr>
    </w:tbl>
    <w:p w:rsidR="00F749A3" w:rsidRPr="002C0D7C" w:rsidRDefault="00F749A3" w:rsidP="00F749A3">
      <w:pPr>
        <w:pStyle w:val="Heading1"/>
      </w:pPr>
      <w:r w:rsidRPr="008C3CFB">
        <w:rPr>
          <w:highlight w:val="yellow"/>
        </w:rPr>
        <w:br w:type="page"/>
      </w:r>
      <w:bookmarkStart w:id="134" w:name="_Toc288461322"/>
      <w:bookmarkStart w:id="135" w:name="_Toc289178042"/>
      <w:bookmarkStart w:id="136" w:name="_Toc326072141"/>
      <w:r w:rsidRPr="002C0D7C">
        <w:lastRenderedPageBreak/>
        <w:t>Ex Ante Load Impact Estimates for SDG&amp;E</w:t>
      </w:r>
      <w:bookmarkEnd w:id="134"/>
      <w:bookmarkEnd w:id="135"/>
      <w:bookmarkEnd w:id="136"/>
    </w:p>
    <w:p w:rsidR="00F749A3" w:rsidRDefault="00F749A3" w:rsidP="00F749A3">
      <w:pPr>
        <w:pStyle w:val="BodyParagraph"/>
      </w:pPr>
      <w:r w:rsidRPr="002C0D7C">
        <w:t xml:space="preserve">This section presents ex ante load impact estimates for SDG&amp;E.  Load impacts during the winter months of </w:t>
      </w:r>
      <w:r>
        <w:t>October</w:t>
      </w:r>
      <w:r w:rsidRPr="002C0D7C">
        <w:t xml:space="preserve"> through March were set at zero due the lack of empirical event data during those months.  Recent CPP dynamic pricing events have occurred on hot summer days.  In general, there is very limited information available (not just in California but elsewhere as well) concerning what load shifting behavior might be in the winter under dynamic rates.</w:t>
      </w:r>
    </w:p>
    <w:p w:rsidR="00F749A3" w:rsidRPr="002C0D7C" w:rsidRDefault="00F749A3" w:rsidP="00F749A3">
      <w:pPr>
        <w:pStyle w:val="BodyParagraph"/>
      </w:pPr>
      <w:r w:rsidRPr="002C0D7C">
        <w:t>Table 9-1 shows enrollment projections for large a</w:t>
      </w:r>
      <w:r>
        <w:t>nd medium customers through 2022</w:t>
      </w:r>
      <w:r w:rsidRPr="002C0D7C">
        <w:t xml:space="preserve">.  The large customer forecasts show an increase in CPP enrollment commensurate with expected growth in the population of accounts.  In addition, the share of SDG&amp;E customers with enabling technology is projected to grow, particularly for the medium sector.  </w:t>
      </w:r>
    </w:p>
    <w:p w:rsidR="00F749A3" w:rsidRPr="002C0D7C" w:rsidRDefault="00F749A3" w:rsidP="00F749A3">
      <w:pPr>
        <w:pStyle w:val="BodyParaAfterTableFigure"/>
      </w:pPr>
      <w:r w:rsidRPr="0088750D">
        <w:t xml:space="preserve">The approximately 20,000 medium SDG&amp;E customers will default onto CPP </w:t>
      </w:r>
      <w:r>
        <w:t>starting in 2014</w:t>
      </w:r>
      <w:r w:rsidRPr="0088750D">
        <w:t xml:space="preserve">.  </w:t>
      </w:r>
      <w:r>
        <w:t xml:space="preserve">Retention rates are initially assumed to be around 50% with approximately 25% of the remaining customers opting out after they experience CPP for one year.  </w:t>
      </w:r>
      <w:r w:rsidRPr="0088750D">
        <w:t>SDG&amp;E is also providing customers with technology to automate their load response in the form of thermostats with two-way communication.  As a result, the medium ex ante impacts incorporate the incremental effect of enabling technology.</w:t>
      </w:r>
    </w:p>
    <w:p w:rsidR="00F749A3" w:rsidRPr="002C0D7C" w:rsidRDefault="00F749A3" w:rsidP="00F749A3">
      <w:pPr>
        <w:pStyle w:val="BodyParagraph"/>
      </w:pPr>
      <w:r w:rsidRPr="002C0D7C">
        <w:t>The remainder of this section separately presents the ex ante load impact estimates for medium and large customers projected to receive service under SDG&amp;E’s CPP tariff.  Small customer impacts are not included because, to date, there is almost no empirical data regarding small customer impacts or enrollments under default dynamic pricing.  In addition, the largest California study on small customer load impacts under dynamic pricing, the California Statewide Pricing Pilot, concluded that small customers did not produce statistically significant load reductions in the absence of enabling technology.  For each segment, the load reduction capability is summarized during annual system peak day condition</w:t>
      </w:r>
      <w:r>
        <w:t>s</w:t>
      </w:r>
      <w:r w:rsidRPr="002C0D7C">
        <w:t xml:space="preserve"> of a 1-in-2 and a 1</w:t>
      </w:r>
      <w:r>
        <w:t>-in-10 weather year for the 2012 to 2022</w:t>
      </w:r>
      <w:r w:rsidRPr="002C0D7C">
        <w:t xml:space="preserve"> period.  In addition, this section contains per customer impacts by geographic </w:t>
      </w:r>
      <w:r>
        <w:t>industry</w:t>
      </w:r>
      <w:r w:rsidRPr="002C0D7C">
        <w:t xml:space="preserve"> and month under the standardized ex ante conditions.</w:t>
      </w:r>
    </w:p>
    <w:p w:rsidR="00F749A3" w:rsidRDefault="00F749A3" w:rsidP="00F749A3">
      <w:pPr>
        <w:pStyle w:val="TableFigureCaption"/>
      </w:pPr>
      <w:r w:rsidRPr="002C0D7C">
        <w:br w:type="page"/>
      </w:r>
      <w:r w:rsidRPr="002C0D7C">
        <w:lastRenderedPageBreak/>
        <w:t>Table 9-1</w:t>
      </w:r>
      <w:proofErr w:type="gramStart"/>
      <w:r w:rsidRPr="002C0D7C">
        <w:t>:</w:t>
      </w:r>
      <w:proofErr w:type="gramEnd"/>
      <w:r w:rsidRPr="002C0D7C">
        <w:br/>
        <w:t>SDG&amp;E's Enrollment Projections for Large and Medium CPP Customers</w:t>
      </w:r>
      <w:r w:rsidRPr="002C0D7C">
        <w:br/>
        <w:t>by Forecast Year and Month</w:t>
      </w:r>
    </w:p>
    <w:tbl>
      <w:tblPr>
        <w:tblW w:w="5000" w:type="pct"/>
        <w:tblLook w:val="04A0"/>
      </w:tblPr>
      <w:tblGrid>
        <w:gridCol w:w="857"/>
        <w:gridCol w:w="1050"/>
        <w:gridCol w:w="617"/>
        <w:gridCol w:w="617"/>
        <w:gridCol w:w="617"/>
        <w:gridCol w:w="867"/>
        <w:gridCol w:w="617"/>
        <w:gridCol w:w="617"/>
        <w:gridCol w:w="617"/>
        <w:gridCol w:w="617"/>
        <w:gridCol w:w="617"/>
        <w:gridCol w:w="617"/>
        <w:gridCol w:w="617"/>
        <w:gridCol w:w="632"/>
      </w:tblGrid>
      <w:tr w:rsidR="00F749A3" w:rsidRPr="00526080" w:rsidTr="00F749A3">
        <w:trPr>
          <w:trHeight w:val="510"/>
        </w:trPr>
        <w:tc>
          <w:tcPr>
            <w:tcW w:w="399" w:type="pct"/>
            <w:tcBorders>
              <w:top w:val="single" w:sz="4" w:space="0" w:color="auto"/>
              <w:left w:val="single" w:sz="4" w:space="0" w:color="auto"/>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Size</w:t>
            </w:r>
          </w:p>
        </w:tc>
        <w:tc>
          <w:tcPr>
            <w:tcW w:w="443"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Forecast Year</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Jan</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Feb</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Mar</w:t>
            </w:r>
          </w:p>
        </w:tc>
        <w:tc>
          <w:tcPr>
            <w:tcW w:w="39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Apr</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May</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Jun</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Jul</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Aug</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Sep</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Oct</w:t>
            </w:r>
          </w:p>
        </w:tc>
        <w:tc>
          <w:tcPr>
            <w:tcW w:w="337" w:type="pct"/>
            <w:tcBorders>
              <w:top w:val="single" w:sz="4" w:space="0" w:color="auto"/>
              <w:left w:val="nil"/>
              <w:bottom w:val="single" w:sz="4" w:space="0" w:color="auto"/>
              <w:right w:val="single" w:sz="4" w:space="0" w:color="FFFFFF"/>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Nov</w:t>
            </w:r>
          </w:p>
        </w:tc>
        <w:tc>
          <w:tcPr>
            <w:tcW w:w="389" w:type="pct"/>
            <w:tcBorders>
              <w:top w:val="single" w:sz="4" w:space="0" w:color="auto"/>
              <w:left w:val="nil"/>
              <w:bottom w:val="single" w:sz="4" w:space="0" w:color="auto"/>
              <w:right w:val="single" w:sz="4" w:space="0" w:color="auto"/>
            </w:tcBorders>
            <w:shd w:val="clear" w:color="000000" w:fill="1F497D"/>
            <w:vAlign w:val="center"/>
            <w:hideMark/>
          </w:tcPr>
          <w:p w:rsidR="00F749A3" w:rsidRPr="00526080" w:rsidRDefault="00F749A3" w:rsidP="00F749A3">
            <w:pPr>
              <w:spacing w:after="0" w:line="240" w:lineRule="auto"/>
              <w:jc w:val="center"/>
              <w:rPr>
                <w:rFonts w:ascii="Arial" w:eastAsia="Times New Roman" w:hAnsi="Arial" w:cs="Arial"/>
                <w:b/>
                <w:bCs/>
                <w:color w:val="FFFFFF"/>
                <w:sz w:val="20"/>
                <w:szCs w:val="20"/>
              </w:rPr>
            </w:pPr>
            <w:r w:rsidRPr="00526080">
              <w:rPr>
                <w:rFonts w:ascii="Arial" w:eastAsia="Times New Roman" w:hAnsi="Arial" w:cs="Arial"/>
                <w:b/>
                <w:bCs/>
                <w:color w:val="FFFFFF"/>
                <w:sz w:val="20"/>
                <w:szCs w:val="20"/>
              </w:rPr>
              <w:t>Dec</w:t>
            </w:r>
          </w:p>
        </w:tc>
      </w:tr>
      <w:tr w:rsidR="00F749A3" w:rsidRPr="00526080" w:rsidTr="00F749A3">
        <w:trPr>
          <w:trHeight w:val="300"/>
        </w:trPr>
        <w:tc>
          <w:tcPr>
            <w:tcW w:w="399" w:type="pct"/>
            <w:vMerge w:val="restart"/>
            <w:tcBorders>
              <w:top w:val="nil"/>
              <w:left w:val="single" w:sz="4" w:space="0" w:color="auto"/>
              <w:bottom w:val="single" w:sz="4" w:space="0" w:color="000000"/>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Large      C&amp;I</w:t>
            </w: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1212.71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1158</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1159</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1162</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1169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1173</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1174</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1179</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1189</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1190</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1194</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1199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1205</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1207</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1209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1211</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1219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1222</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1223</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1228</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1229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1239</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1241</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1245</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1249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1256</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1258</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1259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1261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1262</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1264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1265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1267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1268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1274</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1276</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2020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1279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1280</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1289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1290</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1292</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1293</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2021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1296</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1298</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1299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1301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1302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1304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1305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1307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1309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1310</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1312</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2022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1313</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1316</w:t>
            </w:r>
          </w:p>
        </w:tc>
        <w:tc>
          <w:tcPr>
            <w:tcW w:w="39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1318</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1319</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1321</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1322</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1324</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1325</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1327</w:t>
            </w:r>
          </w:p>
        </w:tc>
        <w:tc>
          <w:tcPr>
            <w:tcW w:w="337"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1328</w:t>
            </w:r>
          </w:p>
        </w:tc>
        <w:tc>
          <w:tcPr>
            <w:tcW w:w="389" w:type="pct"/>
            <w:tcBorders>
              <w:top w:val="nil"/>
              <w:left w:val="nil"/>
              <w:bottom w:val="single" w:sz="4" w:space="0" w:color="auto"/>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1330</w:t>
            </w:r>
          </w:p>
        </w:tc>
      </w:tr>
      <w:tr w:rsidR="00F749A3" w:rsidRPr="00526080" w:rsidTr="00F749A3">
        <w:trPr>
          <w:trHeight w:val="300"/>
        </w:trPr>
        <w:tc>
          <w:tcPr>
            <w:tcW w:w="399" w:type="pct"/>
            <w:vMerge w:val="restart"/>
            <w:tcBorders>
              <w:top w:val="nil"/>
              <w:left w:val="single" w:sz="4" w:space="0" w:color="auto"/>
              <w:bottom w:val="single" w:sz="4" w:space="0" w:color="000000"/>
              <w:right w:val="single" w:sz="4" w:space="0" w:color="auto"/>
            </w:tcBorders>
            <w:shd w:val="clear" w:color="auto" w:fill="auto"/>
            <w:vAlign w:val="center"/>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Medium    C&amp;I</w:t>
            </w: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9480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9491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9500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9513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9524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9534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9545</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9555</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2015</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9565</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9579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9588</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9598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7073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7080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7086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7096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7104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7111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7121</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7127</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7136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7144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7153</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7160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6294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6304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6310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6317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6324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6333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6338</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6346</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6351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6361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6368</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6375</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6381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6390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6397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6403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6411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6419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6426</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6433</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6441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6449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6457</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6461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6470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6478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6485</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6493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6500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6508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6514</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6520</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2019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6530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6538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6544</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6551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6559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6566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6574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6581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6590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6597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6604</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6613</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2020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6619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6627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6634</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6643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6649</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6657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6663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6674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6680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6688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6695</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6703</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2021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6712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6718</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6726</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6733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6742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6747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6757</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6765</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6772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6780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6787</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6795</w:t>
            </w:r>
          </w:p>
        </w:tc>
      </w:tr>
      <w:tr w:rsidR="00F749A3" w:rsidRPr="00526080" w:rsidTr="00F749A3">
        <w:trPr>
          <w:trHeight w:val="300"/>
        </w:trPr>
        <w:tc>
          <w:tcPr>
            <w:tcW w:w="399" w:type="pct"/>
            <w:vMerge/>
            <w:tcBorders>
              <w:top w:val="nil"/>
              <w:left w:val="single" w:sz="4" w:space="0" w:color="auto"/>
              <w:bottom w:val="single" w:sz="4" w:space="0" w:color="000000"/>
              <w:right w:val="single" w:sz="4" w:space="0" w:color="auto"/>
            </w:tcBorders>
            <w:vAlign w:val="center"/>
            <w:hideMark/>
          </w:tcPr>
          <w:p w:rsidR="00F749A3" w:rsidRPr="00526080" w:rsidRDefault="00F749A3" w:rsidP="00F749A3">
            <w:pPr>
              <w:spacing w:after="0" w:line="240" w:lineRule="auto"/>
              <w:rPr>
                <w:rFonts w:ascii="Arial" w:eastAsia="Times New Roman" w:hAnsi="Arial" w:cs="Arial"/>
                <w:color w:val="000000"/>
                <w:sz w:val="18"/>
                <w:szCs w:val="18"/>
              </w:rPr>
            </w:pPr>
          </w:p>
        </w:tc>
        <w:tc>
          <w:tcPr>
            <w:tcW w:w="443"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2022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6803</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6811</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6819</w:t>
            </w:r>
          </w:p>
        </w:tc>
        <w:tc>
          <w:tcPr>
            <w:tcW w:w="39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6826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6834</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6842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6850</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6856</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6865</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6872</w:t>
            </w:r>
          </w:p>
        </w:tc>
        <w:tc>
          <w:tcPr>
            <w:tcW w:w="337"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6881</w:t>
            </w:r>
          </w:p>
        </w:tc>
        <w:tc>
          <w:tcPr>
            <w:tcW w:w="389" w:type="pct"/>
            <w:tcBorders>
              <w:top w:val="nil"/>
              <w:left w:val="nil"/>
              <w:bottom w:val="single" w:sz="4" w:space="0" w:color="auto"/>
              <w:right w:val="single" w:sz="4" w:space="0" w:color="auto"/>
            </w:tcBorders>
            <w:shd w:val="clear" w:color="auto" w:fill="auto"/>
            <w:vAlign w:val="bottom"/>
            <w:hideMark/>
          </w:tcPr>
          <w:p w:rsidR="00F749A3" w:rsidRPr="00526080" w:rsidRDefault="00F749A3" w:rsidP="00F749A3">
            <w:pPr>
              <w:spacing w:after="0" w:line="240" w:lineRule="auto"/>
              <w:jc w:val="center"/>
              <w:rPr>
                <w:rFonts w:ascii="Arial" w:eastAsia="Times New Roman" w:hAnsi="Arial" w:cs="Arial"/>
                <w:color w:val="000000"/>
                <w:sz w:val="18"/>
                <w:szCs w:val="18"/>
              </w:rPr>
            </w:pPr>
            <w:r w:rsidRPr="00526080">
              <w:rPr>
                <w:rFonts w:ascii="Arial" w:eastAsia="Times New Roman" w:hAnsi="Arial" w:cs="Arial"/>
                <w:color w:val="000000"/>
                <w:sz w:val="18"/>
                <w:szCs w:val="18"/>
              </w:rPr>
              <w:t>6889</w:t>
            </w:r>
          </w:p>
        </w:tc>
      </w:tr>
    </w:tbl>
    <w:p w:rsidR="00F749A3" w:rsidRPr="002C0D7C" w:rsidRDefault="00F749A3" w:rsidP="00F749A3">
      <w:pPr>
        <w:pStyle w:val="Heading2"/>
        <w:spacing w:before="360"/>
        <w:ind w:left="547" w:hanging="547"/>
        <w:rPr>
          <w:rFonts w:cs="Calibri"/>
        </w:rPr>
      </w:pPr>
      <w:bookmarkStart w:id="137" w:name="_Toc288461323"/>
      <w:bookmarkStart w:id="138" w:name="_Toc289178043"/>
      <w:bookmarkStart w:id="139" w:name="_Toc326072142"/>
      <w:r w:rsidRPr="002C0D7C">
        <w:t>Large C&amp;I Ex Ante Impacts</w:t>
      </w:r>
      <w:bookmarkEnd w:id="137"/>
      <w:bookmarkEnd w:id="138"/>
      <w:bookmarkEnd w:id="139"/>
    </w:p>
    <w:p w:rsidR="00F749A3" w:rsidRPr="002C0D7C" w:rsidRDefault="00F749A3" w:rsidP="00F749A3">
      <w:pPr>
        <w:pStyle w:val="BodyParagraph"/>
      </w:pPr>
      <w:r w:rsidRPr="002C0D7C">
        <w:t>Most of SDG&amp;E’s large customers were defaulted onto CPP in 2008 and</w:t>
      </w:r>
      <w:r>
        <w:t xml:space="preserve"> experienced events in multiple </w:t>
      </w:r>
      <w:r w:rsidRPr="002C0D7C">
        <w:t>years.  As a result, the uncertainty associated with the ex ante load impacts is primarily statistical uncertainty.  We now know how many of these customers tried out default CPP, how much load reduction they provided during events, what types of customers are more responsive and how many remained on CPP after bill protection expired.</w:t>
      </w:r>
    </w:p>
    <w:p w:rsidR="00F749A3" w:rsidRPr="002C0D7C" w:rsidRDefault="00F749A3" w:rsidP="00F749A3">
      <w:pPr>
        <w:pStyle w:val="Heading3"/>
        <w:ind w:left="720"/>
        <w:rPr>
          <w:rFonts w:cs="Calibri"/>
        </w:rPr>
      </w:pPr>
      <w:bookmarkStart w:id="140" w:name="_Toc288461324"/>
      <w:bookmarkStart w:id="141" w:name="_Toc289178044"/>
      <w:bookmarkStart w:id="142" w:name="_Toc326072143"/>
      <w:r w:rsidRPr="002C0D7C">
        <w:t>Annual System Peak Day Impacts</w:t>
      </w:r>
      <w:bookmarkEnd w:id="140"/>
      <w:bookmarkEnd w:id="141"/>
      <w:bookmarkEnd w:id="142"/>
    </w:p>
    <w:p w:rsidR="00F749A3" w:rsidRPr="002C0D7C" w:rsidRDefault="00F749A3" w:rsidP="00F749A3">
      <w:pPr>
        <w:pStyle w:val="BodyParagraph"/>
      </w:pPr>
      <w:r w:rsidRPr="002C0D7C">
        <w:t xml:space="preserve">Table 9-2 summarizes the aggregate load impact estimates for large customers on SDG&amp;E’s CPP tariff for each forecast year under both 1-in-2 and 1-in-10 weather year scenarios.  </w:t>
      </w:r>
      <w:r>
        <w:t>The</w:t>
      </w:r>
      <w:r w:rsidRPr="002C0D7C">
        <w:t xml:space="preserve"> tariff event window at SDG&amp;E is from 11 AM to 6 PM.  The average aggregate load impacts, presented in the sixth column, are higher in a 1-in-10 weather year than in 1-in-2 weather year.  In general, both overall </w:t>
      </w:r>
      <w:proofErr w:type="gramStart"/>
      <w:r w:rsidRPr="002C0D7C">
        <w:t>load</w:t>
      </w:r>
      <w:proofErr w:type="gramEnd"/>
      <w:r w:rsidRPr="002C0D7C">
        <w:t xml:space="preserve"> in the absence of DR and load impacts are projected to grow over the forecast </w:t>
      </w:r>
      <w:r>
        <w:t>horizon.  Impacts grow from 11.4 MW in 2012 to 14.1</w:t>
      </w:r>
      <w:r w:rsidRPr="002C0D7C">
        <w:t xml:space="preserve"> MW at the end o</w:t>
      </w:r>
      <w:r>
        <w:t xml:space="preserve">f the forecast horizon under 1-in-2 conditions and from 17.4 </w:t>
      </w:r>
      <w:r>
        <w:lastRenderedPageBreak/>
        <w:t>MW in 2012 to 21.1</w:t>
      </w:r>
      <w:r w:rsidRPr="002C0D7C">
        <w:t xml:space="preserve"> MW at the end o</w:t>
      </w:r>
      <w:r>
        <w:t>f the forecast horizon under 1-in-10 conditions.  T</w:t>
      </w:r>
      <w:r w:rsidRPr="002C0D7C">
        <w:t>he growth is fueled by increases in</w:t>
      </w:r>
      <w:r>
        <w:t xml:space="preserve"> the large customer population.</w:t>
      </w:r>
    </w:p>
    <w:p w:rsidR="00F749A3" w:rsidRDefault="00F749A3" w:rsidP="00F749A3">
      <w:pPr>
        <w:pStyle w:val="BodyParagraph"/>
      </w:pPr>
      <w:r>
        <w:t xml:space="preserve">Forecast impacts for large C&amp;I customers under ex ante weather conditions are generally lower than the impacts observed ex post.  For portfolio level results this is intuitive because in the portfolio analysis, the impacts from dually enrolled customers are excluded from CPP and attributed to the programs that require a firm commitment.  Because the ex ante forecast accounts for the transfer off CPP of a number of dually enrolled customers who provided significant load shed, the overall ex ante load impact estimates are lower than ex post for both program specific and portfolio level results.  Roughly 12% percent of the 2011 ex post program impacts of large </w:t>
      </w:r>
      <w:proofErr w:type="gramStart"/>
      <w:r>
        <w:t>C&amp;I</w:t>
      </w:r>
      <w:proofErr w:type="gramEnd"/>
      <w:r>
        <w:t xml:space="preserve"> customers</w:t>
      </w:r>
      <w:r>
        <w:rPr>
          <w:rStyle w:val="FootnoteReference"/>
        </w:rPr>
        <w:footnoteReference w:id="19"/>
      </w:r>
      <w:r>
        <w:t xml:space="preserve"> came from customers that were dually enrolled in CPP and programs such a BIP and CBP (1.8 MW).  These customers typically reduced a substantially higher share of their load,</w:t>
      </w:r>
      <w:r w:rsidRPr="00AA7E27">
        <w:t xml:space="preserve"> </w:t>
      </w:r>
      <w:r>
        <w:t xml:space="preserve">60% (BIP) and 14% (CBP) than customers who were not dually enrolled.  With a number of these customers transferring off CPP, it is not surprising that the ex ante impact estimates are lower than the impacts observed ex post.  Further, the percent impacts provide by large customers ex post were actually slightly lower than the percent impacts provided by CPP participants as a whole (4.9% vs. 5.2%).  </w:t>
      </w:r>
    </w:p>
    <w:p w:rsidR="00F749A3" w:rsidRPr="002C0D7C" w:rsidRDefault="00F749A3" w:rsidP="00F749A3">
      <w:pPr>
        <w:pStyle w:val="BodyParagraph"/>
      </w:pPr>
      <w:r>
        <w:t>The range of weather for ex-ante f</w:t>
      </w:r>
      <w:r w:rsidRPr="00BD0111">
        <w:t>orecasts is broader than the weather variation observed during actual events and SDG&amp;E results are highly sensitive to weather.  In specific, the</w:t>
      </w:r>
      <w:r>
        <w:t xml:space="preserve"> weather conditions </w:t>
      </w:r>
      <w:r w:rsidRPr="00BD0111">
        <w:t xml:space="preserve">for the May and June peaks in a 1-in-2 weather year </w:t>
      </w:r>
      <w:r>
        <w:t>are</w:t>
      </w:r>
      <w:r w:rsidRPr="00BD0111">
        <w:t xml:space="preserve"> substantially milder than those seen during actual events.  The percent reductions during these ex ante conditions were effectively capped to avoid extrapolating outside of the observed range.  Appendix G provides a brief description of the observed weather sensitivity from SDG&amp;E weather and how the percent reductions were capped for those day types.</w:t>
      </w:r>
      <w:r>
        <w:t xml:space="preserve"> </w:t>
      </w:r>
    </w:p>
    <w:p w:rsidR="00F749A3" w:rsidRDefault="00F749A3" w:rsidP="00F749A3">
      <w:pPr>
        <w:pStyle w:val="TableFigureCaption"/>
      </w:pPr>
      <w:r w:rsidRPr="002C0D7C">
        <w:br w:type="page"/>
      </w:r>
      <w:r w:rsidRPr="002C0D7C">
        <w:lastRenderedPageBreak/>
        <w:t>Table 9-2</w:t>
      </w:r>
      <w:proofErr w:type="gramStart"/>
      <w:r w:rsidRPr="002C0D7C">
        <w:t>:</w:t>
      </w:r>
      <w:proofErr w:type="gramEnd"/>
      <w:r w:rsidRPr="002C0D7C">
        <w:br/>
        <w:t xml:space="preserve">Aggregate Portfolio Annual Peak Day Load Impacts for Large SDG&amp;E CPP Customers </w:t>
      </w:r>
      <w:r w:rsidRPr="002C0D7C">
        <w:br/>
        <w:t>(Hourl</w:t>
      </w:r>
      <w:r>
        <w:t>y Average Reduction in MW Over 11AM</w:t>
      </w:r>
      <w:r w:rsidRPr="002C0D7C">
        <w:t xml:space="preserve"> to 6 PM)</w:t>
      </w:r>
    </w:p>
    <w:tbl>
      <w:tblPr>
        <w:tblW w:w="5000" w:type="pct"/>
        <w:jc w:val="center"/>
        <w:tblLook w:val="04A0"/>
      </w:tblPr>
      <w:tblGrid>
        <w:gridCol w:w="1124"/>
        <w:gridCol w:w="901"/>
        <w:gridCol w:w="1268"/>
        <w:gridCol w:w="1257"/>
        <w:gridCol w:w="1257"/>
        <w:gridCol w:w="1257"/>
        <w:gridCol w:w="1257"/>
        <w:gridCol w:w="1255"/>
      </w:tblGrid>
      <w:tr w:rsidR="00F749A3" w:rsidRPr="00C11E5A" w:rsidTr="00F749A3">
        <w:trPr>
          <w:trHeight w:val="900"/>
          <w:jc w:val="center"/>
        </w:trPr>
        <w:tc>
          <w:tcPr>
            <w:tcW w:w="588" w:type="pct"/>
            <w:vMerge w:val="restart"/>
            <w:tcBorders>
              <w:top w:val="single" w:sz="4" w:space="0" w:color="auto"/>
              <w:left w:val="single" w:sz="4" w:space="0" w:color="auto"/>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Weather Year</w:t>
            </w:r>
          </w:p>
        </w:tc>
        <w:tc>
          <w:tcPr>
            <w:tcW w:w="471" w:type="pct"/>
            <w:vMerge w:val="restart"/>
            <w:tcBorders>
              <w:top w:val="single" w:sz="4" w:space="0" w:color="auto"/>
              <w:left w:val="single" w:sz="4" w:space="0" w:color="FFFFFF"/>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Year</w:t>
            </w:r>
          </w:p>
        </w:tc>
        <w:tc>
          <w:tcPr>
            <w:tcW w:w="657" w:type="pct"/>
            <w:vMerge w:val="restart"/>
            <w:tcBorders>
              <w:top w:val="single" w:sz="4" w:space="0" w:color="auto"/>
              <w:left w:val="single" w:sz="4" w:space="0" w:color="FFFFFF"/>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Enrolled Accts (Forecast)</w:t>
            </w:r>
            <w:r w:rsidRPr="00C11E5A">
              <w:rPr>
                <w:rFonts w:ascii="Calibri" w:eastAsia="Times New Roman" w:hAnsi="Calibri" w:cs="Calibri"/>
                <w:color w:val="FFFFFF"/>
                <w:vertAlign w:val="superscript"/>
              </w:rPr>
              <w:t>[1]</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Avg. Reference Load</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Avg. Estimated Load w DR</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Avg. Load impact</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 Load Reduction</w:t>
            </w:r>
          </w:p>
        </w:tc>
        <w:tc>
          <w:tcPr>
            <w:tcW w:w="657" w:type="pct"/>
            <w:tcBorders>
              <w:top w:val="single" w:sz="4" w:space="0" w:color="auto"/>
              <w:left w:val="nil"/>
              <w:bottom w:val="single" w:sz="4" w:space="0" w:color="FFFFFF"/>
              <w:right w:val="single" w:sz="4" w:space="0" w:color="auto"/>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Weighted Temp</w:t>
            </w:r>
          </w:p>
        </w:tc>
      </w:tr>
      <w:tr w:rsidR="00F749A3" w:rsidRPr="00C11E5A" w:rsidTr="00F749A3">
        <w:trPr>
          <w:trHeight w:val="465"/>
          <w:jc w:val="center"/>
        </w:trPr>
        <w:tc>
          <w:tcPr>
            <w:tcW w:w="588" w:type="pct"/>
            <w:vMerge/>
            <w:tcBorders>
              <w:top w:val="single" w:sz="4" w:space="0" w:color="auto"/>
              <w:left w:val="single" w:sz="4" w:space="0" w:color="auto"/>
              <w:bottom w:val="single" w:sz="4" w:space="0" w:color="FFFFFF"/>
              <w:right w:val="single" w:sz="4" w:space="0" w:color="FFFFFF"/>
            </w:tcBorders>
            <w:vAlign w:val="center"/>
            <w:hideMark/>
          </w:tcPr>
          <w:p w:rsidR="00F749A3" w:rsidRPr="00C11E5A" w:rsidRDefault="00F749A3" w:rsidP="00F749A3">
            <w:pPr>
              <w:spacing w:after="0" w:line="240" w:lineRule="auto"/>
              <w:rPr>
                <w:rFonts w:ascii="Calibri" w:eastAsia="Times New Roman" w:hAnsi="Calibri" w:cs="Calibri"/>
                <w:color w:val="FFFFFF"/>
              </w:rPr>
            </w:pPr>
          </w:p>
        </w:tc>
        <w:tc>
          <w:tcPr>
            <w:tcW w:w="471" w:type="pct"/>
            <w:vMerge/>
            <w:tcBorders>
              <w:top w:val="single" w:sz="4" w:space="0" w:color="auto"/>
              <w:left w:val="single" w:sz="4" w:space="0" w:color="FFFFFF"/>
              <w:bottom w:val="single" w:sz="4" w:space="0" w:color="FFFFFF"/>
              <w:right w:val="single" w:sz="4" w:space="0" w:color="FFFFFF"/>
            </w:tcBorders>
            <w:vAlign w:val="center"/>
            <w:hideMark/>
          </w:tcPr>
          <w:p w:rsidR="00F749A3" w:rsidRPr="00C11E5A" w:rsidRDefault="00F749A3" w:rsidP="00F749A3">
            <w:pPr>
              <w:spacing w:after="0" w:line="240" w:lineRule="auto"/>
              <w:rPr>
                <w:rFonts w:ascii="Calibri" w:eastAsia="Times New Roman" w:hAnsi="Calibri" w:cs="Calibri"/>
                <w:color w:val="FFFFFF"/>
              </w:rPr>
            </w:pPr>
          </w:p>
        </w:tc>
        <w:tc>
          <w:tcPr>
            <w:tcW w:w="657" w:type="pct"/>
            <w:vMerge/>
            <w:tcBorders>
              <w:top w:val="single" w:sz="4" w:space="0" w:color="auto"/>
              <w:left w:val="single" w:sz="4" w:space="0" w:color="FFFFFF"/>
              <w:bottom w:val="single" w:sz="4" w:space="0" w:color="FFFFFF"/>
              <w:right w:val="single" w:sz="4" w:space="0" w:color="FFFFFF"/>
            </w:tcBorders>
            <w:vAlign w:val="center"/>
            <w:hideMark/>
          </w:tcPr>
          <w:p w:rsidR="00F749A3" w:rsidRPr="00C11E5A" w:rsidRDefault="00F749A3" w:rsidP="00F749A3">
            <w:pPr>
              <w:spacing w:after="0" w:line="240" w:lineRule="auto"/>
              <w:rPr>
                <w:rFonts w:ascii="Calibri" w:eastAsia="Times New Roman" w:hAnsi="Calibri" w:cs="Calibri"/>
                <w:color w:val="FFFFFF"/>
              </w:rPr>
            </w:pP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auto"/>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r>
      <w:tr w:rsidR="00F749A3" w:rsidRPr="00C11E5A" w:rsidTr="00F749A3">
        <w:trPr>
          <w:trHeight w:val="349"/>
          <w:jc w:val="center"/>
        </w:trPr>
        <w:tc>
          <w:tcPr>
            <w:tcW w:w="588"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1-in-10 August System Peak Day</w:t>
            </w:r>
          </w:p>
        </w:tc>
        <w:tc>
          <w:tcPr>
            <w:tcW w:w="471"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2012</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1154</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393.9</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376.5</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17.4</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4.4%</w:t>
            </w:r>
          </w:p>
        </w:tc>
        <w:tc>
          <w:tcPr>
            <w:tcW w:w="657" w:type="pct"/>
            <w:tcBorders>
              <w:top w:val="single" w:sz="4" w:space="0" w:color="000000"/>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1170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401.6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383.3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18.2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4.5%</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1185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409.2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390.2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4.6%</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1201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415.5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396.0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1218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421.1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1235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426.8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406.8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1252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432.5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412.3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1270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438.3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417.9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1287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444.2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423.6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4.6%</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1305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450.2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429.3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4.6%</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1324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456.3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435.2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4.6%</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84.3</w:t>
            </w:r>
          </w:p>
        </w:tc>
      </w:tr>
      <w:tr w:rsidR="00F749A3" w:rsidRPr="00C11E5A" w:rsidTr="00F749A3">
        <w:trPr>
          <w:trHeight w:val="349"/>
          <w:jc w:val="center"/>
        </w:trPr>
        <w:tc>
          <w:tcPr>
            <w:tcW w:w="588" w:type="pct"/>
            <w:vMerge w:val="restart"/>
            <w:tcBorders>
              <w:top w:val="nil"/>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1-in-2 August System Peak Day</w:t>
            </w: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2012</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1154</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380.7</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369.3</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3.0%</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2013</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1170</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388.2</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376.1</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3.1%</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2014</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1185</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395.6</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382.9</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2015</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1201</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401.6</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388.6</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2016</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1218</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407.0</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393.8</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2017</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1235</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412.5</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399.2</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2018</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1252</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418.0</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404.6</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2019</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1270</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423.7</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410.1</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2020</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1287</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429.4</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415.6</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2021</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1305</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435.2</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421.3</w:t>
            </w:r>
          </w:p>
        </w:tc>
        <w:tc>
          <w:tcPr>
            <w:tcW w:w="657" w:type="pct"/>
            <w:tcBorders>
              <w:top w:val="nil"/>
              <w:left w:val="nil"/>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r w:rsidR="00F749A3" w:rsidRPr="00C11E5A" w:rsidTr="00F749A3">
        <w:trPr>
          <w:trHeight w:val="349"/>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auto"/>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2022</w:t>
            </w:r>
          </w:p>
        </w:tc>
        <w:tc>
          <w:tcPr>
            <w:tcW w:w="657" w:type="pct"/>
            <w:tcBorders>
              <w:top w:val="nil"/>
              <w:left w:val="nil"/>
              <w:bottom w:val="single" w:sz="4" w:space="0" w:color="auto"/>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1324</w:t>
            </w:r>
          </w:p>
        </w:tc>
        <w:tc>
          <w:tcPr>
            <w:tcW w:w="657" w:type="pct"/>
            <w:tcBorders>
              <w:top w:val="nil"/>
              <w:left w:val="nil"/>
              <w:bottom w:val="single" w:sz="4" w:space="0" w:color="auto"/>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441.0</w:t>
            </w:r>
          </w:p>
        </w:tc>
        <w:tc>
          <w:tcPr>
            <w:tcW w:w="657" w:type="pct"/>
            <w:tcBorders>
              <w:top w:val="nil"/>
              <w:left w:val="nil"/>
              <w:bottom w:val="single" w:sz="4" w:space="0" w:color="auto"/>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427.0</w:t>
            </w:r>
          </w:p>
        </w:tc>
        <w:tc>
          <w:tcPr>
            <w:tcW w:w="657" w:type="pct"/>
            <w:tcBorders>
              <w:top w:val="nil"/>
              <w:left w:val="nil"/>
              <w:bottom w:val="single" w:sz="4" w:space="0" w:color="auto"/>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14.1</w:t>
            </w:r>
          </w:p>
        </w:tc>
        <w:tc>
          <w:tcPr>
            <w:tcW w:w="657"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auto"/>
              <w:right w:val="single" w:sz="4" w:space="0" w:color="auto"/>
            </w:tcBorders>
            <w:shd w:val="clear" w:color="auto" w:fill="auto"/>
            <w:vAlign w:val="bottom"/>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78.7</w:t>
            </w:r>
          </w:p>
        </w:tc>
      </w:tr>
    </w:tbl>
    <w:p w:rsidR="00F749A3" w:rsidRPr="0088750D" w:rsidRDefault="00F749A3" w:rsidP="00F749A3">
      <w:pPr>
        <w:pStyle w:val="BodyParaAfterTableFigure"/>
      </w:pPr>
    </w:p>
    <w:p w:rsidR="00F749A3" w:rsidRPr="002C0D7C" w:rsidRDefault="00F749A3" w:rsidP="00F749A3">
      <w:pPr>
        <w:pStyle w:val="Heading3"/>
        <w:spacing w:before="360"/>
        <w:ind w:left="720"/>
      </w:pPr>
      <w:bookmarkStart w:id="143" w:name="_Toc288461325"/>
      <w:bookmarkStart w:id="144" w:name="_Toc289178045"/>
      <w:bookmarkStart w:id="145" w:name="_Toc326072144"/>
      <w:r w:rsidRPr="002C0D7C">
        <w:t>Ex Ante Load Impact Uncertainty</w:t>
      </w:r>
      <w:bookmarkEnd w:id="143"/>
      <w:bookmarkEnd w:id="144"/>
      <w:bookmarkEnd w:id="145"/>
      <w:r w:rsidRPr="002C0D7C">
        <w:t xml:space="preserve"> </w:t>
      </w:r>
    </w:p>
    <w:p w:rsidR="00F749A3" w:rsidRPr="002C0D7C" w:rsidRDefault="00F749A3" w:rsidP="00F749A3">
      <w:pPr>
        <w:pStyle w:val="BodyParagraph"/>
      </w:pPr>
      <w:r w:rsidRPr="002C0D7C">
        <w:t>Table 9-3 summarizes the uncertainty in the ex ante annual system peak load impact estimates for large customers.  As can be seen, the uncertainty is non-trivial, although all of the impact estimates are statistically signifi</w:t>
      </w:r>
      <w:r>
        <w:t>cant.  For example, for 2012</w:t>
      </w:r>
      <w:r w:rsidRPr="002C0D7C">
        <w:t>, the 80% confidence interval fo</w:t>
      </w:r>
      <w:r>
        <w:t>r 1-in-2 impacts ranges from 7 MW up to 16</w:t>
      </w:r>
      <w:r w:rsidRPr="002C0D7C">
        <w:t xml:space="preserve"> MW.  </w:t>
      </w:r>
      <w:r>
        <w:t>While t</w:t>
      </w:r>
      <w:r w:rsidRPr="002C0D7C">
        <w:t xml:space="preserve">he impact uncertainty bands do not incorporate uncertainty in </w:t>
      </w:r>
      <w:r w:rsidRPr="002C0D7C">
        <w:lastRenderedPageBreak/>
        <w:t>enrollment</w:t>
      </w:r>
      <w:r>
        <w:t>, f</w:t>
      </w:r>
      <w:r w:rsidRPr="002C0D7C">
        <w:t xml:space="preserve">or SDG&amp;E's large CPP customers, that uncertainty is relatively small since </w:t>
      </w:r>
      <w:r>
        <w:t xml:space="preserve">all customers have already been defaulted onto CPP and </w:t>
      </w:r>
      <w:r w:rsidRPr="002C0D7C">
        <w:t>the participant mix is not expected to change substantially.</w:t>
      </w:r>
    </w:p>
    <w:p w:rsidR="00F749A3" w:rsidRDefault="00F749A3" w:rsidP="00F749A3">
      <w:pPr>
        <w:pStyle w:val="TableFigureCaption"/>
      </w:pPr>
      <w:r w:rsidRPr="002C0D7C">
        <w:t>Table 9-3</w:t>
      </w:r>
      <w:proofErr w:type="gramStart"/>
      <w:r w:rsidRPr="002C0D7C">
        <w:t>:</w:t>
      </w:r>
      <w:proofErr w:type="gramEnd"/>
      <w:r w:rsidRPr="002C0D7C">
        <w:br/>
        <w:t xml:space="preserve">Aggregate </w:t>
      </w:r>
      <w:r>
        <w:t xml:space="preserve">Portfolio </w:t>
      </w:r>
      <w:r w:rsidRPr="002C0D7C">
        <w:t xml:space="preserve">Annual Peak Day Load Impacts for Large Customers with Uncertainty </w:t>
      </w:r>
      <w:r w:rsidRPr="002C0D7C">
        <w:br/>
        <w:t>(Hourly</w:t>
      </w:r>
      <w:r>
        <w:t xml:space="preserve"> Average Reduction in MW Over 11 AM</w:t>
      </w:r>
      <w:r w:rsidRPr="002C0D7C">
        <w:t xml:space="preserve"> to 6 PM)</w:t>
      </w:r>
    </w:p>
    <w:tbl>
      <w:tblPr>
        <w:tblW w:w="5000" w:type="pct"/>
        <w:jc w:val="center"/>
        <w:tblLook w:val="04A0"/>
      </w:tblPr>
      <w:tblGrid>
        <w:gridCol w:w="1336"/>
        <w:gridCol w:w="1068"/>
        <w:gridCol w:w="1492"/>
        <w:gridCol w:w="1136"/>
        <w:gridCol w:w="1136"/>
        <w:gridCol w:w="1136"/>
        <w:gridCol w:w="1136"/>
        <w:gridCol w:w="1136"/>
      </w:tblGrid>
      <w:tr w:rsidR="00F749A3" w:rsidRPr="00C11E5A" w:rsidTr="00F749A3">
        <w:trPr>
          <w:trHeight w:val="765"/>
          <w:jc w:val="center"/>
        </w:trPr>
        <w:tc>
          <w:tcPr>
            <w:tcW w:w="698"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Weather Year</w:t>
            </w:r>
          </w:p>
        </w:tc>
        <w:tc>
          <w:tcPr>
            <w:tcW w:w="55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Year</w:t>
            </w:r>
          </w:p>
        </w:tc>
        <w:tc>
          <w:tcPr>
            <w:tcW w:w="779" w:type="pct"/>
            <w:tcBorders>
              <w:top w:val="single" w:sz="4" w:space="0" w:color="auto"/>
              <w:left w:val="nil"/>
              <w:bottom w:val="single" w:sz="4" w:space="0" w:color="FFFFFF"/>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Avg. Load impact</w:t>
            </w:r>
          </w:p>
        </w:tc>
        <w:tc>
          <w:tcPr>
            <w:tcW w:w="2965" w:type="pct"/>
            <w:gridSpan w:val="5"/>
            <w:tcBorders>
              <w:top w:val="single" w:sz="4" w:space="0" w:color="auto"/>
              <w:left w:val="nil"/>
              <w:bottom w:val="single" w:sz="4" w:space="0" w:color="FFFFFF"/>
              <w:right w:val="single" w:sz="4" w:space="0" w:color="000000"/>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Impact Uncertainty Percentiles</w:t>
            </w:r>
          </w:p>
        </w:tc>
      </w:tr>
      <w:tr w:rsidR="00F749A3" w:rsidRPr="00C11E5A" w:rsidTr="00F749A3">
        <w:trPr>
          <w:trHeight w:val="480"/>
          <w:jc w:val="center"/>
        </w:trPr>
        <w:tc>
          <w:tcPr>
            <w:tcW w:w="698" w:type="pct"/>
            <w:vMerge/>
            <w:tcBorders>
              <w:top w:val="single" w:sz="4" w:space="0" w:color="auto"/>
              <w:left w:val="single" w:sz="4" w:space="0" w:color="auto"/>
              <w:bottom w:val="single" w:sz="4" w:space="0" w:color="000000"/>
              <w:right w:val="single" w:sz="4" w:space="0" w:color="FFFFFF"/>
            </w:tcBorders>
            <w:vAlign w:val="center"/>
            <w:hideMark/>
          </w:tcPr>
          <w:p w:rsidR="00F749A3" w:rsidRPr="00C11E5A" w:rsidRDefault="00F749A3" w:rsidP="00F749A3">
            <w:pPr>
              <w:spacing w:after="0" w:line="240" w:lineRule="auto"/>
              <w:rPr>
                <w:rFonts w:ascii="Arial" w:eastAsia="Times New Roman" w:hAnsi="Arial" w:cs="Arial"/>
                <w:b/>
                <w:bCs/>
                <w:color w:val="FFFFFF"/>
                <w:sz w:val="20"/>
                <w:szCs w:val="20"/>
              </w:rPr>
            </w:pPr>
          </w:p>
        </w:tc>
        <w:tc>
          <w:tcPr>
            <w:tcW w:w="558" w:type="pct"/>
            <w:vMerge/>
            <w:tcBorders>
              <w:top w:val="single" w:sz="4" w:space="0" w:color="auto"/>
              <w:left w:val="single" w:sz="4" w:space="0" w:color="FFFFFF"/>
              <w:bottom w:val="single" w:sz="4" w:space="0" w:color="000000"/>
              <w:right w:val="single" w:sz="4" w:space="0" w:color="FFFFFF"/>
            </w:tcBorders>
            <w:vAlign w:val="center"/>
            <w:hideMark/>
          </w:tcPr>
          <w:p w:rsidR="00F749A3" w:rsidRPr="00C11E5A" w:rsidRDefault="00F749A3" w:rsidP="00F749A3">
            <w:pPr>
              <w:spacing w:after="0" w:line="240" w:lineRule="auto"/>
              <w:rPr>
                <w:rFonts w:ascii="Arial" w:eastAsia="Times New Roman" w:hAnsi="Arial" w:cs="Arial"/>
                <w:b/>
                <w:bCs/>
                <w:color w:val="FFFFFF"/>
                <w:sz w:val="20"/>
                <w:szCs w:val="20"/>
              </w:rPr>
            </w:pPr>
          </w:p>
        </w:tc>
        <w:tc>
          <w:tcPr>
            <w:tcW w:w="779"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18"/>
                <w:szCs w:val="18"/>
              </w:rPr>
            </w:pPr>
            <w:r w:rsidRPr="00C11E5A">
              <w:rPr>
                <w:rFonts w:ascii="Arial" w:eastAsia="Times New Roman" w:hAnsi="Arial" w:cs="Arial"/>
                <w:b/>
                <w:bCs/>
                <w:color w:val="FFFFFF"/>
                <w:sz w:val="18"/>
                <w:szCs w:val="18"/>
              </w:rPr>
              <w:t>(MW  11 am-6 pm)</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10th</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 xml:space="preserve"> 30th</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 xml:space="preserve">50th </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70th</w:t>
            </w:r>
          </w:p>
        </w:tc>
        <w:tc>
          <w:tcPr>
            <w:tcW w:w="593" w:type="pct"/>
            <w:tcBorders>
              <w:top w:val="nil"/>
              <w:left w:val="nil"/>
              <w:bottom w:val="single" w:sz="4" w:space="0" w:color="000000"/>
              <w:right w:val="single" w:sz="4" w:space="0" w:color="auto"/>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90th</w:t>
            </w:r>
          </w:p>
        </w:tc>
      </w:tr>
      <w:tr w:rsidR="00F749A3" w:rsidRPr="00C11E5A" w:rsidTr="00F749A3">
        <w:trPr>
          <w:trHeight w:val="349"/>
          <w:jc w:val="center"/>
        </w:trPr>
        <w:tc>
          <w:tcPr>
            <w:tcW w:w="698" w:type="pct"/>
            <w:vMerge w:val="restart"/>
            <w:tcBorders>
              <w:top w:val="nil"/>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1-in-10 August System Peak Day</w:t>
            </w: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2012</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2013</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2014</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24</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2015</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24</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2016</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25</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2017</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25</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2018</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25</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2019</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25</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2020</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26</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2021</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26</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2022</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26</w:t>
            </w:r>
          </w:p>
        </w:tc>
      </w:tr>
      <w:tr w:rsidR="00F749A3" w:rsidRPr="00C11E5A" w:rsidTr="00F749A3">
        <w:trPr>
          <w:trHeight w:val="349"/>
          <w:jc w:val="center"/>
        </w:trPr>
        <w:tc>
          <w:tcPr>
            <w:tcW w:w="698" w:type="pct"/>
            <w:vMerge w:val="restart"/>
            <w:tcBorders>
              <w:top w:val="nil"/>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1-in-2 August System Peak Day</w:t>
            </w: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2012</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2013</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2014</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2015</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2016</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2017</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2018</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2019</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2020</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2021</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r>
      <w:tr w:rsidR="00F749A3" w:rsidRPr="00C11E5A" w:rsidTr="00F749A3">
        <w:trPr>
          <w:trHeight w:val="349"/>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2022</w:t>
            </w:r>
          </w:p>
        </w:tc>
        <w:tc>
          <w:tcPr>
            <w:tcW w:w="779"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9</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c>
          <w:tcPr>
            <w:tcW w:w="593" w:type="pct"/>
            <w:tcBorders>
              <w:top w:val="nil"/>
              <w:left w:val="nil"/>
              <w:bottom w:val="single" w:sz="4" w:space="0" w:color="auto"/>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r>
    </w:tbl>
    <w:p w:rsidR="00F749A3" w:rsidRPr="004E7CC4" w:rsidRDefault="00F749A3" w:rsidP="00F749A3">
      <w:pPr>
        <w:pStyle w:val="BodyParaAfterTableFigure"/>
      </w:pPr>
    </w:p>
    <w:p w:rsidR="00F749A3" w:rsidRPr="002C0D7C" w:rsidRDefault="00F749A3" w:rsidP="00F749A3">
      <w:pPr>
        <w:pStyle w:val="Heading2"/>
        <w:ind w:left="540" w:hanging="540"/>
        <w:rPr>
          <w:rFonts w:cs="Calibri"/>
        </w:rPr>
      </w:pPr>
      <w:bookmarkStart w:id="146" w:name="_Toc288461327"/>
      <w:bookmarkStart w:id="147" w:name="_Toc289178047"/>
      <w:bookmarkStart w:id="148" w:name="_Toc326072145"/>
      <w:r w:rsidRPr="002C0D7C">
        <w:t>Medium C&amp;I Ex Ante Impacts</w:t>
      </w:r>
      <w:bookmarkEnd w:id="146"/>
      <w:bookmarkEnd w:id="147"/>
      <w:bookmarkEnd w:id="148"/>
    </w:p>
    <w:p w:rsidR="00F749A3" w:rsidRPr="002C0D7C" w:rsidRDefault="00F749A3" w:rsidP="00F749A3">
      <w:pPr>
        <w:pStyle w:val="BodyParagraph"/>
      </w:pPr>
      <w:r w:rsidRPr="002C0D7C">
        <w:t xml:space="preserve">For SDG&amp;E </w:t>
      </w:r>
      <w:r w:rsidRPr="00BD0111">
        <w:rPr>
          <w:shd w:val="clear" w:color="auto" w:fill="FFFFFF" w:themeFill="background1"/>
        </w:rPr>
        <w:t xml:space="preserve">medium C&amp;I customers, price responsiveness is relatively well defined.  First, medium accounts are on the same rate, AL-TOU, as large accounts.  In addition, between 2008 and 2011, SDG&amp;E </w:t>
      </w:r>
      <w:proofErr w:type="gramStart"/>
      <w:r w:rsidRPr="00BD0111">
        <w:rPr>
          <w:shd w:val="clear" w:color="auto" w:fill="FFFFFF" w:themeFill="background1"/>
        </w:rPr>
        <w:t>defaulted</w:t>
      </w:r>
      <w:proofErr w:type="gramEnd"/>
      <w:r w:rsidRPr="00BD0111">
        <w:rPr>
          <w:shd w:val="clear" w:color="auto" w:fill="FFFFFF" w:themeFill="background1"/>
        </w:rPr>
        <w:t xml:space="preserve"> roughly 600 medium customer accounts onto CPP and approximately 400 remained </w:t>
      </w:r>
      <w:r w:rsidRPr="00BD0111">
        <w:rPr>
          <w:shd w:val="clear" w:color="auto" w:fill="FFFFFF" w:themeFill="background1"/>
        </w:rPr>
        <w:lastRenderedPageBreak/>
        <w:t>on the rate.  Ho</w:t>
      </w:r>
      <w:r w:rsidRPr="002C0D7C">
        <w:t>wever, these medium customers that were defaulted early are not representative of the general medium C&amp;I population.  To obtain a larger and more diverse sample of customers for the medium customer price-responsiveness analysis, customers with average hourly demand below 100 kW were also included along with medium customers.</w:t>
      </w:r>
      <w:r w:rsidRPr="002C0D7C">
        <w:rPr>
          <w:rStyle w:val="FootnoteReference"/>
        </w:rPr>
        <w:footnoteReference w:id="20"/>
      </w:r>
      <w:r w:rsidRPr="002C0D7C">
        <w:t xml:space="preserve">  In other words, customers that are slightly above the large customer threshold were used as a proxy for medium customers.  All of</w:t>
      </w:r>
      <w:r>
        <w:t xml:space="preserve"> the 2009 through 2011</w:t>
      </w:r>
      <w:r w:rsidRPr="002C0D7C">
        <w:t xml:space="preserve"> event data available under default conditions was also used as the basis for ex ante impacts.  </w:t>
      </w:r>
      <w:r w:rsidRPr="008207F5">
        <w:t>Section 3.6</w:t>
      </w:r>
      <w:r w:rsidRPr="002C0D7C">
        <w:t xml:space="preserve"> provides a detailed explanation of the ex ante impact estimation.  For SDG&amp;E, there is a substantial amount of data available on how much load reduction medium customers provide during default CPP events and what types of customers are more responsive.  In addition, their retention rates for default CPP are better understood than in other utilities. </w:t>
      </w:r>
    </w:p>
    <w:p w:rsidR="00F749A3" w:rsidRPr="002C0D7C" w:rsidRDefault="00F749A3" w:rsidP="00F749A3">
      <w:pPr>
        <w:pStyle w:val="Heading3"/>
        <w:ind w:left="720"/>
        <w:rPr>
          <w:rFonts w:cs="Calibri"/>
        </w:rPr>
      </w:pPr>
      <w:bookmarkStart w:id="149" w:name="_Toc288461328"/>
      <w:bookmarkStart w:id="150" w:name="_Toc289178048"/>
      <w:bookmarkStart w:id="151" w:name="_Toc326072146"/>
      <w:r w:rsidRPr="002C0D7C">
        <w:t>Annual System Peak Day Impacts</w:t>
      </w:r>
      <w:bookmarkEnd w:id="149"/>
      <w:bookmarkEnd w:id="150"/>
      <w:bookmarkEnd w:id="151"/>
    </w:p>
    <w:p w:rsidR="00F749A3" w:rsidRDefault="00F749A3" w:rsidP="00F749A3">
      <w:pPr>
        <w:pStyle w:val="BodyParagraph"/>
      </w:pPr>
      <w:bookmarkStart w:id="152" w:name="_Toc288461329"/>
      <w:r w:rsidRPr="002C0D7C">
        <w:t>Table 9-6 summarizes the aggregate load impact estimates for medium customers on SDG&amp;E’s CPP tariff for each forecast year under both 1-in-2 and 1-in-10 weather year scenarios.  The table shows the</w:t>
      </w:r>
      <w:r>
        <w:t xml:space="preserve"> average load reduction across 11 AM</w:t>
      </w:r>
      <w:r w:rsidRPr="002C0D7C">
        <w:t xml:space="preserve"> to 6 PM for an August monthly system peak day.  The average aggregate load impacts are substantially higher in a 1-in-10 weather year than in 1-in-2 weather year when compared to the ex post impacts for large customers.  The difference arises from three reasons.  First, the medium customer mix is dominated by Offices and Retail customers, which are generally more weather sensitive.  Second, medium customers are projected to receive enabling technology in future years – as a result, the percent load impacts increase.  Third, the difference between AC use in 1-in-10 and 1-in-2 weather years is substantial.  Although event period temperatures are higher under 1-in-10 weather, the main difference is overnight temperature</w:t>
      </w:r>
      <w:r>
        <w:t xml:space="preserve"> and associated heat build-up. </w:t>
      </w:r>
    </w:p>
    <w:p w:rsidR="00F749A3" w:rsidRDefault="00F749A3" w:rsidP="00F749A3">
      <w:pPr>
        <w:pStyle w:val="BodyParagraph"/>
      </w:pPr>
      <w:r w:rsidRPr="00EB432E">
        <w:rPr>
          <w:shd w:val="clear" w:color="auto" w:fill="FFFFFF" w:themeFill="background1"/>
        </w:rPr>
        <w:t xml:space="preserve">The ex ante impacts are </w:t>
      </w:r>
      <w:r>
        <w:rPr>
          <w:shd w:val="clear" w:color="auto" w:fill="FFFFFF" w:themeFill="background1"/>
        </w:rPr>
        <w:t>lower</w:t>
      </w:r>
      <w:r w:rsidRPr="00EB432E">
        <w:rPr>
          <w:shd w:val="clear" w:color="auto" w:fill="FFFFFF" w:themeFill="background1"/>
        </w:rPr>
        <w:t xml:space="preserve"> than those produced last year by roughly </w:t>
      </w:r>
      <w:r>
        <w:rPr>
          <w:shd w:val="clear" w:color="auto" w:fill="FFFFFF" w:themeFill="background1"/>
        </w:rPr>
        <w:t>35%</w:t>
      </w:r>
      <w:r w:rsidRPr="00EB432E">
        <w:rPr>
          <w:shd w:val="clear" w:color="auto" w:fill="FFFFFF" w:themeFill="background1"/>
        </w:rPr>
        <w:t xml:space="preserve">. </w:t>
      </w:r>
      <w:r>
        <w:rPr>
          <w:shd w:val="clear" w:color="auto" w:fill="FFFFFF" w:themeFill="background1"/>
        </w:rPr>
        <w:t xml:space="preserve"> For example, l</w:t>
      </w:r>
      <w:r w:rsidRPr="00EB432E">
        <w:rPr>
          <w:shd w:val="clear" w:color="auto" w:fill="FFFFFF" w:themeFill="background1"/>
        </w:rPr>
        <w:t>ast year, 2</w:t>
      </w:r>
      <w:r>
        <w:rPr>
          <w:shd w:val="clear" w:color="auto" w:fill="FFFFFF" w:themeFill="background1"/>
        </w:rPr>
        <w:t>1</w:t>
      </w:r>
      <w:r w:rsidRPr="00EB432E">
        <w:rPr>
          <w:shd w:val="clear" w:color="auto" w:fill="FFFFFF" w:themeFill="background1"/>
        </w:rPr>
        <w:t xml:space="preserve"> MW were estimated to be available for 201</w:t>
      </w:r>
      <w:r>
        <w:rPr>
          <w:shd w:val="clear" w:color="auto" w:fill="FFFFFF" w:themeFill="background1"/>
        </w:rPr>
        <w:t>5</w:t>
      </w:r>
      <w:r w:rsidRPr="00EB432E">
        <w:rPr>
          <w:shd w:val="clear" w:color="auto" w:fill="FFFFFF" w:themeFill="background1"/>
        </w:rPr>
        <w:t xml:space="preserve"> under 1-in-2 peaking conditions</w:t>
      </w:r>
      <w:r>
        <w:rPr>
          <w:shd w:val="clear" w:color="auto" w:fill="FFFFFF" w:themeFill="background1"/>
        </w:rPr>
        <w:t xml:space="preserve"> (after the default)</w:t>
      </w:r>
      <w:r w:rsidRPr="00EB432E">
        <w:rPr>
          <w:shd w:val="clear" w:color="auto" w:fill="FFFFFF" w:themeFill="background1"/>
        </w:rPr>
        <w:t xml:space="preserve">.  This year, we estimate </w:t>
      </w:r>
      <w:r>
        <w:rPr>
          <w:shd w:val="clear" w:color="auto" w:fill="FFFFFF" w:themeFill="background1"/>
        </w:rPr>
        <w:t>14</w:t>
      </w:r>
      <w:r w:rsidRPr="00EB432E">
        <w:rPr>
          <w:shd w:val="clear" w:color="auto" w:fill="FFFFFF" w:themeFill="background1"/>
        </w:rPr>
        <w:t xml:space="preserve"> MW will be available.  The difference is </w:t>
      </w:r>
      <w:r>
        <w:rPr>
          <w:shd w:val="clear" w:color="auto" w:fill="FFFFFF" w:themeFill="background1"/>
        </w:rPr>
        <w:t xml:space="preserve">mainly </w:t>
      </w:r>
      <w:r w:rsidRPr="00EB432E">
        <w:rPr>
          <w:shd w:val="clear" w:color="auto" w:fill="FFFFFF" w:themeFill="background1"/>
        </w:rPr>
        <w:t>due to changes in enrollment for</w:t>
      </w:r>
      <w:r>
        <w:rPr>
          <w:shd w:val="clear" w:color="auto" w:fill="FFFFFF" w:themeFill="background1"/>
        </w:rPr>
        <w:t>ecast</w:t>
      </w:r>
      <w:r w:rsidRPr="00EB432E">
        <w:rPr>
          <w:shd w:val="clear" w:color="auto" w:fill="FFFFFF" w:themeFill="background1"/>
        </w:rPr>
        <w:t>.</w:t>
      </w:r>
      <w:r w:rsidRPr="00EB432E">
        <w:t xml:space="preserve"> </w:t>
      </w:r>
      <w:r>
        <w:t xml:space="preserve"> SDG&amp;E updated their enrollment forecast to better reflect the medium customer population that will be defaulted onto CPP.  Last year, they assumed all SDG&amp;E customers on AL-TOU, the current standard rate for medium customers, would be defaulted.  This year, they included and additional crosscheck to ensure the customers fit the official SDG&amp;E definition of a medium customer.  By doing so, the enrollment forecast avoided incorrectly including small customers that had voluntarily enrolled on AL-TOU.</w:t>
      </w:r>
    </w:p>
    <w:p w:rsidR="00F749A3" w:rsidRDefault="00F749A3" w:rsidP="00F749A3">
      <w:pPr>
        <w:pStyle w:val="BodyParagraph"/>
      </w:pPr>
      <w:r>
        <w:t xml:space="preserve"> </w:t>
      </w:r>
    </w:p>
    <w:p w:rsidR="00F749A3" w:rsidRPr="002C0D7C" w:rsidRDefault="00F749A3" w:rsidP="00F749A3">
      <w:pPr>
        <w:pStyle w:val="BodyParagraph"/>
      </w:pPr>
    </w:p>
    <w:p w:rsidR="00F749A3" w:rsidRDefault="00F749A3" w:rsidP="00F749A3">
      <w:pPr>
        <w:pStyle w:val="TableFigureCaption"/>
      </w:pPr>
      <w:r w:rsidRPr="002C0D7C">
        <w:br w:type="page"/>
      </w:r>
      <w:r w:rsidRPr="002C0D7C">
        <w:lastRenderedPageBreak/>
        <w:t>Table 9-6</w:t>
      </w:r>
      <w:proofErr w:type="gramStart"/>
      <w:r w:rsidRPr="002C0D7C">
        <w:t>:</w:t>
      </w:r>
      <w:proofErr w:type="gramEnd"/>
      <w:r w:rsidRPr="002C0D7C">
        <w:br/>
        <w:t xml:space="preserve">Aggregate Portfolio Ex Ante Annual Peak Day Load Impacts for Medium SDG&amp;E CPP Customers </w:t>
      </w:r>
      <w:r w:rsidRPr="002C0D7C">
        <w:br/>
        <w:t>(Hourl</w:t>
      </w:r>
      <w:r>
        <w:t>y Average Reduction in MW Over 11 AM</w:t>
      </w:r>
      <w:r w:rsidRPr="002C0D7C">
        <w:t xml:space="preserve"> to 6 PM)</w:t>
      </w:r>
    </w:p>
    <w:tbl>
      <w:tblPr>
        <w:tblW w:w="5000" w:type="pct"/>
        <w:jc w:val="center"/>
        <w:tblLook w:val="04A0"/>
      </w:tblPr>
      <w:tblGrid>
        <w:gridCol w:w="1124"/>
        <w:gridCol w:w="901"/>
        <w:gridCol w:w="1268"/>
        <w:gridCol w:w="1257"/>
        <w:gridCol w:w="1257"/>
        <w:gridCol w:w="1257"/>
        <w:gridCol w:w="1257"/>
        <w:gridCol w:w="1255"/>
      </w:tblGrid>
      <w:tr w:rsidR="00F749A3" w:rsidRPr="00C11E5A" w:rsidTr="00F749A3">
        <w:trPr>
          <w:trHeight w:val="900"/>
          <w:jc w:val="center"/>
        </w:trPr>
        <w:tc>
          <w:tcPr>
            <w:tcW w:w="588" w:type="pct"/>
            <w:vMerge w:val="restart"/>
            <w:tcBorders>
              <w:top w:val="single" w:sz="4" w:space="0" w:color="auto"/>
              <w:left w:val="single" w:sz="4" w:space="0" w:color="auto"/>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Weather Year</w:t>
            </w:r>
          </w:p>
        </w:tc>
        <w:tc>
          <w:tcPr>
            <w:tcW w:w="471" w:type="pct"/>
            <w:vMerge w:val="restart"/>
            <w:tcBorders>
              <w:top w:val="single" w:sz="4" w:space="0" w:color="auto"/>
              <w:left w:val="single" w:sz="4" w:space="0" w:color="FFFFFF"/>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Year</w:t>
            </w:r>
          </w:p>
        </w:tc>
        <w:tc>
          <w:tcPr>
            <w:tcW w:w="657" w:type="pct"/>
            <w:vMerge w:val="restart"/>
            <w:tcBorders>
              <w:top w:val="single" w:sz="4" w:space="0" w:color="auto"/>
              <w:left w:val="single" w:sz="4" w:space="0" w:color="FFFFFF"/>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Enrolled Accts (Forecast)</w:t>
            </w:r>
            <w:r w:rsidRPr="00C11E5A">
              <w:rPr>
                <w:rFonts w:ascii="Calibri" w:eastAsia="Times New Roman" w:hAnsi="Calibri" w:cs="Calibri"/>
                <w:color w:val="FFFFFF"/>
                <w:vertAlign w:val="superscript"/>
              </w:rPr>
              <w:t>[1]</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Avg. Reference Load</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Avg. Estimated Load w DR</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Avg. Load impact</w:t>
            </w:r>
          </w:p>
        </w:tc>
        <w:tc>
          <w:tcPr>
            <w:tcW w:w="657" w:type="pct"/>
            <w:tcBorders>
              <w:top w:val="single" w:sz="4" w:space="0" w:color="auto"/>
              <w:left w:val="nil"/>
              <w:bottom w:val="single" w:sz="4" w:space="0" w:color="FFFFFF"/>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 Load Reduction</w:t>
            </w:r>
          </w:p>
        </w:tc>
        <w:tc>
          <w:tcPr>
            <w:tcW w:w="657" w:type="pct"/>
            <w:tcBorders>
              <w:top w:val="single" w:sz="4" w:space="0" w:color="auto"/>
              <w:left w:val="nil"/>
              <w:bottom w:val="single" w:sz="4" w:space="0" w:color="FFFFFF"/>
              <w:right w:val="single" w:sz="4" w:space="0" w:color="auto"/>
            </w:tcBorders>
            <w:shd w:val="clear" w:color="000000" w:fill="1F497D"/>
            <w:vAlign w:val="bottom"/>
            <w:hideMark/>
          </w:tcPr>
          <w:p w:rsidR="00F749A3" w:rsidRPr="00C11E5A" w:rsidRDefault="00F749A3" w:rsidP="00F749A3">
            <w:pPr>
              <w:spacing w:after="0" w:line="240" w:lineRule="auto"/>
              <w:jc w:val="center"/>
              <w:rPr>
                <w:rFonts w:ascii="Calibri" w:eastAsia="Times New Roman" w:hAnsi="Calibri" w:cs="Calibri"/>
                <w:color w:val="FFFFFF"/>
              </w:rPr>
            </w:pPr>
            <w:r w:rsidRPr="00C11E5A">
              <w:rPr>
                <w:rFonts w:ascii="Calibri" w:eastAsia="Times New Roman" w:hAnsi="Calibri" w:cs="Calibri"/>
                <w:color w:val="FFFFFF"/>
              </w:rPr>
              <w:t>Weighted Temp</w:t>
            </w:r>
          </w:p>
        </w:tc>
      </w:tr>
      <w:tr w:rsidR="00F749A3" w:rsidRPr="00C11E5A" w:rsidTr="00F749A3">
        <w:trPr>
          <w:trHeight w:val="465"/>
          <w:jc w:val="center"/>
        </w:trPr>
        <w:tc>
          <w:tcPr>
            <w:tcW w:w="588" w:type="pct"/>
            <w:vMerge/>
            <w:tcBorders>
              <w:top w:val="single" w:sz="4" w:space="0" w:color="auto"/>
              <w:left w:val="single" w:sz="4" w:space="0" w:color="auto"/>
              <w:bottom w:val="single" w:sz="4" w:space="0" w:color="FFFFFF"/>
              <w:right w:val="single" w:sz="4" w:space="0" w:color="FFFFFF"/>
            </w:tcBorders>
            <w:vAlign w:val="center"/>
            <w:hideMark/>
          </w:tcPr>
          <w:p w:rsidR="00F749A3" w:rsidRPr="00C11E5A" w:rsidRDefault="00F749A3" w:rsidP="00F749A3">
            <w:pPr>
              <w:spacing w:after="0" w:line="240" w:lineRule="auto"/>
              <w:rPr>
                <w:rFonts w:ascii="Calibri" w:eastAsia="Times New Roman" w:hAnsi="Calibri" w:cs="Calibri"/>
                <w:color w:val="FFFFFF"/>
              </w:rPr>
            </w:pPr>
          </w:p>
        </w:tc>
        <w:tc>
          <w:tcPr>
            <w:tcW w:w="471" w:type="pct"/>
            <w:vMerge/>
            <w:tcBorders>
              <w:top w:val="single" w:sz="4" w:space="0" w:color="auto"/>
              <w:left w:val="single" w:sz="4" w:space="0" w:color="FFFFFF"/>
              <w:bottom w:val="single" w:sz="4" w:space="0" w:color="FFFFFF"/>
              <w:right w:val="single" w:sz="4" w:space="0" w:color="FFFFFF"/>
            </w:tcBorders>
            <w:vAlign w:val="center"/>
            <w:hideMark/>
          </w:tcPr>
          <w:p w:rsidR="00F749A3" w:rsidRPr="00C11E5A" w:rsidRDefault="00F749A3" w:rsidP="00F749A3">
            <w:pPr>
              <w:spacing w:after="0" w:line="240" w:lineRule="auto"/>
              <w:rPr>
                <w:rFonts w:ascii="Calibri" w:eastAsia="Times New Roman" w:hAnsi="Calibri" w:cs="Calibri"/>
                <w:color w:val="FFFFFF"/>
              </w:rPr>
            </w:pPr>
          </w:p>
        </w:tc>
        <w:tc>
          <w:tcPr>
            <w:tcW w:w="657" w:type="pct"/>
            <w:vMerge/>
            <w:tcBorders>
              <w:top w:val="single" w:sz="4" w:space="0" w:color="auto"/>
              <w:left w:val="single" w:sz="4" w:space="0" w:color="FFFFFF"/>
              <w:bottom w:val="single" w:sz="4" w:space="0" w:color="FFFFFF"/>
              <w:right w:val="single" w:sz="4" w:space="0" w:color="FFFFFF"/>
            </w:tcBorders>
            <w:vAlign w:val="center"/>
            <w:hideMark/>
          </w:tcPr>
          <w:p w:rsidR="00F749A3" w:rsidRPr="00C11E5A" w:rsidRDefault="00F749A3" w:rsidP="00F749A3">
            <w:pPr>
              <w:spacing w:after="0" w:line="240" w:lineRule="auto"/>
              <w:rPr>
                <w:rFonts w:ascii="Calibri" w:eastAsia="Times New Roman" w:hAnsi="Calibri" w:cs="Calibri"/>
                <w:color w:val="FFFFFF"/>
              </w:rPr>
            </w:pP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FFFFFF"/>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c>
          <w:tcPr>
            <w:tcW w:w="657" w:type="pct"/>
            <w:tcBorders>
              <w:top w:val="nil"/>
              <w:left w:val="nil"/>
              <w:bottom w:val="nil"/>
              <w:right w:val="single" w:sz="4" w:space="0" w:color="auto"/>
            </w:tcBorders>
            <w:shd w:val="clear" w:color="000000" w:fill="1F497D"/>
            <w:vAlign w:val="bottom"/>
            <w:hideMark/>
          </w:tcPr>
          <w:p w:rsidR="00F749A3" w:rsidRPr="00C11E5A" w:rsidRDefault="00F749A3" w:rsidP="00F749A3">
            <w:pPr>
              <w:spacing w:after="0" w:line="240" w:lineRule="auto"/>
              <w:jc w:val="center"/>
              <w:rPr>
                <w:rFonts w:ascii="Arial" w:eastAsia="Times New Roman" w:hAnsi="Arial" w:cs="Arial"/>
                <w:b/>
                <w:bCs/>
                <w:color w:val="FFFFFF"/>
                <w:sz w:val="16"/>
                <w:szCs w:val="16"/>
              </w:rPr>
            </w:pPr>
            <w:r w:rsidRPr="00C11E5A">
              <w:rPr>
                <w:rFonts w:ascii="Arial" w:eastAsia="Times New Roman" w:hAnsi="Arial" w:cs="Arial"/>
                <w:b/>
                <w:bCs/>
                <w:color w:val="FFFFFF"/>
                <w:sz w:val="16"/>
                <w:szCs w:val="16"/>
              </w:rPr>
              <w:t>(MW  11 am-6 pm)</w:t>
            </w:r>
          </w:p>
        </w:tc>
      </w:tr>
      <w:tr w:rsidR="00F749A3" w:rsidRPr="00C11E5A" w:rsidTr="00F749A3">
        <w:trPr>
          <w:trHeight w:val="300"/>
          <w:jc w:val="center"/>
        </w:trPr>
        <w:tc>
          <w:tcPr>
            <w:tcW w:w="588"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1-in-10 August System Peak Day</w:t>
            </w:r>
          </w:p>
        </w:tc>
        <w:tc>
          <w:tcPr>
            <w:tcW w:w="471"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2012</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single" w:sz="4" w:space="0" w:color="000000"/>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single" w:sz="4" w:space="0" w:color="000000"/>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9513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353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8.9%</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85.0</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7096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265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244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6317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6403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6493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242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6581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245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6674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249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6765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252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tcBorders>
              <w:top w:val="single" w:sz="4" w:space="0" w:color="000000"/>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6856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255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8.0%</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84.9</w:t>
            </w:r>
          </w:p>
        </w:tc>
      </w:tr>
      <w:tr w:rsidR="00F749A3" w:rsidRPr="00C11E5A" w:rsidTr="00F749A3">
        <w:trPr>
          <w:trHeight w:val="300"/>
          <w:jc w:val="center"/>
        </w:trPr>
        <w:tc>
          <w:tcPr>
            <w:tcW w:w="588" w:type="pct"/>
            <w:vMerge w:val="restart"/>
            <w:tcBorders>
              <w:top w:val="nil"/>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1-in-2 August System Peak Day</w:t>
            </w: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9513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336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313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6.9%</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82.6</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7096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252</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6317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6403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2018</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6493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217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2019</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6581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6674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237</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223</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2021</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6765</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240</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226</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14</w:t>
            </w:r>
          </w:p>
        </w:tc>
        <w:tc>
          <w:tcPr>
            <w:tcW w:w="657"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r w:rsidR="00F749A3" w:rsidRPr="00C11E5A" w:rsidTr="00F749A3">
        <w:trPr>
          <w:trHeight w:val="300"/>
          <w:jc w:val="center"/>
        </w:trPr>
        <w:tc>
          <w:tcPr>
            <w:tcW w:w="58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Calibri" w:eastAsia="Times New Roman" w:hAnsi="Calibri" w:cs="Calibri"/>
                <w:color w:val="000000"/>
              </w:rPr>
            </w:pPr>
          </w:p>
        </w:tc>
        <w:tc>
          <w:tcPr>
            <w:tcW w:w="471"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2022</w:t>
            </w:r>
          </w:p>
        </w:tc>
        <w:tc>
          <w:tcPr>
            <w:tcW w:w="657"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6856</w:t>
            </w:r>
          </w:p>
        </w:tc>
        <w:tc>
          <w:tcPr>
            <w:tcW w:w="657"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243</w:t>
            </w:r>
          </w:p>
        </w:tc>
        <w:tc>
          <w:tcPr>
            <w:tcW w:w="657"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229</w:t>
            </w:r>
          </w:p>
        </w:tc>
        <w:tc>
          <w:tcPr>
            <w:tcW w:w="657"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14</w:t>
            </w:r>
          </w:p>
        </w:tc>
        <w:tc>
          <w:tcPr>
            <w:tcW w:w="657"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5.7%</w:t>
            </w:r>
          </w:p>
        </w:tc>
        <w:tc>
          <w:tcPr>
            <w:tcW w:w="657" w:type="pct"/>
            <w:tcBorders>
              <w:top w:val="nil"/>
              <w:left w:val="nil"/>
              <w:bottom w:val="single" w:sz="4" w:space="0" w:color="auto"/>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Calibri" w:eastAsia="Times New Roman" w:hAnsi="Calibri" w:cs="Calibri"/>
                <w:color w:val="000000"/>
              </w:rPr>
            </w:pPr>
            <w:r w:rsidRPr="00C11E5A">
              <w:rPr>
                <w:rFonts w:ascii="Calibri" w:eastAsia="Times New Roman" w:hAnsi="Calibri" w:cs="Calibri"/>
                <w:color w:val="000000"/>
              </w:rPr>
              <w:t>82.5</w:t>
            </w:r>
          </w:p>
        </w:tc>
      </w:tr>
    </w:tbl>
    <w:p w:rsidR="00F749A3" w:rsidRPr="002C0D7C" w:rsidRDefault="00F749A3" w:rsidP="00F749A3">
      <w:pPr>
        <w:pStyle w:val="Heading3"/>
        <w:spacing w:before="360"/>
        <w:ind w:left="720"/>
      </w:pPr>
      <w:bookmarkStart w:id="153" w:name="_Toc289178049"/>
      <w:bookmarkStart w:id="154" w:name="_Toc326072147"/>
      <w:r w:rsidRPr="002C0D7C">
        <w:t>Ex Ante Load Impact Uncertainty</w:t>
      </w:r>
      <w:bookmarkEnd w:id="152"/>
      <w:bookmarkEnd w:id="153"/>
      <w:bookmarkEnd w:id="154"/>
      <w:r w:rsidRPr="002C0D7C">
        <w:t xml:space="preserve"> </w:t>
      </w:r>
    </w:p>
    <w:p w:rsidR="00F749A3" w:rsidRPr="002C0D7C" w:rsidRDefault="00F749A3" w:rsidP="00F749A3">
      <w:pPr>
        <w:pStyle w:val="BodyParagraph"/>
      </w:pPr>
      <w:r w:rsidRPr="002C0D7C">
        <w:t>Table 9-7 summarizes the statistical uncertainty in the ex ante annual system peak load impact estimates for medium customers.  As can be seen, the uncertainty is non-trivial, although all of the impact estimates are statistically si</w:t>
      </w:r>
      <w:r>
        <w:t>gnificant.  For example, in 2014</w:t>
      </w:r>
      <w:r w:rsidRPr="002C0D7C">
        <w:t>, the 80% confidence interval fo</w:t>
      </w:r>
      <w:r>
        <w:t>r 1-in-2 impacts range from 21 MW up to 25</w:t>
      </w:r>
      <w:r w:rsidRPr="002C0D7C">
        <w:t xml:space="preserve"> MW.  In practice, the impact uncertainty bands may be slightly larger because they do not incorporate uncertainty in the enrollment forecast or in the share of customers that will accept enabling technology.  The 1-in-10 year impacts a</w:t>
      </w:r>
      <w:r>
        <w:t>re substantially higher.  The 14</w:t>
      </w:r>
      <w:r w:rsidRPr="002C0D7C">
        <w:t xml:space="preserve"> default CPP events to date enable us to examine impacts across different conditions</w:t>
      </w:r>
      <w:r>
        <w:t xml:space="preserve"> to some extent</w:t>
      </w:r>
      <w:r w:rsidRPr="002C0D7C">
        <w:t>.  However, there is still relatively limited data about impacts under the more extreme conditions.  As th</w:t>
      </w:r>
      <w:r>
        <w:t xml:space="preserve">e history of events grows, the </w:t>
      </w:r>
      <w:r w:rsidRPr="002C0D7C">
        <w:t xml:space="preserve">impact estimates will grow more reliable. </w:t>
      </w:r>
    </w:p>
    <w:p w:rsidR="00F749A3" w:rsidRPr="002C0D7C" w:rsidRDefault="00F749A3" w:rsidP="00F749A3">
      <w:pPr>
        <w:pStyle w:val="TableFigureCaption"/>
      </w:pPr>
      <w:r w:rsidRPr="002C0D7C">
        <w:lastRenderedPageBreak/>
        <w:t>Table 9-7</w:t>
      </w:r>
      <w:proofErr w:type="gramStart"/>
      <w:r w:rsidRPr="002C0D7C">
        <w:t>:</w:t>
      </w:r>
      <w:proofErr w:type="gramEnd"/>
      <w:r w:rsidRPr="002C0D7C">
        <w:br/>
        <w:t xml:space="preserve">Aggregate </w:t>
      </w:r>
      <w:r>
        <w:t>Portfolio</w:t>
      </w:r>
      <w:r w:rsidRPr="002C0D7C">
        <w:t xml:space="preserve"> Annual Peak Day Load Impacts for Medium Customers with Uncertainty </w:t>
      </w:r>
      <w:r w:rsidRPr="002C0D7C">
        <w:br/>
        <w:t>(Hourl</w:t>
      </w:r>
      <w:r>
        <w:t>y Average Reduction in MW Over 11 AM</w:t>
      </w:r>
      <w:r w:rsidRPr="002C0D7C">
        <w:t xml:space="preserve"> to 6 PM)</w:t>
      </w:r>
    </w:p>
    <w:tbl>
      <w:tblPr>
        <w:tblW w:w="5000" w:type="pct"/>
        <w:jc w:val="center"/>
        <w:tblLook w:val="04A0"/>
      </w:tblPr>
      <w:tblGrid>
        <w:gridCol w:w="1336"/>
        <w:gridCol w:w="1068"/>
        <w:gridCol w:w="1492"/>
        <w:gridCol w:w="1136"/>
        <w:gridCol w:w="1136"/>
        <w:gridCol w:w="1136"/>
        <w:gridCol w:w="1136"/>
        <w:gridCol w:w="1136"/>
      </w:tblGrid>
      <w:tr w:rsidR="00F749A3" w:rsidRPr="00C11E5A" w:rsidTr="00F749A3">
        <w:trPr>
          <w:trHeight w:val="510"/>
          <w:jc w:val="center"/>
        </w:trPr>
        <w:tc>
          <w:tcPr>
            <w:tcW w:w="698"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Weather Year</w:t>
            </w:r>
          </w:p>
        </w:tc>
        <w:tc>
          <w:tcPr>
            <w:tcW w:w="55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Year</w:t>
            </w:r>
          </w:p>
        </w:tc>
        <w:tc>
          <w:tcPr>
            <w:tcW w:w="779" w:type="pct"/>
            <w:tcBorders>
              <w:top w:val="single" w:sz="4" w:space="0" w:color="auto"/>
              <w:left w:val="nil"/>
              <w:bottom w:val="single" w:sz="4" w:space="0" w:color="FFFFFF"/>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Avg. Load impact</w:t>
            </w:r>
          </w:p>
        </w:tc>
        <w:tc>
          <w:tcPr>
            <w:tcW w:w="2965" w:type="pct"/>
            <w:gridSpan w:val="5"/>
            <w:tcBorders>
              <w:top w:val="single" w:sz="4" w:space="0" w:color="auto"/>
              <w:left w:val="nil"/>
              <w:bottom w:val="single" w:sz="4" w:space="0" w:color="FFFFFF"/>
              <w:right w:val="single" w:sz="4" w:space="0" w:color="000000"/>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Impact Uncertainty Percentiles</w:t>
            </w:r>
          </w:p>
        </w:tc>
      </w:tr>
      <w:tr w:rsidR="00F749A3" w:rsidRPr="00C11E5A" w:rsidTr="00F749A3">
        <w:trPr>
          <w:trHeight w:val="480"/>
          <w:jc w:val="center"/>
        </w:trPr>
        <w:tc>
          <w:tcPr>
            <w:tcW w:w="698" w:type="pct"/>
            <w:vMerge/>
            <w:tcBorders>
              <w:top w:val="single" w:sz="4" w:space="0" w:color="auto"/>
              <w:left w:val="single" w:sz="4" w:space="0" w:color="auto"/>
              <w:bottom w:val="single" w:sz="4" w:space="0" w:color="000000"/>
              <w:right w:val="single" w:sz="4" w:space="0" w:color="FFFFFF"/>
            </w:tcBorders>
            <w:vAlign w:val="center"/>
            <w:hideMark/>
          </w:tcPr>
          <w:p w:rsidR="00F749A3" w:rsidRPr="00C11E5A" w:rsidRDefault="00F749A3" w:rsidP="00F749A3">
            <w:pPr>
              <w:spacing w:after="0" w:line="240" w:lineRule="auto"/>
              <w:rPr>
                <w:rFonts w:ascii="Arial" w:eastAsia="Times New Roman" w:hAnsi="Arial" w:cs="Arial"/>
                <w:b/>
                <w:bCs/>
                <w:color w:val="FFFFFF"/>
                <w:sz w:val="20"/>
                <w:szCs w:val="20"/>
              </w:rPr>
            </w:pPr>
          </w:p>
        </w:tc>
        <w:tc>
          <w:tcPr>
            <w:tcW w:w="558" w:type="pct"/>
            <w:vMerge/>
            <w:tcBorders>
              <w:top w:val="single" w:sz="4" w:space="0" w:color="auto"/>
              <w:left w:val="single" w:sz="4" w:space="0" w:color="FFFFFF"/>
              <w:bottom w:val="single" w:sz="4" w:space="0" w:color="000000"/>
              <w:right w:val="single" w:sz="4" w:space="0" w:color="FFFFFF"/>
            </w:tcBorders>
            <w:vAlign w:val="center"/>
            <w:hideMark/>
          </w:tcPr>
          <w:p w:rsidR="00F749A3" w:rsidRPr="00C11E5A" w:rsidRDefault="00F749A3" w:rsidP="00F749A3">
            <w:pPr>
              <w:spacing w:after="0" w:line="240" w:lineRule="auto"/>
              <w:rPr>
                <w:rFonts w:ascii="Arial" w:eastAsia="Times New Roman" w:hAnsi="Arial" w:cs="Arial"/>
                <w:b/>
                <w:bCs/>
                <w:color w:val="FFFFFF"/>
                <w:sz w:val="20"/>
                <w:szCs w:val="20"/>
              </w:rPr>
            </w:pPr>
          </w:p>
        </w:tc>
        <w:tc>
          <w:tcPr>
            <w:tcW w:w="779"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18"/>
                <w:szCs w:val="18"/>
              </w:rPr>
            </w:pPr>
            <w:r w:rsidRPr="00C11E5A">
              <w:rPr>
                <w:rFonts w:ascii="Arial" w:eastAsia="Times New Roman" w:hAnsi="Arial" w:cs="Arial"/>
                <w:b/>
                <w:bCs/>
                <w:color w:val="FFFFFF"/>
                <w:sz w:val="18"/>
                <w:szCs w:val="18"/>
              </w:rPr>
              <w:t>(MW  11 am-6 pm)</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10th</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 xml:space="preserve"> 30th</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 xml:space="preserve">50th </w:t>
            </w:r>
          </w:p>
        </w:tc>
        <w:tc>
          <w:tcPr>
            <w:tcW w:w="593" w:type="pct"/>
            <w:tcBorders>
              <w:top w:val="nil"/>
              <w:left w:val="nil"/>
              <w:bottom w:val="single" w:sz="4" w:space="0" w:color="000000"/>
              <w:right w:val="single" w:sz="4" w:space="0" w:color="FFFFFF"/>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70th</w:t>
            </w:r>
          </w:p>
        </w:tc>
        <w:tc>
          <w:tcPr>
            <w:tcW w:w="593" w:type="pct"/>
            <w:tcBorders>
              <w:top w:val="nil"/>
              <w:left w:val="nil"/>
              <w:bottom w:val="single" w:sz="4" w:space="0" w:color="000000"/>
              <w:right w:val="single" w:sz="4" w:space="0" w:color="auto"/>
            </w:tcBorders>
            <w:shd w:val="clear" w:color="000000" w:fill="1F497D"/>
            <w:vAlign w:val="center"/>
            <w:hideMark/>
          </w:tcPr>
          <w:p w:rsidR="00F749A3" w:rsidRPr="00C11E5A" w:rsidRDefault="00F749A3" w:rsidP="00F749A3">
            <w:pPr>
              <w:spacing w:after="0" w:line="240" w:lineRule="auto"/>
              <w:jc w:val="center"/>
              <w:rPr>
                <w:rFonts w:ascii="Arial" w:eastAsia="Times New Roman" w:hAnsi="Arial" w:cs="Arial"/>
                <w:b/>
                <w:bCs/>
                <w:color w:val="FFFFFF"/>
                <w:sz w:val="20"/>
                <w:szCs w:val="20"/>
              </w:rPr>
            </w:pPr>
            <w:r w:rsidRPr="00C11E5A">
              <w:rPr>
                <w:rFonts w:ascii="Arial" w:eastAsia="Times New Roman" w:hAnsi="Arial" w:cs="Arial"/>
                <w:b/>
                <w:bCs/>
                <w:color w:val="FFFFFF"/>
                <w:sz w:val="20"/>
                <w:szCs w:val="20"/>
              </w:rPr>
              <w:t>90th</w:t>
            </w:r>
          </w:p>
        </w:tc>
      </w:tr>
      <w:tr w:rsidR="00F749A3" w:rsidRPr="00C11E5A" w:rsidTr="00F749A3">
        <w:trPr>
          <w:trHeight w:val="300"/>
          <w:jc w:val="center"/>
        </w:trPr>
        <w:tc>
          <w:tcPr>
            <w:tcW w:w="698" w:type="pct"/>
            <w:vMerge w:val="restart"/>
            <w:tcBorders>
              <w:top w:val="nil"/>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1-in-10 August System Peak Day</w:t>
            </w: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2012</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2013</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2014</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32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30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31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32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32</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34</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2015</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2016</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2017</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17</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2018</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2019</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2020</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2021</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18</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2022</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19</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r>
      <w:tr w:rsidR="00F749A3" w:rsidRPr="00C11E5A" w:rsidTr="00F749A3">
        <w:trPr>
          <w:trHeight w:val="300"/>
          <w:jc w:val="center"/>
        </w:trPr>
        <w:tc>
          <w:tcPr>
            <w:tcW w:w="698" w:type="pct"/>
            <w:vMerge w:val="restart"/>
            <w:tcBorders>
              <w:top w:val="nil"/>
              <w:left w:val="single" w:sz="4" w:space="0" w:color="auto"/>
              <w:bottom w:val="single" w:sz="4" w:space="0" w:color="000000"/>
              <w:right w:val="single" w:sz="4" w:space="0" w:color="000000"/>
            </w:tcBorders>
            <w:shd w:val="clear" w:color="auto" w:fill="auto"/>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1-in-2 August System Peak Day</w:t>
            </w: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2012</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2013</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2014</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25</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2015</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2016</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2017</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2018</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2019</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11</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2020</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2021</w:t>
            </w:r>
          </w:p>
        </w:tc>
        <w:tc>
          <w:tcPr>
            <w:tcW w:w="779"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000000"/>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000000"/>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r>
      <w:tr w:rsidR="00F749A3" w:rsidRPr="00C11E5A" w:rsidTr="00F749A3">
        <w:trPr>
          <w:trHeight w:val="300"/>
          <w:jc w:val="center"/>
        </w:trPr>
        <w:tc>
          <w:tcPr>
            <w:tcW w:w="698" w:type="pct"/>
            <w:vMerge/>
            <w:tcBorders>
              <w:top w:val="nil"/>
              <w:left w:val="single" w:sz="4" w:space="0" w:color="auto"/>
              <w:bottom w:val="single" w:sz="4" w:space="0" w:color="000000"/>
              <w:right w:val="single" w:sz="4" w:space="0" w:color="000000"/>
            </w:tcBorders>
            <w:vAlign w:val="center"/>
            <w:hideMark/>
          </w:tcPr>
          <w:p w:rsidR="00F749A3" w:rsidRPr="00C11E5A" w:rsidRDefault="00F749A3" w:rsidP="00F749A3">
            <w:pPr>
              <w:spacing w:after="0" w:line="240" w:lineRule="auto"/>
              <w:rPr>
                <w:rFonts w:ascii="Arial" w:eastAsia="Times New Roman" w:hAnsi="Arial" w:cs="Arial"/>
                <w:color w:val="000000"/>
                <w:sz w:val="20"/>
                <w:szCs w:val="20"/>
              </w:rPr>
            </w:pPr>
          </w:p>
        </w:tc>
        <w:tc>
          <w:tcPr>
            <w:tcW w:w="558"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2022</w:t>
            </w:r>
          </w:p>
        </w:tc>
        <w:tc>
          <w:tcPr>
            <w:tcW w:w="779"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12</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13</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14</w:t>
            </w:r>
          </w:p>
        </w:tc>
        <w:tc>
          <w:tcPr>
            <w:tcW w:w="593" w:type="pct"/>
            <w:tcBorders>
              <w:top w:val="nil"/>
              <w:left w:val="nil"/>
              <w:bottom w:val="single" w:sz="4" w:space="0" w:color="auto"/>
              <w:right w:val="single" w:sz="4" w:space="0" w:color="000000"/>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15</w:t>
            </w:r>
          </w:p>
        </w:tc>
        <w:tc>
          <w:tcPr>
            <w:tcW w:w="593" w:type="pct"/>
            <w:tcBorders>
              <w:top w:val="nil"/>
              <w:left w:val="nil"/>
              <w:bottom w:val="single" w:sz="4" w:space="0" w:color="auto"/>
              <w:right w:val="single" w:sz="4" w:space="0" w:color="auto"/>
            </w:tcBorders>
            <w:shd w:val="clear" w:color="auto" w:fill="auto"/>
            <w:noWrap/>
            <w:vAlign w:val="center"/>
            <w:hideMark/>
          </w:tcPr>
          <w:p w:rsidR="00F749A3" w:rsidRPr="00C11E5A" w:rsidRDefault="00F749A3" w:rsidP="00F749A3">
            <w:pPr>
              <w:spacing w:after="0" w:line="240" w:lineRule="auto"/>
              <w:jc w:val="center"/>
              <w:rPr>
                <w:rFonts w:ascii="Arial" w:eastAsia="Times New Roman" w:hAnsi="Arial" w:cs="Arial"/>
                <w:color w:val="000000"/>
                <w:sz w:val="20"/>
                <w:szCs w:val="20"/>
              </w:rPr>
            </w:pPr>
            <w:r w:rsidRPr="00C11E5A">
              <w:rPr>
                <w:rFonts w:ascii="Arial" w:eastAsia="Times New Roman" w:hAnsi="Arial" w:cs="Arial"/>
                <w:color w:val="000000"/>
                <w:sz w:val="20"/>
                <w:szCs w:val="20"/>
              </w:rPr>
              <w:t>16</w:t>
            </w:r>
          </w:p>
        </w:tc>
      </w:tr>
    </w:tbl>
    <w:p w:rsidR="008C3CFB" w:rsidRDefault="008C3CFB" w:rsidP="00F85822">
      <w:pPr>
        <w:pStyle w:val="Heading1"/>
        <w:numPr>
          <w:ilvl w:val="0"/>
          <w:numId w:val="0"/>
        </w:numPr>
        <w:ind w:left="432"/>
      </w:pPr>
    </w:p>
    <w:p w:rsidR="00B60DF7" w:rsidRPr="00D775D8" w:rsidRDefault="00B60DF7" w:rsidP="00D775D8">
      <w:pPr>
        <w:pStyle w:val="Heading1"/>
      </w:pPr>
      <w:r>
        <w:br w:type="column"/>
      </w:r>
      <w:bookmarkStart w:id="155" w:name="_Toc326072148"/>
      <w:r w:rsidR="00BE286D" w:rsidRPr="00BE286D">
        <w:lastRenderedPageBreak/>
        <w:t>Recommendations</w:t>
      </w:r>
      <w:bookmarkEnd w:id="155"/>
    </w:p>
    <w:p w:rsidR="00B10BD1" w:rsidRDefault="00B10BD1" w:rsidP="00B10BD1">
      <w:pPr>
        <w:pStyle w:val="BodyParagraph"/>
      </w:pPr>
      <w:r>
        <w:t>Last year, FSC provided detailed recommendations on additional research to better understand the load responsiveness of customers who were defaulted onto CPP rates.  Since then, the utilities have implemented several of the recommendations or are in the process of doing so.  They have standardized the tracking of CPP event notification data and launched research to understand why some customers respond better to the CPP price signals than others.  In addition, in comparison to their first year of default CPP implementation, the percent demand reductions improved for both SCE and PG&amp;E, increasing from 2.9% to 5.7% and from 3.9% to 5.9%, respectively.  Currently, customers enrolled in CPP deliver reduce their demand by 5% to 6% at each of the utilities during events.</w:t>
      </w:r>
    </w:p>
    <w:p w:rsidR="00B10BD1" w:rsidRDefault="00B10BD1" w:rsidP="00B10BD1">
      <w:pPr>
        <w:pStyle w:val="BodyBeforeBullet"/>
      </w:pPr>
      <w:r>
        <w:t xml:space="preserve">In light of the above, the recommendations are concise: </w:t>
      </w:r>
      <w:bookmarkStart w:id="156" w:name="_Toc289178052"/>
    </w:p>
    <w:p w:rsidR="00B10BD1" w:rsidRDefault="00B10BD1" w:rsidP="00B10BD1">
      <w:pPr>
        <w:pStyle w:val="Bullets"/>
      </w:pPr>
      <w:r w:rsidRPr="001C362C">
        <w:rPr>
          <w:i/>
        </w:rPr>
        <w:t xml:space="preserve">Reduce </w:t>
      </w:r>
      <w:r>
        <w:rPr>
          <w:i/>
        </w:rPr>
        <w:t>the u</w:t>
      </w:r>
      <w:r w:rsidRPr="001C362C">
        <w:rPr>
          <w:i/>
        </w:rPr>
        <w:t>ncertainty</w:t>
      </w:r>
      <w:r>
        <w:rPr>
          <w:i/>
        </w:rPr>
        <w:t xml:space="preserve"> associated with defaulting s</w:t>
      </w:r>
      <w:r w:rsidRPr="001C362C">
        <w:rPr>
          <w:i/>
        </w:rPr>
        <w:t xml:space="preserve">mall and </w:t>
      </w:r>
      <w:r>
        <w:rPr>
          <w:i/>
        </w:rPr>
        <w:t>m</w:t>
      </w:r>
      <w:r w:rsidRPr="001C362C">
        <w:rPr>
          <w:i/>
        </w:rPr>
        <w:t xml:space="preserve">edium C&amp;I </w:t>
      </w:r>
      <w:r>
        <w:rPr>
          <w:i/>
        </w:rPr>
        <w:t>c</w:t>
      </w:r>
      <w:r w:rsidRPr="001C362C">
        <w:rPr>
          <w:i/>
        </w:rPr>
        <w:t>ustomers</w:t>
      </w:r>
      <w:bookmarkEnd w:id="156"/>
      <w:r>
        <w:rPr>
          <w:i/>
        </w:rPr>
        <w:t xml:space="preserve"> onto CPP. </w:t>
      </w:r>
      <w:r>
        <w:t xml:space="preserve"> Substantial uncertainty remains for the future transition of small and/or medium </w:t>
      </w:r>
      <w:proofErr w:type="gramStart"/>
      <w:r>
        <w:t>C&amp;I</w:t>
      </w:r>
      <w:proofErr w:type="gramEnd"/>
      <w:r>
        <w:t xml:space="preserve"> customers to dynamic pricing and affects both short term implementation plans and long term resource planning.  A large source of uncertainty is whether small and/or medium (SMB) customers will in fact be defaulted onto CPP rates or be offered those rates on a voluntary basis.  This uncertainty is tied to ongoing regulatory litigation.  In addition, to date, there is very limited factual data on what works and what doesn’t in helping SMB customers migrate to default dynamic pricing simply because there is very little precedent for a shift to default dynamic rates among these customers.  There is no empirical data on the share of customers that will remain on CPP rates if defaulted, or the extent to which they will reduce demand under a default CPP rate.  </w:t>
      </w:r>
      <w:r w:rsidRPr="00B10BD1">
        <w:t>If CPP will be implemented on a default basis for these customer segments, we recommend a multi-stage deployment process, where utilities test the def</w:t>
      </w:r>
      <w:r w:rsidR="00984A90">
        <w:t xml:space="preserve">ault CPP process with a smaller, random </w:t>
      </w:r>
      <w:r w:rsidRPr="00B10BD1">
        <w:t>sub-set of customers prior to full implementation. This would allow utilities the opportunity to test the default process, learn, and make appropriate adjustments prior to full implementation.  It also reduces the uncertainty associated with the implementation of default dynamic pricing.</w:t>
      </w:r>
      <w:r>
        <w:rPr>
          <w:u w:val="single"/>
        </w:rPr>
        <w:t xml:space="preserve"> </w:t>
      </w:r>
    </w:p>
    <w:p w:rsidR="00B10BD1" w:rsidRDefault="00B10BD1" w:rsidP="00B10BD1">
      <w:pPr>
        <w:pStyle w:val="Bullets"/>
      </w:pPr>
      <w:r w:rsidRPr="0011661A">
        <w:rPr>
          <w:i/>
        </w:rPr>
        <w:t xml:space="preserve">Provide customers </w:t>
      </w:r>
      <w:r>
        <w:rPr>
          <w:i/>
        </w:rPr>
        <w:t xml:space="preserve">“best practice” </w:t>
      </w:r>
      <w:r w:rsidRPr="0011661A">
        <w:rPr>
          <w:i/>
        </w:rPr>
        <w:t>information about the steps they can take to reduce load during CPP event days both at the time they defaulted and at the start of each summer.</w:t>
      </w:r>
      <w:r>
        <w:t xml:space="preserve">  Each utility takes steps to ensure their customers are ready for the summer period.  The improvement in the PG&amp;E and SCE CPP performance may be due, in part, to additional steps they undertook to ensure customers were prepared for CPP events.  While it is difficult to isolate the effect of continuing education efforts from other factors, the anecdotal evidence indicates customers welcomed summer preparedness reminders.  </w:t>
      </w:r>
      <w:r w:rsidRPr="00DD56D5">
        <w:t>Uti</w:t>
      </w:r>
      <w:r>
        <w:t xml:space="preserve">lities should track the steps taken to prepare customers for CPP events so that program activities that may help explain changes customer responsiveness can be readily identified.  In addition, </w:t>
      </w:r>
      <w:r w:rsidRPr="00B10BD1">
        <w:t>utilities should share with each other the steps they undertake to ready their customers for CPP events prior to the summer in order to identify best practices.</w:t>
      </w:r>
    </w:p>
    <w:p w:rsidR="00B10BD1" w:rsidRPr="008A1D58" w:rsidRDefault="00B10BD1" w:rsidP="00B10BD1">
      <w:pPr>
        <w:pStyle w:val="BulletLast"/>
        <w:rPr>
          <w:u w:val="single"/>
        </w:rPr>
      </w:pPr>
      <w:r w:rsidRPr="00D37B12">
        <w:rPr>
          <w:i/>
        </w:rPr>
        <w:t xml:space="preserve">If the weather conditions allow for it, SDG&amp;E should call more </w:t>
      </w:r>
      <w:r>
        <w:rPr>
          <w:i/>
        </w:rPr>
        <w:t xml:space="preserve">CPP </w:t>
      </w:r>
      <w:r w:rsidRPr="00D37B12">
        <w:rPr>
          <w:i/>
        </w:rPr>
        <w:t>events in 2012</w:t>
      </w:r>
      <w:r>
        <w:t xml:space="preserve">.  Currently, the SDG&amp;E ex ante results are highly sensitive to weather.  However, the weather trend is highly sensitive due to the limited number of events and can be influenced by the addition or exclusion of individual ex post event results.  </w:t>
      </w:r>
      <w:r w:rsidRPr="00B10BD1">
        <w:t xml:space="preserve">Calling additional events will help SDG&amp;E better understand the relationship between weather conditions and </w:t>
      </w:r>
      <w:bookmarkStart w:id="157" w:name="_GoBack"/>
      <w:bookmarkEnd w:id="157"/>
      <w:r w:rsidRPr="00B10BD1">
        <w:t xml:space="preserve">the magnitude of demand reductions. </w:t>
      </w:r>
    </w:p>
    <w:p w:rsidR="00B60DF7" w:rsidRDefault="00B60DF7" w:rsidP="00B60DF7"/>
    <w:p w:rsidR="0002511E" w:rsidRPr="0002511E" w:rsidRDefault="00121574" w:rsidP="008C3CFB">
      <w:pPr>
        <w:pStyle w:val="Heading3"/>
        <w:numPr>
          <w:ilvl w:val="0"/>
          <w:numId w:val="0"/>
        </w:numPr>
        <w:ind w:left="1080" w:hanging="720"/>
      </w:pPr>
      <w:r>
        <w:br w:type="page"/>
      </w:r>
    </w:p>
    <w:p w:rsidR="0082444E" w:rsidRDefault="0082444E" w:rsidP="005C465D">
      <w:pPr>
        <w:pStyle w:val="AppendixHeading"/>
      </w:pPr>
      <w:bookmarkStart w:id="158" w:name="_Toc326072149"/>
      <w:r>
        <w:lastRenderedPageBreak/>
        <w:t>Validity Assessments</w:t>
      </w:r>
      <w:bookmarkEnd w:id="158"/>
    </w:p>
    <w:p w:rsidR="0082444E" w:rsidRDefault="0082444E" w:rsidP="005C465D">
      <w:pPr>
        <w:pStyle w:val="BodyParagraph"/>
      </w:pPr>
      <w:r>
        <w:t xml:space="preserve">Assessing the accuracy of regression models is important because doing so helps ensure that the </w:t>
      </w:r>
      <w:r w:rsidRPr="00C55428">
        <w:t xml:space="preserve">results are </w:t>
      </w:r>
      <w:r>
        <w:t>valid</w:t>
      </w:r>
      <w:r w:rsidRPr="00C55428">
        <w:t>.</w:t>
      </w:r>
      <w:r>
        <w:t xml:space="preserve">  A systematic assessment of accuracy is particularly important when the percent load reductions are small and difficult to distinguish from spurious variation in the data.  With small percent load reductions, small biases in the reference load can lead to significant errors in the impact estimates.  Three</w:t>
      </w:r>
      <w:r w:rsidRPr="00180155">
        <w:t xml:space="preserve"> approaches for assessing accurac</w:t>
      </w:r>
      <w:r>
        <w:t xml:space="preserve">y are out-of-sample testing, </w:t>
      </w:r>
      <w:r w:rsidRPr="00180155">
        <w:t>the use of false experiments</w:t>
      </w:r>
      <w:r>
        <w:t xml:space="preserve"> and cross-checking individual customer regression results with the results of a separate control group</w:t>
      </w:r>
      <w:r w:rsidR="00AE37F9">
        <w:t> </w:t>
      </w:r>
      <w:r>
        <w:t>analysis</w:t>
      </w:r>
      <w:r w:rsidRPr="00180155">
        <w:t>.</w:t>
      </w:r>
      <w:r>
        <w:t xml:space="preserve">  </w:t>
      </w:r>
    </w:p>
    <w:p w:rsidR="0082444E" w:rsidRDefault="0082444E" w:rsidP="005C465D">
      <w:pPr>
        <w:pStyle w:val="BodyParagraph"/>
      </w:pPr>
      <w:r>
        <w:t>In the first two cases, the “true” answers are known.  Out-of-sample testing helps assess how accurately regressions predict electricity use patterns under event-like conditions</w:t>
      </w:r>
      <w:r w:rsidR="00AE37F9">
        <w:t>.</w:t>
      </w:r>
      <w:r w:rsidR="005618D1">
        <w:rPr>
          <w:rStyle w:val="FootnoteReference"/>
        </w:rPr>
        <w:footnoteReference w:id="21"/>
      </w:r>
      <w:r>
        <w:t xml:space="preserve">  False experiments test if the treatment variables confound load impacts with other factors under event-like conditions.  The check of results using an external control group is useful for determining if a consistent answer is obtained when an entirely different evaluation approach is applied.  Together these validation procedures give a reasonable indication of the accuracy of the regression models used.  The final regression specification is selected based on a holistic approach that includes considering the ex post impacts, ex ante impacts and the above-mention</w:t>
      </w:r>
      <w:r w:rsidR="005618D1">
        <w:t>ed</w:t>
      </w:r>
      <w:r>
        <w:t xml:space="preserve"> validity assessments. </w:t>
      </w:r>
    </w:p>
    <w:p w:rsidR="0082444E" w:rsidRDefault="0082444E" w:rsidP="007E0558">
      <w:pPr>
        <w:pStyle w:val="AppendixHeading2"/>
      </w:pPr>
      <w:bookmarkStart w:id="159" w:name="_Toc326072150"/>
      <w:r>
        <w:t>Out-of-sample Testing</w:t>
      </w:r>
      <w:bookmarkEnd w:id="159"/>
    </w:p>
    <w:p w:rsidR="0082444E" w:rsidRDefault="0082444E" w:rsidP="005C465D">
      <w:pPr>
        <w:pStyle w:val="BodyParagraph"/>
      </w:pPr>
      <w:r w:rsidRPr="00BA5755">
        <w:t>Out-of-sample testing refers to hold</w:t>
      </w:r>
      <w:r>
        <w:t>ing</w:t>
      </w:r>
      <w:r w:rsidRPr="00BA5755">
        <w:t xml:space="preserve"> back </w:t>
      </w:r>
      <w:r w:rsidR="005618D1">
        <w:t>data on</w:t>
      </w:r>
      <w:r>
        <w:t xml:space="preserve"> event-like days </w:t>
      </w:r>
      <w:r w:rsidRPr="00BA5755">
        <w:t>from the model-fitting process in order to</w:t>
      </w:r>
      <w:r>
        <w:t xml:space="preserve"> test model accuracy.  The </w:t>
      </w:r>
      <w:r w:rsidRPr="00BA5755">
        <w:t>process i</w:t>
      </w:r>
      <w:r>
        <w:t xml:space="preserve">nvolves </w:t>
      </w:r>
      <w:r w:rsidRPr="00BA5755">
        <w:t>run</w:t>
      </w:r>
      <w:r>
        <w:t>ning</w:t>
      </w:r>
      <w:r w:rsidRPr="00BA5755">
        <w:t xml:space="preserve"> the regressions without</w:t>
      </w:r>
      <w:r>
        <w:t xml:space="preserve"> allowing the model to use</w:t>
      </w:r>
      <w:r w:rsidRPr="00BA5755">
        <w:t xml:space="preserve"> </w:t>
      </w:r>
      <w:r>
        <w:t xml:space="preserve">a </w:t>
      </w:r>
      <w:r w:rsidR="00965498">
        <w:t>five</w:t>
      </w:r>
      <w:r w:rsidR="005618D1">
        <w:t xml:space="preserve"> of the </w:t>
      </w:r>
      <w:r w:rsidR="00965498">
        <w:t>seven</w:t>
      </w:r>
      <w:r w:rsidR="005618D1">
        <w:t xml:space="preserve"> hottest non-event days</w:t>
      </w:r>
      <w:r>
        <w:t xml:space="preserve">.  The regression model is used to predict electricity use on the event-like days that were withheld, and then </w:t>
      </w:r>
      <w:r w:rsidRPr="00BA5755">
        <w:t>the model’s predictions</w:t>
      </w:r>
      <w:r>
        <w:t xml:space="preserve"> are compared directly</w:t>
      </w:r>
      <w:r w:rsidRPr="00BA5755">
        <w:t xml:space="preserve"> to actual </w:t>
      </w:r>
      <w:r>
        <w:t xml:space="preserve">electricity use </w:t>
      </w:r>
      <w:r w:rsidRPr="00BA5755">
        <w:t>observed on those days.  If the predicti</w:t>
      </w:r>
      <w:r>
        <w:t xml:space="preserve">ons are close to the true load, it indicates </w:t>
      </w:r>
      <w:r w:rsidRPr="00BA5755">
        <w:t xml:space="preserve">that the model </w:t>
      </w:r>
      <w:r>
        <w:t xml:space="preserve">can predict accurately for the </w:t>
      </w:r>
      <w:r w:rsidR="005618D1">
        <w:t>event-</w:t>
      </w:r>
      <w:r>
        <w:t>days selected.  It is important not to fit the model to the event-like days and less than perfect out-of-sample predictions shouldn’t be interpreted as problematic.  Over-fitting the model to the event-like days selected and obtaining highly accurate predictions for the out-of-sample tests gives a false sense of a regression model’s predictive power and often the more “honest” model with slightly worse out-of-sample predictions is actually performs better under a greater variety of event-like conditions.</w:t>
      </w:r>
    </w:p>
    <w:p w:rsidR="0082444E" w:rsidRDefault="0082444E" w:rsidP="007E0558">
      <w:pPr>
        <w:pStyle w:val="AppendixHeading2"/>
      </w:pPr>
      <w:bookmarkStart w:id="160" w:name="_Toc326072151"/>
      <w:r>
        <w:t xml:space="preserve">False </w:t>
      </w:r>
      <w:r w:rsidR="000820BE">
        <w:t>Event Coefficient Tests</w:t>
      </w:r>
      <w:bookmarkEnd w:id="160"/>
    </w:p>
    <w:p w:rsidR="0082444E" w:rsidRDefault="0082444E" w:rsidP="005C465D">
      <w:pPr>
        <w:pStyle w:val="BodyParagraph"/>
      </w:pPr>
      <w:r>
        <w:t xml:space="preserve">To conduct false experiments, </w:t>
      </w:r>
      <w:r w:rsidRPr="00844288">
        <w:t>false event day variables</w:t>
      </w:r>
      <w:r>
        <w:t xml:space="preserve"> are included</w:t>
      </w:r>
      <w:r w:rsidRPr="00844288">
        <w:t xml:space="preserve"> </w:t>
      </w:r>
      <w:r>
        <w:t xml:space="preserve">in the regression specification to </w:t>
      </w:r>
      <w:r w:rsidRPr="00844288">
        <w:t xml:space="preserve">determine if error is being confounded with </w:t>
      </w:r>
      <w:r>
        <w:t>event-like conditions.  The coefficients on the</w:t>
      </w:r>
      <w:r w:rsidRPr="00844288">
        <w:t xml:space="preserve"> false event-day variables should be insignificant and centere</w:t>
      </w:r>
      <w:r>
        <w:t xml:space="preserve">d </w:t>
      </w:r>
      <w:proofErr w:type="gramStart"/>
      <w:r>
        <w:t>around</w:t>
      </w:r>
      <w:proofErr w:type="gramEnd"/>
      <w:r>
        <w:t xml:space="preserve"> zero</w:t>
      </w:r>
      <w:r w:rsidRPr="00844288">
        <w:t xml:space="preserve">.  </w:t>
      </w:r>
      <w:r>
        <w:t>The coefficients on the false event day variables are often significant due to the volume of data used for analysis and incorrect standard error calculations.  Looking at the percent by which the false event day coefficients impact kW can produce more useable insights than explicitly looking at the significance of the false event coefficients.  The default assumption is that the false event coefficients should have 0% impact on the dependent variable because there is technically no event effect to be picked up by the false event</w:t>
      </w:r>
      <w:r w:rsidR="001A54C9">
        <w:t xml:space="preserve"> variables.</w:t>
      </w:r>
    </w:p>
    <w:p w:rsidR="0082444E" w:rsidRPr="00781E7E" w:rsidRDefault="0082444E" w:rsidP="007E0558">
      <w:pPr>
        <w:pStyle w:val="AppendixHeading2"/>
      </w:pPr>
      <w:bookmarkStart w:id="161" w:name="_Toc308190400"/>
      <w:bookmarkStart w:id="162" w:name="_Toc326072152"/>
      <w:r w:rsidRPr="00611A0B">
        <w:lastRenderedPageBreak/>
        <w:t>Control Group</w:t>
      </w:r>
      <w:bookmarkEnd w:id="161"/>
      <w:r w:rsidR="000820BE">
        <w:t xml:space="preserve"> Analysis</w:t>
      </w:r>
      <w:bookmarkEnd w:id="162"/>
    </w:p>
    <w:p w:rsidR="0082444E" w:rsidRDefault="0082444E" w:rsidP="005C465D">
      <w:pPr>
        <w:pStyle w:val="BodyParagraph"/>
      </w:pPr>
      <w:r>
        <w:t>To crosscheck results, FSC selected a matched control group of customers to use in a corroborating analysis.</w:t>
      </w:r>
      <w:r>
        <w:rPr>
          <w:rStyle w:val="FootnoteReference"/>
        </w:rPr>
        <w:footnoteReference w:id="22"/>
      </w:r>
      <w:r>
        <w:t xml:space="preserve">  Such a strategy is especially useful in the case where there are only a few very hot days during the entire summer or when a treatment such as the CPP rate discount is in effect for prolonged periods.  Individual customer regression results for events on days</w:t>
      </w:r>
      <w:r w:rsidR="001A54C9">
        <w:t xml:space="preserve"> with no historical precedent in terms of temperature</w:t>
      </w:r>
      <w:r>
        <w:t xml:space="preserve"> are necessarily extrapolations.  A matched control group provides an important check on these extrapolations.  A well-matched control group is also less likely to confound CPP rate discounts with factors such as weather and seasonality that are correlated to the time periods when the discount</w:t>
      </w:r>
      <w:r w:rsidR="001A54C9">
        <w:t>s are</w:t>
      </w:r>
      <w:r>
        <w:t xml:space="preserve"> in effect.  Individual customer regressions are within-subject estimators that use customer’s electricity use patterns during days when they are not exposed to event day prices or rate discounts to estimate the counterfactual.  With control groups electricity use from the group that is not exposed to CPP is used to infer the counterfactual.  </w:t>
      </w:r>
    </w:p>
    <w:p w:rsidR="0082444E" w:rsidRDefault="00815830" w:rsidP="005C465D">
      <w:pPr>
        <w:pStyle w:val="BodyParagraph"/>
      </w:pPr>
      <w:r>
        <w:t>When a control group is used, t</w:t>
      </w:r>
      <w:r w:rsidR="0082444E">
        <w:t xml:space="preserve">he accuracy of results is tied to the quality of the control group.  Using a control group does not guarantee more accurate results on its own.  A good control group has customers that, on average, look like and behave identically to </w:t>
      </w:r>
      <w:r>
        <w:t>participants</w:t>
      </w:r>
      <w:r w:rsidR="0082444E">
        <w:t xml:space="preserve"> on all days except CPP event days.  Because the customers who are used as controls are customers who opted out of default CPP programs, they likely exhibit behavioral differences as compared to CPP customers.  A control group that does not control for self-selection and differs substantially from participants can produce biased results.  Drawing quality control groups is also difficult with larger customers because of more inherent variation in their electricity use.  </w:t>
      </w:r>
    </w:p>
    <w:p w:rsidR="00F86A30" w:rsidRDefault="0076248A" w:rsidP="005C465D">
      <w:pPr>
        <w:pStyle w:val="BodyParagraph"/>
      </w:pPr>
      <w:r>
        <w:t>O</w:t>
      </w:r>
      <w:r w:rsidR="00F86A30">
        <w:t xml:space="preserve">pt-out TOU customers were matched to CPP customers using propensity score matching.  Propensity score matching is based on regression analysis.  A number of variables </w:t>
      </w:r>
      <w:r w:rsidR="001D6767">
        <w:t xml:space="preserve">are used to quantify difference between the participants and control group candidates and to </w:t>
      </w:r>
      <w:r w:rsidR="00F86A30">
        <w:t>generate a single score</w:t>
      </w:r>
      <w:r w:rsidR="001D6767">
        <w:t xml:space="preserve"> – the likelihood that customers are part of the CPP group given their characteristics</w:t>
      </w:r>
      <w:r w:rsidR="00F86A30">
        <w:t xml:space="preserve">.  </w:t>
      </w:r>
      <w:r w:rsidR="001D6767">
        <w:t>C</w:t>
      </w:r>
      <w:r w:rsidR="00F86A30">
        <w:t>ustomers</w:t>
      </w:r>
      <w:r w:rsidR="001D6767">
        <w:t xml:space="preserve"> are selected into the control group based on how closely they match participants</w:t>
      </w:r>
      <w:r w:rsidR="00F86A30">
        <w:t xml:space="preserve"> based on this score.  T</w:t>
      </w:r>
      <w:r w:rsidR="00F86A30" w:rsidRPr="00104C07">
        <w:t>he propensity score matching exercise was done with</w:t>
      </w:r>
      <w:r w:rsidR="00AE37F9">
        <w:t xml:space="preserve"> a</w:t>
      </w:r>
      <w:r w:rsidR="00F86A30" w:rsidRPr="00104C07">
        <w:t xml:space="preserve"> replacement.  In other words, different treatment group (CPP) customers could be matched to the same opt-out TOU customers.  The variables used for the propensity score matching exercise included industry, weather station, variables meant to capture the relationship between weather and usage, as well as variables meant to capture usage patterns on </w:t>
      </w:r>
      <w:r w:rsidR="00F86A30">
        <w:t>proxy event days</w:t>
      </w:r>
      <w:r w:rsidR="001D6767">
        <w:t xml:space="preserve"> during months when both CPP and TOU customers faced similar rates (Nov-May)</w:t>
      </w:r>
      <w:r w:rsidR="00F86A30">
        <w:t>.</w:t>
      </w:r>
    </w:p>
    <w:p w:rsidR="00F86A30" w:rsidRDefault="00F86A30" w:rsidP="005C465D">
      <w:pPr>
        <w:pStyle w:val="BodyParaAfterTableFigure"/>
      </w:pPr>
      <w:r>
        <w:t xml:space="preserve">The difference-in-differences approach </w:t>
      </w:r>
      <w:r w:rsidR="009412BD">
        <w:t>is a standard statistical approach for reducing error from control groups</w:t>
      </w:r>
      <w:r>
        <w:t>.</w:t>
      </w:r>
      <w:r w:rsidR="001D6767">
        <w:t xml:space="preserve">  In the first step, we estimated the difference in hourly loads between the CPP and TOU groups </w:t>
      </w:r>
      <w:r w:rsidR="006335F8">
        <w:t xml:space="preserve">on non-event days </w:t>
      </w:r>
      <w:r w:rsidR="001D6767">
        <w:t>when both sets of customers faced identical rates (Nov-May).</w:t>
      </w:r>
      <w:r w:rsidR="001D6767" w:rsidRPr="001D6767">
        <w:rPr>
          <w:rStyle w:val="FootnoteReference"/>
        </w:rPr>
        <w:t xml:space="preserve"> </w:t>
      </w:r>
      <w:r w:rsidR="001D6767">
        <w:rPr>
          <w:rStyle w:val="FootnoteReference"/>
        </w:rPr>
        <w:footnoteReference w:id="23"/>
      </w:r>
      <w:r w:rsidR="001D6767">
        <w:t xml:space="preserve">  </w:t>
      </w:r>
      <w:r w:rsidR="006335F8">
        <w:t>This produced an estimate of the bias or error in the reference load produced by the control group.  This was</w:t>
      </w:r>
      <w:r w:rsidR="001D6767">
        <w:t xml:space="preserve"> done for five different temperature bins, as defined by Cooling Degree Days.</w:t>
      </w:r>
      <w:r w:rsidR="006335F8">
        <w:t xml:space="preserve"> </w:t>
      </w:r>
      <w:r w:rsidR="001D6767">
        <w:t xml:space="preserve">In the second step, </w:t>
      </w:r>
      <w:r w:rsidR="001D6767">
        <w:lastRenderedPageBreak/>
        <w:t xml:space="preserve">the difference observed between opt-out TOU and CPP load profiles on </w:t>
      </w:r>
      <w:r w:rsidR="006335F8">
        <w:t xml:space="preserve">non-event </w:t>
      </w:r>
      <w:r w:rsidR="001D6767">
        <w:t>days with similar temperatures was netted out of the opt-out TOU load profiles on the actual event days at the hourly level.</w:t>
      </w:r>
      <w:r>
        <w:t xml:space="preserve"> </w:t>
      </w:r>
      <w:r w:rsidR="006335F8">
        <w:t xml:space="preserve"> </w:t>
      </w:r>
      <w:r w:rsidR="009412BD">
        <w:t>That is, the bias observed between opt-out TOU and CPP load profiles on the proxy event days was netted out of the opt-out TOU load profiles on the actual event days at the hourly level, by temperature bin.</w:t>
      </w:r>
      <w:r w:rsidR="009412BD">
        <w:rPr>
          <w:rStyle w:val="FootnoteReference"/>
        </w:rPr>
        <w:footnoteReference w:id="24"/>
      </w:r>
      <w:r w:rsidR="003F11E9">
        <w:t xml:space="preserve"> Because the impacts are calculated as the difference between the adjusted control and participant group loads, m</w:t>
      </w:r>
      <w:r w:rsidR="009412BD">
        <w:t xml:space="preserve">athematically, </w:t>
      </w:r>
      <w:r w:rsidR="003F11E9">
        <w:t>it</w:t>
      </w:r>
      <w:r w:rsidR="009412BD">
        <w:t xml:space="preserve"> is equivalent to a standard difference-in-differences calculation.</w:t>
      </w:r>
    </w:p>
    <w:p w:rsidR="00F86A30" w:rsidRDefault="00F86A30" w:rsidP="005C465D">
      <w:pPr>
        <w:pStyle w:val="BodyParagraph"/>
      </w:pPr>
      <w:r>
        <w:t>The control group analysis works better when there are plenty of candidates in the control pool to match to treatment customers, otherwise the same customer</w:t>
      </w:r>
      <w:r w:rsidR="003F11E9">
        <w:t xml:space="preserve"> may be selected as a match multiple times, if it is closest to match for multiple participants.  With too few candidates, the matching may not reflect the full range of variation in the participant population</w:t>
      </w:r>
      <w:r>
        <w:t>. It is also important for the control group to be relatively similar to the treatment group so that the difference-in-differences approach does not have to be relied on too heavily.  At SDG&amp;E there were not many opt-out TOU customers to match to CPP customers, but the customers who were available were relatively similar to CPP customers.  The challenges in the PG&amp;E</w:t>
      </w:r>
      <w:r w:rsidR="002701B2">
        <w:t xml:space="preserve"> and SCE</w:t>
      </w:r>
      <w:r>
        <w:t xml:space="preserve"> control group analysis were different.  While there were many opt-out TOU customers to match to CPP customers</w:t>
      </w:r>
      <w:r w:rsidR="002701B2">
        <w:t xml:space="preserve"> at these utilities</w:t>
      </w:r>
      <w:r>
        <w:t xml:space="preserve">, the customers differed greatly in size and the analysis relied </w:t>
      </w:r>
      <w:r w:rsidR="003F11E9">
        <w:t xml:space="preserve">more </w:t>
      </w:r>
      <w:r>
        <w:t>heavily on the difference-in-differences component.</w:t>
      </w:r>
    </w:p>
    <w:p w:rsidR="0082444E" w:rsidRDefault="0082444E" w:rsidP="005C465D">
      <w:pPr>
        <w:pStyle w:val="BodyParagraph"/>
      </w:pPr>
      <w:r>
        <w:t xml:space="preserve">The control group is used mainly as a crosscheck of the individual regression results.  Because of the </w:t>
      </w:r>
      <w:r w:rsidR="0076248A">
        <w:t>above-mentioned issues</w:t>
      </w:r>
      <w:r>
        <w:t>, the c</w:t>
      </w:r>
      <w:r w:rsidR="003F11E9">
        <w:t>ontrol group results for individual event days should be used</w:t>
      </w:r>
      <w:r>
        <w:t xml:space="preserve"> cautiously even though they do</w:t>
      </w:r>
      <w:r w:rsidR="003F11E9">
        <w:t xml:space="preserve"> </w:t>
      </w:r>
      <w:r>
        <w:t>corroborate the individual customer regression results</w:t>
      </w:r>
      <w:r w:rsidR="003F11E9">
        <w:t xml:space="preserve"> for the average event</w:t>
      </w:r>
      <w:r>
        <w:t>.</w:t>
      </w:r>
    </w:p>
    <w:p w:rsidR="001A54C9" w:rsidRDefault="0082444E" w:rsidP="007E0558">
      <w:pPr>
        <w:pStyle w:val="AppendixHeading2"/>
      </w:pPr>
      <w:bookmarkStart w:id="163" w:name="_Toc326072153"/>
      <w:r>
        <w:t>In-</w:t>
      </w:r>
      <w:r w:rsidR="005550E3">
        <w:t>s</w:t>
      </w:r>
      <w:r>
        <w:t>ample Precision and Goodness</w:t>
      </w:r>
      <w:r w:rsidR="005550E3">
        <w:t>-</w:t>
      </w:r>
      <w:r>
        <w:t>of</w:t>
      </w:r>
      <w:r w:rsidR="005550E3">
        <w:t>-f</w:t>
      </w:r>
      <w:r>
        <w:t>it Measures</w:t>
      </w:r>
      <w:bookmarkEnd w:id="163"/>
    </w:p>
    <w:p w:rsidR="001A54C9" w:rsidRDefault="001A54C9" w:rsidP="005C465D">
      <w:pPr>
        <w:pStyle w:val="BodyParagraph"/>
      </w:pPr>
      <w:r>
        <w:t>T</w:t>
      </w:r>
      <w:r w:rsidRPr="00DE36B9">
        <w:t>he R-squared goodness-of-fit statistic</w:t>
      </w:r>
      <w:r>
        <w:t xml:space="preserve"> is calculated as an indication of the in-sample predictive accuracy of the model across customer segments and in the aggregate.</w:t>
      </w:r>
      <w:r w:rsidRPr="00DE36B9">
        <w:t xml:space="preserve"> </w:t>
      </w:r>
      <w:r>
        <w:t xml:space="preserve"> In addition to the R-squared metric, in-sample predictions are plotted across the spectrum of event-like temperatures to determine how well the model predicts for event-like conditions in-sample.</w:t>
      </w:r>
    </w:p>
    <w:p w:rsidR="0082444E" w:rsidRPr="00C95498" w:rsidRDefault="0082444E" w:rsidP="005C465D">
      <w:pPr>
        <w:pStyle w:val="BodyBeforeBullet"/>
      </w:pPr>
      <w:r w:rsidRPr="00C95498">
        <w:t xml:space="preserve">In order to estimate the average customer R-squared values for each industry, LCA or </w:t>
      </w:r>
      <w:r>
        <w:t xml:space="preserve">in the aggregate, </w:t>
      </w:r>
      <w:r w:rsidRPr="00C95498">
        <w:t xml:space="preserve">the regression-predicted and actual electricity usage values were averaged across all customers </w:t>
      </w:r>
      <w:r>
        <w:t>by segment</w:t>
      </w:r>
      <w:r w:rsidRPr="00C95498">
        <w:t xml:space="preserve">.  This process </w:t>
      </w:r>
      <w:r>
        <w:t>enables</w:t>
      </w:r>
      <w:r w:rsidRPr="00C95498">
        <w:t xml:space="preserve"> the calculation of the R-squar</w:t>
      </w:r>
      <w:r>
        <w:t xml:space="preserve">ed value.  The R-squared values </w:t>
      </w:r>
      <w:r w:rsidRPr="00C95498">
        <w:t>for the average customer by segment were estimated using the following formula:</w:t>
      </w:r>
    </w:p>
    <w:p w:rsidR="0082444E" w:rsidRPr="00C95498" w:rsidRDefault="00A73155" w:rsidP="0082444E">
      <w:pPr>
        <w:rPr>
          <w:rFonts w:ascii="Arial" w:hAnsi="Arial" w:cs="Arial"/>
          <w:b/>
        </w:rPr>
      </w:pPr>
      <w:r w:rsidRPr="00A73155">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62.85pt;margin-top:7.3pt;width:78.75pt;height:51.75pt;z-index:251687936">
            <v:imagedata r:id="rId37" o:title=""/>
          </v:shape>
          <o:OLEObject Type="Embed" ProgID="Equation.3" ShapeID="_x0000_s1033" DrawAspect="Content" ObjectID="_1399971913" r:id="rId38"/>
        </w:pict>
      </w:r>
    </w:p>
    <w:p w:rsidR="0082444E" w:rsidRPr="00C95498" w:rsidRDefault="0082444E" w:rsidP="0082444E">
      <w:pPr>
        <w:ind w:firstLine="720"/>
        <w:rPr>
          <w:rFonts w:ascii="Arial" w:hAnsi="Arial" w:cs="Arial"/>
        </w:rPr>
      </w:pPr>
      <w:r w:rsidRPr="00C95498">
        <w:rPr>
          <w:rFonts w:ascii="Arial" w:hAnsi="Arial" w:cs="Arial"/>
          <w:b/>
        </w:rPr>
        <w:t>R</w:t>
      </w:r>
      <w:r w:rsidRPr="00C95498">
        <w:rPr>
          <w:rFonts w:ascii="Arial" w:hAnsi="Arial" w:cs="Arial"/>
          <w:b/>
          <w:vertAlign w:val="superscript"/>
        </w:rPr>
        <w:t>2</w:t>
      </w:r>
      <w:r w:rsidRPr="00C95498">
        <w:rPr>
          <w:rFonts w:ascii="Arial" w:hAnsi="Arial" w:cs="Arial"/>
          <w:b/>
        </w:rPr>
        <w:t xml:space="preserve"> = </w:t>
      </w:r>
    </w:p>
    <w:p w:rsidR="007E0558" w:rsidRDefault="007E0558">
      <w:pPr>
        <w:rPr>
          <w:rFonts w:ascii="TitilliumText22L Rg" w:eastAsiaTheme="minorHAnsi" w:hAnsi="TitilliumText22L Rg"/>
          <w:b/>
          <w:sz w:val="20"/>
        </w:rPr>
      </w:pPr>
      <w:r>
        <w:br w:type="page"/>
      </w:r>
    </w:p>
    <w:p w:rsidR="0082444E" w:rsidRPr="00C95498" w:rsidRDefault="001A54C9" w:rsidP="005C465D">
      <w:pPr>
        <w:pStyle w:val="TableFigureCaption"/>
      </w:pPr>
      <w:r>
        <w:lastRenderedPageBreak/>
        <w:t>Table A-1</w:t>
      </w:r>
      <w:r w:rsidR="0082444E">
        <w:t>:</w:t>
      </w:r>
      <w:r w:rsidR="007E0558">
        <w:t xml:space="preserve"> </w:t>
      </w:r>
      <w:r w:rsidR="0082444E">
        <w:t>Variable Definitions</w:t>
      </w:r>
    </w:p>
    <w:tbl>
      <w:tblPr>
        <w:tblW w:w="5722" w:type="dxa"/>
        <w:jc w:val="center"/>
        <w:tblLook w:val="04A0"/>
      </w:tblPr>
      <w:tblGrid>
        <w:gridCol w:w="1183"/>
        <w:gridCol w:w="4539"/>
      </w:tblGrid>
      <w:tr w:rsidR="0082444E" w:rsidRPr="00266B71" w:rsidTr="00BB1033">
        <w:trPr>
          <w:trHeight w:val="300"/>
          <w:jc w:val="center"/>
        </w:trPr>
        <w:tc>
          <w:tcPr>
            <w:tcW w:w="1183" w:type="dxa"/>
            <w:tcBorders>
              <w:top w:val="single" w:sz="4" w:space="0" w:color="auto"/>
              <w:left w:val="single" w:sz="4" w:space="0" w:color="auto"/>
              <w:bottom w:val="single" w:sz="4" w:space="0" w:color="auto"/>
              <w:right w:val="single" w:sz="8" w:space="0" w:color="FFFFFF"/>
            </w:tcBorders>
            <w:shd w:val="clear" w:color="000000" w:fill="1F497D" w:themeFill="text2"/>
            <w:noWrap/>
            <w:vAlign w:val="center"/>
            <w:hideMark/>
          </w:tcPr>
          <w:p w:rsidR="0082444E" w:rsidRPr="00266B71" w:rsidRDefault="0082444E" w:rsidP="0082444E">
            <w:pPr>
              <w:pStyle w:val="TableHeader"/>
            </w:pPr>
            <w:r w:rsidRPr="00266B71">
              <w:t>Variable</w:t>
            </w:r>
          </w:p>
        </w:tc>
        <w:tc>
          <w:tcPr>
            <w:tcW w:w="4539"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82444E" w:rsidRPr="00266B71" w:rsidRDefault="0082444E" w:rsidP="0082444E">
            <w:pPr>
              <w:pStyle w:val="TableHeader"/>
            </w:pPr>
            <w:r w:rsidRPr="00266B71">
              <w:t>Definition</w:t>
            </w:r>
          </w:p>
        </w:tc>
      </w:tr>
      <w:tr w:rsidR="0082444E" w:rsidRPr="00266B71" w:rsidTr="00BB103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82444E" w:rsidRPr="00266B71" w:rsidRDefault="0082444E" w:rsidP="0082444E">
            <w:pPr>
              <w:pStyle w:val="TableText"/>
              <w:jc w:val="center"/>
            </w:pPr>
            <w:r>
              <w:rPr>
                <w:noProof/>
              </w:rPr>
              <w:drawing>
                <wp:inline distT="0" distB="0" distL="0" distR="0">
                  <wp:extent cx="159385" cy="212725"/>
                  <wp:effectExtent l="1905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4539" w:type="dxa"/>
            <w:tcBorders>
              <w:top w:val="nil"/>
              <w:left w:val="nil"/>
              <w:bottom w:val="single" w:sz="4" w:space="0" w:color="auto"/>
              <w:right w:val="single" w:sz="4" w:space="0" w:color="auto"/>
            </w:tcBorders>
            <w:shd w:val="clear" w:color="auto" w:fill="auto"/>
            <w:noWrap/>
            <w:vAlign w:val="center"/>
            <w:hideMark/>
          </w:tcPr>
          <w:p w:rsidR="0082444E" w:rsidRPr="00D13343" w:rsidRDefault="00BB1033" w:rsidP="00BB1033">
            <w:pPr>
              <w:pStyle w:val="TableText"/>
            </w:pPr>
            <w:r>
              <w:t>A</w:t>
            </w:r>
            <w:r w:rsidR="0082444E" w:rsidRPr="00D13343">
              <w:t>ctual energy use at time t</w:t>
            </w:r>
          </w:p>
        </w:tc>
      </w:tr>
      <w:tr w:rsidR="0082444E" w:rsidRPr="00266B71" w:rsidTr="00BB103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82444E" w:rsidRPr="00266B71" w:rsidRDefault="0082444E" w:rsidP="0082444E">
            <w:pPr>
              <w:pStyle w:val="TableText"/>
              <w:jc w:val="center"/>
            </w:pPr>
            <w:r>
              <w:rPr>
                <w:noProof/>
              </w:rPr>
              <w:drawing>
                <wp:inline distT="0" distB="0" distL="0" distR="0">
                  <wp:extent cx="159385" cy="244475"/>
                  <wp:effectExtent l="1905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159385" cy="244475"/>
                          </a:xfrm>
                          <a:prstGeom prst="rect">
                            <a:avLst/>
                          </a:prstGeom>
                          <a:noFill/>
                          <a:ln w="9525">
                            <a:noFill/>
                            <a:miter lim="800000"/>
                            <a:headEnd/>
                            <a:tailEnd/>
                          </a:ln>
                        </pic:spPr>
                      </pic:pic>
                    </a:graphicData>
                  </a:graphic>
                </wp:inline>
              </w:drawing>
            </w:r>
          </w:p>
        </w:tc>
        <w:tc>
          <w:tcPr>
            <w:tcW w:w="4539" w:type="dxa"/>
            <w:tcBorders>
              <w:top w:val="nil"/>
              <w:left w:val="nil"/>
              <w:bottom w:val="single" w:sz="4" w:space="0" w:color="auto"/>
              <w:right w:val="single" w:sz="4" w:space="0" w:color="auto"/>
            </w:tcBorders>
            <w:shd w:val="clear" w:color="auto" w:fill="auto"/>
            <w:noWrap/>
            <w:vAlign w:val="center"/>
            <w:hideMark/>
          </w:tcPr>
          <w:p w:rsidR="0082444E" w:rsidRPr="00D13343" w:rsidRDefault="00BB1033" w:rsidP="00D13343">
            <w:pPr>
              <w:pStyle w:val="TableText"/>
            </w:pPr>
            <w:r>
              <w:t>R</w:t>
            </w:r>
            <w:r w:rsidR="0082444E" w:rsidRPr="00D13343">
              <w:t>egression predicted energy use at time t</w:t>
            </w:r>
          </w:p>
        </w:tc>
      </w:tr>
      <w:tr w:rsidR="0082444E" w:rsidRPr="00266B71" w:rsidTr="00BB1033">
        <w:trPr>
          <w:trHeight w:val="300"/>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rsidR="0082444E" w:rsidRPr="00266B71" w:rsidRDefault="0082444E" w:rsidP="0082444E">
            <w:pPr>
              <w:pStyle w:val="TableText"/>
              <w:jc w:val="center"/>
            </w:pPr>
            <w:r>
              <w:rPr>
                <w:noProof/>
              </w:rPr>
              <w:drawing>
                <wp:inline distT="0" distB="0" distL="0" distR="0">
                  <wp:extent cx="116840" cy="201930"/>
                  <wp:effectExtent l="1905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116840" cy="201930"/>
                          </a:xfrm>
                          <a:prstGeom prst="rect">
                            <a:avLst/>
                          </a:prstGeom>
                          <a:noFill/>
                          <a:ln w="9525">
                            <a:noFill/>
                            <a:miter lim="800000"/>
                            <a:headEnd/>
                            <a:tailEnd/>
                          </a:ln>
                        </pic:spPr>
                      </pic:pic>
                    </a:graphicData>
                  </a:graphic>
                </wp:inline>
              </w:drawing>
            </w:r>
          </w:p>
        </w:tc>
        <w:tc>
          <w:tcPr>
            <w:tcW w:w="4539" w:type="dxa"/>
            <w:tcBorders>
              <w:top w:val="nil"/>
              <w:left w:val="nil"/>
              <w:bottom w:val="single" w:sz="4" w:space="0" w:color="auto"/>
              <w:right w:val="single" w:sz="4" w:space="0" w:color="auto"/>
            </w:tcBorders>
            <w:shd w:val="clear" w:color="auto" w:fill="auto"/>
            <w:noWrap/>
            <w:vAlign w:val="center"/>
            <w:hideMark/>
          </w:tcPr>
          <w:p w:rsidR="0082444E" w:rsidRPr="00D13343" w:rsidRDefault="00BB1033" w:rsidP="00D13343">
            <w:pPr>
              <w:pStyle w:val="TableText"/>
            </w:pPr>
            <w:r>
              <w:t>A</w:t>
            </w:r>
            <w:r w:rsidR="0082444E" w:rsidRPr="00D13343">
              <w:t>ctual mean energy use across all time periods</w:t>
            </w:r>
          </w:p>
        </w:tc>
      </w:tr>
    </w:tbl>
    <w:p w:rsidR="00D13343" w:rsidRDefault="00D13343" w:rsidP="005C465D">
      <w:pPr>
        <w:pStyle w:val="BodyParagraph"/>
      </w:pPr>
    </w:p>
    <w:p w:rsidR="00D13343" w:rsidRDefault="00D13343">
      <w:pPr>
        <w:rPr>
          <w:rFonts w:ascii="Arial" w:hAnsi="Arial"/>
          <w:sz w:val="20"/>
        </w:rPr>
      </w:pPr>
      <w:r>
        <w:br w:type="page"/>
      </w:r>
    </w:p>
    <w:p w:rsidR="0082444E" w:rsidRPr="0082567E" w:rsidRDefault="0082444E" w:rsidP="005C465D">
      <w:pPr>
        <w:pStyle w:val="AppendixHeading"/>
      </w:pPr>
      <w:bookmarkStart w:id="164" w:name="_Toc326072154"/>
      <w:r>
        <w:lastRenderedPageBreak/>
        <w:t>PG&amp;E Validity Assessment</w:t>
      </w:r>
      <w:bookmarkEnd w:id="164"/>
    </w:p>
    <w:p w:rsidR="0082444E" w:rsidRPr="00462B2D" w:rsidRDefault="0082444E" w:rsidP="005C465D">
      <w:pPr>
        <w:pStyle w:val="BodyParagraph"/>
      </w:pPr>
      <w:r>
        <w:t xml:space="preserve">This section </w:t>
      </w:r>
      <w:r w:rsidR="00753F45">
        <w:t xml:space="preserve">discusses the validation analysis that was done for the PG&amp;E evaluation.  </w:t>
      </w:r>
    </w:p>
    <w:p w:rsidR="0082444E" w:rsidRDefault="0082444E" w:rsidP="007E0558">
      <w:pPr>
        <w:pStyle w:val="AppendixHeading2"/>
      </w:pPr>
      <w:bookmarkStart w:id="165" w:name="_Toc326072155"/>
      <w:r>
        <w:t>Out-of-sample Tests</w:t>
      </w:r>
      <w:bookmarkEnd w:id="165"/>
    </w:p>
    <w:p w:rsidR="0082444E" w:rsidRPr="00C95498" w:rsidRDefault="0082444E" w:rsidP="005C465D">
      <w:pPr>
        <w:pStyle w:val="BodyParagraph"/>
      </w:pPr>
      <w:r w:rsidRPr="00C95498">
        <w:t>The o</w:t>
      </w:r>
      <w:r>
        <w:t>ut-of-sample test results for P</w:t>
      </w:r>
      <w:r w:rsidRPr="00C95498">
        <w:t xml:space="preserve">G&amp;E show </w:t>
      </w:r>
      <w:r>
        <w:t>the bias</w:t>
      </w:r>
      <w:r w:rsidRPr="00C95498">
        <w:t xml:space="preserve"> in the reference load predictions on days </w:t>
      </w:r>
      <w:r>
        <w:t>similar to event days.  Figure B-1</w:t>
      </w:r>
      <w:r w:rsidRPr="00C95498">
        <w:t xml:space="preserve"> compares the actual and predicted load for each hour for the five false event days over which the regression specification</w:t>
      </w:r>
      <w:r>
        <w:t>s were tested.  On average there is -1.1</w:t>
      </w:r>
      <w:r w:rsidRPr="00C95498">
        <w:t>%</w:t>
      </w:r>
      <w:r>
        <w:t xml:space="preserve"> </w:t>
      </w:r>
      <w:proofErr w:type="gramStart"/>
      <w:r>
        <w:t>bias</w:t>
      </w:r>
      <w:proofErr w:type="gramEnd"/>
      <w:r>
        <w:t xml:space="preserve"> </w:t>
      </w:r>
      <w:r w:rsidRPr="00C95498">
        <w:t>during event</w:t>
      </w:r>
      <w:r>
        <w:t>-like</w:t>
      </w:r>
      <w:r w:rsidRPr="00C95498">
        <w:t xml:space="preserve"> hours an</w:t>
      </w:r>
      <w:r>
        <w:t>d never more than -1.3% bias during event-like hours</w:t>
      </w:r>
      <w:r w:rsidRPr="00C95498">
        <w:t xml:space="preserve">.  </w:t>
      </w:r>
      <w:r>
        <w:t xml:space="preserve">The </w:t>
      </w:r>
      <w:r w:rsidRPr="00C95498">
        <w:t xml:space="preserve">model </w:t>
      </w:r>
      <w:r>
        <w:t>exhibits more error in the mid-morning hours.  The bias calculated for the out-of-sample tests indicates that the regression produces predictions with about 1% downward bias on the event-like days selected for the out-of-sample tests.  It would be reasonable to conclude that the reported ex post load impacts are biased in a similar direction and by a similar amount, though a visual check of the ex post results suggests that the model does better than this on the e</w:t>
      </w:r>
      <w:r w:rsidR="001A54C9">
        <w:t>x post days.  As mentioned earlier</w:t>
      </w:r>
      <w:r>
        <w:t>, the regression specification is chosen based on the ex post results, the ex ante results and the validation assessments.  While models were tested that showed less bias for the out-of-sample tests, these models did not perform as well across all of the criteria used for model selection.</w:t>
      </w:r>
    </w:p>
    <w:p w:rsidR="0082444E" w:rsidRDefault="0082444E" w:rsidP="005C465D">
      <w:pPr>
        <w:pStyle w:val="TableFigureCaption"/>
      </w:pPr>
      <w:r>
        <w:t>Figure B-1:</w:t>
      </w:r>
      <w:r w:rsidR="007E0558">
        <w:t xml:space="preserve"> </w:t>
      </w:r>
      <w:r w:rsidRPr="00C95498">
        <w:t>Actual v. Predicted A</w:t>
      </w:r>
      <w:r>
        <w:t>verage Load by Hour for P</w:t>
      </w:r>
      <w:r w:rsidRPr="00C95498">
        <w:t>G&amp;E CPP Customers</w:t>
      </w:r>
      <w:r w:rsidRPr="00C95498">
        <w:br/>
        <w:t>False Event Days</w:t>
      </w:r>
    </w:p>
    <w:p w:rsidR="0082444E" w:rsidRDefault="0082444E" w:rsidP="005C465D">
      <w:pPr>
        <w:pStyle w:val="BodyParagraph"/>
      </w:pPr>
      <w:r w:rsidRPr="002C79C3">
        <w:rPr>
          <w:noProof/>
        </w:rPr>
        <w:drawing>
          <wp:inline distT="0" distB="0" distL="0" distR="0">
            <wp:extent cx="5716982" cy="2737104"/>
            <wp:effectExtent l="19050" t="0" r="17068" b="6096"/>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444E" w:rsidRDefault="0082444E" w:rsidP="005C465D">
      <w:pPr>
        <w:pStyle w:val="BodyParaAfterTableFigure"/>
      </w:pPr>
      <w:r>
        <w:t>Table B</w:t>
      </w:r>
      <w:r w:rsidRPr="00EF6BB1">
        <w:t xml:space="preserve">-1 shows the average bias in the reference </w:t>
      </w:r>
      <w:r w:rsidRPr="00462B2D">
        <w:t>load</w:t>
      </w:r>
      <w:r w:rsidRPr="00EF6BB1">
        <w:t xml:space="preserve"> predictions during</w:t>
      </w:r>
      <w:r>
        <w:t xml:space="preserve"> event-like hours by industry.  D</w:t>
      </w:r>
      <w:r w:rsidRPr="00EF6BB1">
        <w:t>epending on the specific group assessed, there is</w:t>
      </w:r>
      <w:r>
        <w:t xml:space="preserve"> bias</w:t>
      </w:r>
      <w:r w:rsidRPr="00EF6BB1">
        <w:t xml:space="preserve"> </w:t>
      </w:r>
      <w:r>
        <w:t>between -2.1% and 0.9%</w:t>
      </w:r>
      <w:r w:rsidRPr="00EF6BB1">
        <w:t xml:space="preserve">.  Table </w:t>
      </w:r>
      <w:r>
        <w:t>B-1 also shows the percent of P</w:t>
      </w:r>
      <w:r w:rsidRPr="00EF6BB1">
        <w:t>G&amp;E’s CPP population within</w:t>
      </w:r>
      <w:r>
        <w:t xml:space="preserve"> each industry</w:t>
      </w:r>
      <w:r w:rsidR="001A54C9">
        <w:t xml:space="preserve"> segment</w:t>
      </w:r>
      <w:r>
        <w:t>.  C</w:t>
      </w:r>
      <w:r w:rsidRPr="00EF6BB1">
        <w:t xml:space="preserve">ustomers in the </w:t>
      </w:r>
      <w:r>
        <w:t>I</w:t>
      </w:r>
      <w:r w:rsidR="00A93ABE">
        <w:t xml:space="preserve">nstitutional/Government </w:t>
      </w:r>
      <w:r w:rsidR="001A54C9">
        <w:t>segment</w:t>
      </w:r>
      <w:r w:rsidRPr="00EF6BB1">
        <w:t xml:space="preserve"> show </w:t>
      </w:r>
      <w:r>
        <w:t>the most bias during</w:t>
      </w:r>
      <w:r w:rsidRPr="00EF6BB1">
        <w:t xml:space="preserve"> event</w:t>
      </w:r>
      <w:r>
        <w:t xml:space="preserve">-like hours, however, at -2.1%, the bias is still relatively low.  </w:t>
      </w:r>
      <w:r w:rsidR="00A93ABE">
        <w:t>Across the other industry segments</w:t>
      </w:r>
      <w:r>
        <w:t xml:space="preserve">, there is less than absolute bias of 2% during event-like hours. </w:t>
      </w:r>
      <w:r>
        <w:br w:type="page"/>
      </w:r>
    </w:p>
    <w:p w:rsidR="0082444E" w:rsidRDefault="0082444E" w:rsidP="005C465D">
      <w:pPr>
        <w:pStyle w:val="TableFigureCaption"/>
      </w:pPr>
      <w:r>
        <w:lastRenderedPageBreak/>
        <w:t>Table</w:t>
      </w:r>
      <w:r w:rsidRPr="00462B2D">
        <w:t xml:space="preserve"> </w:t>
      </w:r>
      <w:r>
        <w:t>B-1:</w:t>
      </w:r>
      <w:r w:rsidR="007E0558">
        <w:t xml:space="preserve"> </w:t>
      </w:r>
      <w:r w:rsidRPr="00C95498">
        <w:t xml:space="preserve">Actual v. </w:t>
      </w:r>
      <w:r>
        <w:t>Predicted Average Load by Industry for P</w:t>
      </w:r>
      <w:r w:rsidRPr="00C95498">
        <w:t>G&amp;E CPP Customers</w:t>
      </w:r>
      <w:r w:rsidRPr="00C95498">
        <w:br/>
        <w:t xml:space="preserve">False Event </w:t>
      </w:r>
      <w:r>
        <w:t>Hours</w:t>
      </w:r>
    </w:p>
    <w:tbl>
      <w:tblPr>
        <w:tblW w:w="9740" w:type="dxa"/>
        <w:jc w:val="center"/>
        <w:tblLook w:val="04A0"/>
      </w:tblPr>
      <w:tblGrid>
        <w:gridCol w:w="3740"/>
        <w:gridCol w:w="1576"/>
        <w:gridCol w:w="1360"/>
        <w:gridCol w:w="1360"/>
        <w:gridCol w:w="720"/>
        <w:gridCol w:w="984"/>
      </w:tblGrid>
      <w:tr w:rsidR="0082444E" w:rsidRPr="005A6D5C" w:rsidTr="00BB1033">
        <w:trPr>
          <w:trHeight w:val="300"/>
          <w:jc w:val="center"/>
        </w:trPr>
        <w:tc>
          <w:tcPr>
            <w:tcW w:w="374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5A6D5C" w:rsidRDefault="0082444E" w:rsidP="00471B83">
            <w:pPr>
              <w:pStyle w:val="TableHeader"/>
            </w:pPr>
            <w:r w:rsidRPr="005A6D5C">
              <w:t>Industry</w:t>
            </w:r>
          </w:p>
        </w:tc>
        <w:tc>
          <w:tcPr>
            <w:tcW w:w="1576"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A6D5C" w:rsidRDefault="0082444E" w:rsidP="00471B83">
            <w:pPr>
              <w:pStyle w:val="TableHeader"/>
            </w:pPr>
            <w:r w:rsidRPr="005A6D5C">
              <w:t>% Population</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A6D5C" w:rsidRDefault="0082444E" w:rsidP="00471B83">
            <w:pPr>
              <w:pStyle w:val="TableHeader"/>
            </w:pPr>
            <w:r w:rsidRPr="005A6D5C">
              <w:t>Actual kW</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A6D5C" w:rsidRDefault="0082444E" w:rsidP="00471B83">
            <w:pPr>
              <w:pStyle w:val="TableHeader"/>
            </w:pPr>
            <w:r w:rsidRPr="005A6D5C">
              <w:t>Predicted kW</w:t>
            </w:r>
          </w:p>
        </w:tc>
        <w:tc>
          <w:tcPr>
            <w:tcW w:w="720" w:type="dxa"/>
            <w:tcBorders>
              <w:top w:val="single" w:sz="4" w:space="0" w:color="auto"/>
              <w:left w:val="nil"/>
              <w:bottom w:val="nil"/>
              <w:right w:val="single" w:sz="4" w:space="0" w:color="FFFFFF"/>
            </w:tcBorders>
            <w:shd w:val="clear" w:color="000000" w:fill="1F497D" w:themeFill="text2"/>
            <w:noWrap/>
            <w:vAlign w:val="center"/>
            <w:hideMark/>
          </w:tcPr>
          <w:p w:rsidR="0082444E" w:rsidRPr="005A6D5C" w:rsidRDefault="0082444E" w:rsidP="00471B83">
            <w:pPr>
              <w:pStyle w:val="TableHeader"/>
            </w:pPr>
            <w:r w:rsidRPr="005A6D5C">
              <w:t>Bias</w:t>
            </w:r>
          </w:p>
        </w:tc>
        <w:tc>
          <w:tcPr>
            <w:tcW w:w="984" w:type="dxa"/>
            <w:tcBorders>
              <w:top w:val="single" w:sz="4" w:space="0" w:color="auto"/>
              <w:left w:val="nil"/>
              <w:bottom w:val="nil"/>
              <w:right w:val="single" w:sz="4" w:space="0" w:color="auto"/>
            </w:tcBorders>
            <w:shd w:val="clear" w:color="000000" w:fill="1F497D" w:themeFill="text2"/>
            <w:noWrap/>
            <w:vAlign w:val="center"/>
            <w:hideMark/>
          </w:tcPr>
          <w:p w:rsidR="0082444E" w:rsidRPr="005A6D5C" w:rsidRDefault="0082444E" w:rsidP="00471B83">
            <w:pPr>
              <w:pStyle w:val="TableHeader"/>
            </w:pPr>
            <w:r w:rsidRPr="005A6D5C">
              <w:t>% Bias</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Agriculture, Mining &amp; Construction</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7.2%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142.6</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140.4</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-2.2</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-1.5%</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Manufacturing</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19.9%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295.9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294.4</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-1.6</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-0.5%</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Wholesale, Transport &amp; Other Utilities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13.5%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202.4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200.8</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-1.6</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-0.8%</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Retail Stores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7.5%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314.5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317.2</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2.7</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0.9%</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Offices, Hotels, Finance, Services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26.7%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405.7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398.0</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-7.7</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-1.9%</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Schools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16.1%</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169.4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169.4</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0.0</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0.0%</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Institutional/Government</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7.8%</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334.2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327.1</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-7.1</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-2.1%</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pPr>
            <w:r w:rsidRPr="005A6D5C">
              <w:t>Other or Unknown</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179.7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180.8</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1.1</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0.6%</w:t>
            </w:r>
          </w:p>
        </w:tc>
      </w:tr>
    </w:tbl>
    <w:p w:rsidR="0082444E" w:rsidRDefault="0082444E" w:rsidP="005C465D">
      <w:pPr>
        <w:pStyle w:val="BodyParaAfterTableFigure"/>
      </w:pPr>
      <w:r>
        <w:t>Table B</w:t>
      </w:r>
      <w:r w:rsidRPr="00E96C19">
        <w:t>-2 shows the average bias in the reference load predictions</w:t>
      </w:r>
      <w:r>
        <w:t xml:space="preserve"> for PG&amp;E’s CPP customers</w:t>
      </w:r>
      <w:r w:rsidRPr="00E96C19">
        <w:t xml:space="preserve"> dur</w:t>
      </w:r>
      <w:r>
        <w:t xml:space="preserve">ing event-like hours by size category.  </w:t>
      </w:r>
      <w:r w:rsidRPr="00462B2D">
        <w:t>Depending</w:t>
      </w:r>
      <w:r w:rsidRPr="00E96C19">
        <w:t xml:space="preserve"> on the specific gr</w:t>
      </w:r>
      <w:r>
        <w:t>oup assessed, there is between -3.2% and -0.7</w:t>
      </w:r>
      <w:r w:rsidRPr="00E96C19">
        <w:t xml:space="preserve">% bias.  Table </w:t>
      </w:r>
      <w:r>
        <w:t>B-2 also shows the percent of P</w:t>
      </w:r>
      <w:r w:rsidRPr="00E96C19">
        <w:t xml:space="preserve">G&amp;E’s CPP population within each </w:t>
      </w:r>
      <w:r>
        <w:t>size</w:t>
      </w:r>
      <w:r w:rsidRPr="00E96C19">
        <w:t xml:space="preserve"> category.  </w:t>
      </w:r>
      <w:r>
        <w:t xml:space="preserve">Though there are far fewer customers in the Over 500 Average kW category, the reference loads of these customers are predicted accurately. </w:t>
      </w:r>
      <w:r w:rsidRPr="00E96C19">
        <w:t xml:space="preserve"> </w:t>
      </w:r>
      <w:r>
        <w:t>The reference load predictions are most biased for the customers below 50 average kW.</w:t>
      </w:r>
    </w:p>
    <w:p w:rsidR="0082444E" w:rsidRDefault="0082444E" w:rsidP="005C465D">
      <w:pPr>
        <w:pStyle w:val="TableFigureCaption"/>
      </w:pPr>
      <w:r>
        <w:t>Table B-2:</w:t>
      </w:r>
      <w:r w:rsidR="007E0558">
        <w:t xml:space="preserve"> </w:t>
      </w:r>
      <w:r w:rsidRPr="00C95498">
        <w:t xml:space="preserve">Actual v. </w:t>
      </w:r>
      <w:r>
        <w:t>Predicted Average Load by Size Category for P</w:t>
      </w:r>
      <w:r w:rsidRPr="00C95498">
        <w:t>G&amp;E CPP Customers</w:t>
      </w:r>
      <w:r w:rsidRPr="00C95498">
        <w:br/>
        <w:t xml:space="preserve">False Event </w:t>
      </w:r>
      <w:r>
        <w:t>Hours</w:t>
      </w:r>
    </w:p>
    <w:tbl>
      <w:tblPr>
        <w:tblW w:w="9740" w:type="dxa"/>
        <w:jc w:val="center"/>
        <w:tblLook w:val="04A0"/>
      </w:tblPr>
      <w:tblGrid>
        <w:gridCol w:w="3740"/>
        <w:gridCol w:w="1576"/>
        <w:gridCol w:w="1360"/>
        <w:gridCol w:w="1360"/>
        <w:gridCol w:w="720"/>
        <w:gridCol w:w="984"/>
      </w:tblGrid>
      <w:tr w:rsidR="0082444E" w:rsidRPr="005A6D5C" w:rsidTr="00BB1033">
        <w:trPr>
          <w:trHeight w:val="300"/>
          <w:jc w:val="center"/>
        </w:trPr>
        <w:tc>
          <w:tcPr>
            <w:tcW w:w="374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5A6D5C" w:rsidRDefault="0082444E" w:rsidP="00BB1033">
            <w:pPr>
              <w:pStyle w:val="TableHeader"/>
              <w:rPr>
                <w:rFonts w:eastAsia="Times New Roman"/>
              </w:rPr>
            </w:pPr>
            <w:r w:rsidRPr="005A6D5C">
              <w:rPr>
                <w:rFonts w:eastAsia="Times New Roman"/>
              </w:rPr>
              <w:t>Size Bins</w:t>
            </w:r>
          </w:p>
        </w:tc>
        <w:tc>
          <w:tcPr>
            <w:tcW w:w="1576"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A6D5C" w:rsidRDefault="0082444E" w:rsidP="00BB1033">
            <w:pPr>
              <w:pStyle w:val="TableHeader"/>
              <w:rPr>
                <w:rFonts w:eastAsia="Times New Roman"/>
              </w:rPr>
            </w:pPr>
            <w:r w:rsidRPr="005A6D5C">
              <w:rPr>
                <w:rFonts w:eastAsia="Times New Roman"/>
              </w:rPr>
              <w:t>% Population</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A6D5C" w:rsidRDefault="0082444E" w:rsidP="00BB1033">
            <w:pPr>
              <w:pStyle w:val="TableHeader"/>
              <w:rPr>
                <w:rFonts w:eastAsia="Times New Roman"/>
              </w:rPr>
            </w:pPr>
            <w:r w:rsidRPr="005A6D5C">
              <w:rPr>
                <w:rFonts w:eastAsia="Times New Roman"/>
              </w:rPr>
              <w:t>Actual kW</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A6D5C" w:rsidRDefault="0082444E" w:rsidP="00BB1033">
            <w:pPr>
              <w:pStyle w:val="TableHeader"/>
              <w:rPr>
                <w:rFonts w:eastAsia="Times New Roman"/>
              </w:rPr>
            </w:pPr>
            <w:r w:rsidRPr="005A6D5C">
              <w:rPr>
                <w:rFonts w:eastAsia="Times New Roman"/>
              </w:rPr>
              <w:t>Predicted kW</w:t>
            </w:r>
          </w:p>
        </w:tc>
        <w:tc>
          <w:tcPr>
            <w:tcW w:w="720" w:type="dxa"/>
            <w:tcBorders>
              <w:top w:val="single" w:sz="4" w:space="0" w:color="auto"/>
              <w:left w:val="nil"/>
              <w:bottom w:val="nil"/>
              <w:right w:val="single" w:sz="4" w:space="0" w:color="FFFFFF"/>
            </w:tcBorders>
            <w:shd w:val="clear" w:color="000000" w:fill="1F497D" w:themeFill="text2"/>
            <w:noWrap/>
            <w:vAlign w:val="center"/>
            <w:hideMark/>
          </w:tcPr>
          <w:p w:rsidR="0082444E" w:rsidRPr="005A6D5C" w:rsidRDefault="0082444E" w:rsidP="00BB1033">
            <w:pPr>
              <w:pStyle w:val="TableHeader"/>
              <w:rPr>
                <w:rFonts w:eastAsia="Times New Roman"/>
              </w:rPr>
            </w:pPr>
            <w:r w:rsidRPr="005A6D5C">
              <w:rPr>
                <w:rFonts w:eastAsia="Times New Roman"/>
              </w:rPr>
              <w:t>Bias</w:t>
            </w:r>
          </w:p>
        </w:tc>
        <w:tc>
          <w:tcPr>
            <w:tcW w:w="984" w:type="dxa"/>
            <w:tcBorders>
              <w:top w:val="single" w:sz="4" w:space="0" w:color="auto"/>
              <w:left w:val="nil"/>
              <w:bottom w:val="nil"/>
              <w:right w:val="single" w:sz="4" w:space="0" w:color="auto"/>
            </w:tcBorders>
            <w:shd w:val="clear" w:color="000000" w:fill="1F497D" w:themeFill="text2"/>
            <w:noWrap/>
            <w:vAlign w:val="center"/>
            <w:hideMark/>
          </w:tcPr>
          <w:p w:rsidR="0082444E" w:rsidRPr="005A6D5C" w:rsidRDefault="0082444E" w:rsidP="00BB1033">
            <w:pPr>
              <w:pStyle w:val="TableHeader"/>
              <w:rPr>
                <w:rFonts w:eastAsia="Times New Roman"/>
              </w:rPr>
            </w:pPr>
            <w:r w:rsidRPr="005A6D5C">
              <w:rPr>
                <w:rFonts w:eastAsia="Times New Roman"/>
              </w:rPr>
              <w:t>% Bias</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Under 50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15.0%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32.0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31.0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-1.0</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-3.2%</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50 to 100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22.3%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122.3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120.4</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-1.9</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-1.5%</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100-200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35.4%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221.6</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219.5</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-2.1</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-0.9%</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200-500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21.0%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437.2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431.4</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-5.9</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-1.3%</w:t>
            </w:r>
          </w:p>
        </w:tc>
      </w:tr>
      <w:tr w:rsidR="0082444E" w:rsidRPr="005A6D5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Over 500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6.3%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1285.5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1276.3</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-9.3</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5A6D5C" w:rsidRDefault="0082444E" w:rsidP="00471B83">
            <w:pPr>
              <w:pStyle w:val="TableText"/>
              <w:jc w:val="center"/>
            </w:pPr>
            <w:r w:rsidRPr="005A6D5C">
              <w:t>-0.7%</w:t>
            </w:r>
          </w:p>
        </w:tc>
      </w:tr>
    </w:tbl>
    <w:p w:rsidR="0082444E" w:rsidRPr="00C95498" w:rsidRDefault="0082444E" w:rsidP="007E0558">
      <w:pPr>
        <w:pStyle w:val="AppendixHeading2"/>
        <w:spacing w:before="360"/>
      </w:pPr>
      <w:bookmarkStart w:id="166" w:name="_Toc326072156"/>
      <w:r>
        <w:t>False Event Coefficient Tests</w:t>
      </w:r>
      <w:bookmarkEnd w:id="166"/>
    </w:p>
    <w:p w:rsidR="0082444E" w:rsidRDefault="0082444E" w:rsidP="005C465D">
      <w:pPr>
        <w:pStyle w:val="BodyParagraph"/>
      </w:pPr>
      <w:r>
        <w:t xml:space="preserve">Dividing the actual sum of kW for each hour by the sum of betas on the false event day variables gives the percent by which the estimated coefficients impact actual kW.  The default assumption is that false event day variables should have 0% impact on the dependent </w:t>
      </w:r>
      <w:proofErr w:type="gramStart"/>
      <w:r>
        <w:t>variable,</w:t>
      </w:r>
      <w:proofErr w:type="gramEnd"/>
      <w:r>
        <w:t xml:space="preserve"> otherwise there is evidence that the betas are correlated with the error term.  Table </w:t>
      </w:r>
      <w:r w:rsidR="001A54C9">
        <w:t>B-3 shows the results from the</w:t>
      </w:r>
      <w:r>
        <w:t xml:space="preserve"> false event coefficient tests.  The percent bias is well under 2% for all event-like hours.</w:t>
      </w:r>
    </w:p>
    <w:p w:rsidR="007E0558" w:rsidRDefault="007E0558">
      <w:pPr>
        <w:rPr>
          <w:rFonts w:ascii="TitilliumText22L Rg" w:eastAsiaTheme="minorHAnsi" w:hAnsi="TitilliumText22L Rg"/>
          <w:b/>
          <w:sz w:val="20"/>
        </w:rPr>
      </w:pPr>
      <w:r>
        <w:br w:type="page"/>
      </w:r>
    </w:p>
    <w:p w:rsidR="0082444E" w:rsidRDefault="0082444E" w:rsidP="005C465D">
      <w:pPr>
        <w:pStyle w:val="TableFigureCaption"/>
      </w:pPr>
      <w:r w:rsidRPr="00B3235F">
        <w:lastRenderedPageBreak/>
        <w:t>Table</w:t>
      </w:r>
      <w:r>
        <w:t xml:space="preserve"> B-3:</w:t>
      </w:r>
      <w:r w:rsidR="007E0558">
        <w:t xml:space="preserve"> </w:t>
      </w:r>
      <w:r>
        <w:t xml:space="preserve">Percent Bias from Aggregate False Event Coefficients </w:t>
      </w:r>
    </w:p>
    <w:tbl>
      <w:tblPr>
        <w:tblW w:w="5020" w:type="dxa"/>
        <w:jc w:val="center"/>
        <w:tblLook w:val="04A0"/>
      </w:tblPr>
      <w:tblGrid>
        <w:gridCol w:w="980"/>
        <w:gridCol w:w="1220"/>
        <w:gridCol w:w="2000"/>
        <w:gridCol w:w="820"/>
      </w:tblGrid>
      <w:tr w:rsidR="0082444E" w:rsidRPr="00453175" w:rsidTr="00471B83">
        <w:trPr>
          <w:trHeight w:val="300"/>
          <w:jc w:val="center"/>
        </w:trPr>
        <w:tc>
          <w:tcPr>
            <w:tcW w:w="98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453175" w:rsidRDefault="0082444E" w:rsidP="00471B83">
            <w:pPr>
              <w:pStyle w:val="TableHeader"/>
            </w:pPr>
            <w:r w:rsidRPr="00453175">
              <w:t>Hour</w:t>
            </w:r>
          </w:p>
        </w:tc>
        <w:tc>
          <w:tcPr>
            <w:tcW w:w="122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453175" w:rsidRDefault="0082444E" w:rsidP="00471B83">
            <w:pPr>
              <w:pStyle w:val="TableHeader"/>
            </w:pPr>
            <w:r w:rsidRPr="00453175">
              <w:t>Sum of kWh</w:t>
            </w:r>
          </w:p>
        </w:tc>
        <w:tc>
          <w:tcPr>
            <w:tcW w:w="200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453175" w:rsidRDefault="0082444E" w:rsidP="00471B83">
            <w:pPr>
              <w:pStyle w:val="TableHeader"/>
            </w:pPr>
            <w:r w:rsidRPr="00453175">
              <w:t>Sum of Betas</w:t>
            </w:r>
          </w:p>
        </w:tc>
        <w:tc>
          <w:tcPr>
            <w:tcW w:w="820"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82444E" w:rsidRPr="00453175" w:rsidRDefault="0082444E" w:rsidP="00471B83">
            <w:pPr>
              <w:pStyle w:val="TableHeader"/>
            </w:pPr>
            <w:r w:rsidRPr="00453175">
              <w:t>% Bias</w:t>
            </w:r>
          </w:p>
        </w:tc>
      </w:tr>
      <w:tr w:rsidR="0082444E" w:rsidRPr="00453175"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453175" w:rsidRDefault="0082444E" w:rsidP="00471B83">
            <w:pPr>
              <w:pStyle w:val="TableText"/>
              <w:jc w:val="center"/>
            </w:pPr>
            <w:r w:rsidRPr="00453175">
              <w:t>12</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3</w:t>
            </w:r>
            <w:r w:rsidR="0022593D">
              <w:t>,</w:t>
            </w:r>
            <w:r w:rsidRPr="00453175">
              <w:t>038</w:t>
            </w:r>
            <w:r w:rsidR="0022593D">
              <w:t>,</w:t>
            </w:r>
            <w:r w:rsidRPr="00453175">
              <w:t>507</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31</w:t>
            </w:r>
            <w:r w:rsidR="0022593D">
              <w:t>,</w:t>
            </w:r>
            <w:r w:rsidRPr="00453175">
              <w:t>926</w:t>
            </w:r>
          </w:p>
        </w:tc>
        <w:tc>
          <w:tcPr>
            <w:tcW w:w="8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1.1%</w:t>
            </w:r>
          </w:p>
        </w:tc>
      </w:tr>
      <w:tr w:rsidR="0082444E" w:rsidRPr="00453175"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453175" w:rsidRDefault="0082444E" w:rsidP="00471B83">
            <w:pPr>
              <w:pStyle w:val="TableText"/>
              <w:jc w:val="center"/>
            </w:pPr>
            <w:r w:rsidRPr="00453175">
              <w:t>13</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2</w:t>
            </w:r>
            <w:r w:rsidR="0022593D">
              <w:t>,</w:t>
            </w:r>
            <w:r w:rsidRPr="00453175">
              <w:t>931</w:t>
            </w:r>
            <w:r w:rsidR="0022593D">
              <w:t>,</w:t>
            </w:r>
            <w:r w:rsidRPr="00453175">
              <w:t>301</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35</w:t>
            </w:r>
            <w:r w:rsidR="0022593D">
              <w:t>,</w:t>
            </w:r>
            <w:r w:rsidRPr="00453175">
              <w:t>417</w:t>
            </w:r>
          </w:p>
        </w:tc>
        <w:tc>
          <w:tcPr>
            <w:tcW w:w="8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1.2%</w:t>
            </w:r>
          </w:p>
        </w:tc>
      </w:tr>
      <w:tr w:rsidR="0082444E" w:rsidRPr="00453175"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453175" w:rsidRDefault="0082444E" w:rsidP="00471B83">
            <w:pPr>
              <w:pStyle w:val="TableText"/>
              <w:jc w:val="center"/>
            </w:pPr>
            <w:r w:rsidRPr="00453175">
              <w:t>14</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2</w:t>
            </w:r>
            <w:r w:rsidR="0022593D">
              <w:t>,</w:t>
            </w:r>
            <w:r w:rsidRPr="00453175">
              <w:t>792</w:t>
            </w:r>
            <w:r w:rsidR="0022593D">
              <w:t>,</w:t>
            </w:r>
            <w:r w:rsidRPr="00453175">
              <w:t>229</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36</w:t>
            </w:r>
            <w:r w:rsidR="0022593D">
              <w:t>,</w:t>
            </w:r>
            <w:r w:rsidRPr="00453175">
              <w:t>164</w:t>
            </w:r>
          </w:p>
        </w:tc>
        <w:tc>
          <w:tcPr>
            <w:tcW w:w="8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1.3%</w:t>
            </w:r>
          </w:p>
        </w:tc>
      </w:tr>
      <w:tr w:rsidR="0082444E" w:rsidRPr="00453175"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453175" w:rsidRDefault="0082444E" w:rsidP="00471B83">
            <w:pPr>
              <w:pStyle w:val="TableText"/>
              <w:jc w:val="center"/>
            </w:pPr>
            <w:r w:rsidRPr="00453175">
              <w:t>15</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2</w:t>
            </w:r>
            <w:r w:rsidR="0022593D">
              <w:t>,</w:t>
            </w:r>
            <w:r w:rsidRPr="00453175">
              <w:t>626</w:t>
            </w:r>
            <w:r w:rsidR="0022593D">
              <w:t>,</w:t>
            </w:r>
            <w:r w:rsidRPr="00453175">
              <w:t>293</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39</w:t>
            </w:r>
            <w:r w:rsidR="0022593D">
              <w:t>,</w:t>
            </w:r>
            <w:r w:rsidRPr="00453175">
              <w:t>139</w:t>
            </w:r>
          </w:p>
        </w:tc>
        <w:tc>
          <w:tcPr>
            <w:tcW w:w="8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1.5%</w:t>
            </w:r>
          </w:p>
        </w:tc>
      </w:tr>
      <w:tr w:rsidR="0082444E" w:rsidRPr="00453175"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453175" w:rsidRDefault="0082444E" w:rsidP="00471B83">
            <w:pPr>
              <w:pStyle w:val="TableText"/>
              <w:jc w:val="center"/>
            </w:pPr>
            <w:r w:rsidRPr="00453175">
              <w:t>Total</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w:t>
            </w:r>
            <w:r w:rsidR="0022593D">
              <w:t>,</w:t>
            </w:r>
            <w:r w:rsidRPr="00453175">
              <w:t>1400</w:t>
            </w:r>
            <w:r w:rsidR="0022593D">
              <w:t>,</w:t>
            </w:r>
            <w:r w:rsidRPr="00453175">
              <w:t>000</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142</w:t>
            </w:r>
            <w:r w:rsidR="0022593D">
              <w:t>,</w:t>
            </w:r>
            <w:r w:rsidRPr="00453175">
              <w:t>646</w:t>
            </w:r>
          </w:p>
        </w:tc>
        <w:tc>
          <w:tcPr>
            <w:tcW w:w="820" w:type="dxa"/>
            <w:tcBorders>
              <w:top w:val="nil"/>
              <w:left w:val="nil"/>
              <w:bottom w:val="single" w:sz="4" w:space="0" w:color="auto"/>
              <w:right w:val="single" w:sz="4" w:space="0" w:color="auto"/>
            </w:tcBorders>
            <w:shd w:val="clear" w:color="auto" w:fill="auto"/>
            <w:noWrap/>
            <w:vAlign w:val="center"/>
            <w:hideMark/>
          </w:tcPr>
          <w:p w:rsidR="0082444E" w:rsidRPr="00453175" w:rsidRDefault="0082444E" w:rsidP="00471B83">
            <w:pPr>
              <w:pStyle w:val="TableText"/>
              <w:jc w:val="center"/>
            </w:pPr>
            <w:r w:rsidRPr="00453175">
              <w:t>1.3%</w:t>
            </w:r>
          </w:p>
        </w:tc>
      </w:tr>
    </w:tbl>
    <w:p w:rsidR="0082444E" w:rsidRDefault="0082444E" w:rsidP="007E0558">
      <w:pPr>
        <w:pStyle w:val="AppendixHeading2"/>
        <w:spacing w:before="360"/>
      </w:pPr>
      <w:bookmarkStart w:id="167" w:name="_Toc326072157"/>
      <w:r w:rsidRPr="00B3235F">
        <w:t>Control</w:t>
      </w:r>
      <w:r>
        <w:t xml:space="preserve"> Group Analysis</w:t>
      </w:r>
      <w:bookmarkEnd w:id="167"/>
    </w:p>
    <w:p w:rsidR="0076248A" w:rsidRDefault="0076248A" w:rsidP="005C465D">
      <w:pPr>
        <w:pStyle w:val="BodyParagraph"/>
      </w:pPr>
      <w:r>
        <w:t>Across all of the 2011 event days, impacts from the control group analysis match reasonably well with the impacts from the individual customer regressions at PG&amp;E.  However, the variation in control group impacts is much wider than the variation in impacts from the individual customer regressions.  Impacts from the control group analysis range from 22.0 MW to 34.6 MW, while impacts from individual customer regressions range from 26.2 MW to 29.0 MW.</w:t>
      </w:r>
    </w:p>
    <w:p w:rsidR="00471B83" w:rsidRDefault="0076248A" w:rsidP="005C465D">
      <w:pPr>
        <w:pStyle w:val="BodyParagraph"/>
      </w:pPr>
      <w:r>
        <w:t>There are several potential explanations for the differences in impacts between the two methods.  The binning approach used in the control group analysis can overstate or understate impacts if the control group is imperfect or the difference-in-differences approach is imperfect.  Individual customer regressions also have drawbacks.  In the individual customer regressions, treatment variables are defined to capture how event impacts vary with temperature.  That is, regression-estimated impacts are only allowed to vary from event day to event day across the dimension of temperature.</w:t>
      </w:r>
      <w:r w:rsidR="003F11E9">
        <w:rPr>
          <w:rStyle w:val="FootnoteReference"/>
        </w:rPr>
        <w:footnoteReference w:id="25"/>
      </w:r>
      <w:r>
        <w:t xml:space="preserve">  Individual customer regressions will not pick up the idiosyncratic characteristics of individual event days that are not related to temperature.  Both approaches have drawbacks, but the relative consistency of results between the two methods supports the results of both analyses.</w:t>
      </w:r>
    </w:p>
    <w:p w:rsidR="00471B83" w:rsidRDefault="00471B83">
      <w:pPr>
        <w:rPr>
          <w:rFonts w:ascii="Arial" w:hAnsi="Arial"/>
          <w:sz w:val="20"/>
        </w:rPr>
      </w:pPr>
      <w:r>
        <w:br w:type="page"/>
      </w:r>
    </w:p>
    <w:p w:rsidR="0076248A" w:rsidRPr="004C2B5F" w:rsidRDefault="00432472" w:rsidP="005C465D">
      <w:pPr>
        <w:pStyle w:val="TableFigureCaption"/>
      </w:pPr>
      <w:r>
        <w:lastRenderedPageBreak/>
        <w:t>Table B-4</w:t>
      </w:r>
      <w:r w:rsidR="0076248A">
        <w:t>:</w:t>
      </w:r>
      <w:r w:rsidR="007E0558">
        <w:t xml:space="preserve"> </w:t>
      </w:r>
      <w:r w:rsidR="0076248A">
        <w:t>Estimated Ex Post Load Impacts by Event Day and Analysis Method</w:t>
      </w:r>
      <w:r w:rsidR="0076248A">
        <w:br/>
        <w:t>2011 PG&amp;E CPP Events</w:t>
      </w:r>
    </w:p>
    <w:tbl>
      <w:tblPr>
        <w:tblW w:w="9484" w:type="dxa"/>
        <w:jc w:val="center"/>
        <w:tblLook w:val="04A0"/>
      </w:tblPr>
      <w:tblGrid>
        <w:gridCol w:w="1426"/>
        <w:gridCol w:w="1247"/>
        <w:gridCol w:w="1326"/>
        <w:gridCol w:w="1297"/>
        <w:gridCol w:w="1326"/>
        <w:gridCol w:w="1443"/>
        <w:gridCol w:w="1493"/>
      </w:tblGrid>
      <w:tr w:rsidR="0076248A" w:rsidRPr="00BB1033" w:rsidTr="00BB1033">
        <w:trPr>
          <w:trHeight w:val="1020"/>
          <w:jc w:val="center"/>
        </w:trPr>
        <w:tc>
          <w:tcPr>
            <w:tcW w:w="1426"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Event Date</w:t>
            </w:r>
          </w:p>
        </w:tc>
        <w:tc>
          <w:tcPr>
            <w:tcW w:w="1194" w:type="dxa"/>
            <w:tcBorders>
              <w:top w:val="single" w:sz="4" w:space="0" w:color="auto"/>
              <w:left w:val="nil"/>
              <w:bottom w:val="single" w:sz="4" w:space="0" w:color="auto"/>
              <w:right w:val="single" w:sz="4" w:space="0" w:color="FFFFFF"/>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Number of Participants</w:t>
            </w:r>
          </w:p>
        </w:tc>
        <w:tc>
          <w:tcPr>
            <w:tcW w:w="1326" w:type="dxa"/>
            <w:tcBorders>
              <w:top w:val="single" w:sz="4" w:space="0" w:color="auto"/>
              <w:left w:val="nil"/>
              <w:bottom w:val="single" w:sz="4" w:space="0" w:color="auto"/>
              <w:right w:val="single" w:sz="4" w:space="0" w:color="FFFFFF"/>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 Load Impact -Regressions</w:t>
            </w:r>
          </w:p>
        </w:tc>
        <w:tc>
          <w:tcPr>
            <w:tcW w:w="1276" w:type="dxa"/>
            <w:tcBorders>
              <w:top w:val="single" w:sz="4" w:space="0" w:color="auto"/>
              <w:left w:val="nil"/>
              <w:bottom w:val="single" w:sz="4" w:space="0" w:color="auto"/>
              <w:right w:val="single" w:sz="4" w:space="0" w:color="FFFFFF"/>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Aggregate Load Impact - Regressions (MW)</w:t>
            </w:r>
          </w:p>
        </w:tc>
        <w:tc>
          <w:tcPr>
            <w:tcW w:w="1326" w:type="dxa"/>
            <w:tcBorders>
              <w:top w:val="single" w:sz="4" w:space="0" w:color="auto"/>
              <w:left w:val="nil"/>
              <w:bottom w:val="single" w:sz="4" w:space="0" w:color="auto"/>
              <w:right w:val="single" w:sz="4" w:space="0" w:color="FFFFFF"/>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 Load Impact -Control Group</w:t>
            </w:r>
          </w:p>
        </w:tc>
        <w:tc>
          <w:tcPr>
            <w:tcW w:w="1443" w:type="dxa"/>
            <w:tcBorders>
              <w:top w:val="single" w:sz="4" w:space="0" w:color="auto"/>
              <w:left w:val="nil"/>
              <w:bottom w:val="single" w:sz="4" w:space="0" w:color="auto"/>
              <w:right w:val="single" w:sz="4" w:space="0" w:color="FFFFFF"/>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Aggregate Load Impact - Control Group (MW)</w:t>
            </w:r>
          </w:p>
        </w:tc>
        <w:tc>
          <w:tcPr>
            <w:tcW w:w="1493" w:type="dxa"/>
            <w:tcBorders>
              <w:top w:val="single" w:sz="4" w:space="0" w:color="auto"/>
              <w:left w:val="nil"/>
              <w:bottom w:val="single" w:sz="4" w:space="0" w:color="auto"/>
              <w:right w:val="single" w:sz="4" w:space="0" w:color="auto"/>
            </w:tcBorders>
            <w:shd w:val="clear" w:color="000000" w:fill="1F497D" w:themeFill="text2"/>
            <w:vAlign w:val="center"/>
            <w:hideMark/>
          </w:tcPr>
          <w:p w:rsidR="0076248A" w:rsidRPr="00BB1033" w:rsidRDefault="0076248A" w:rsidP="00471B83">
            <w:pPr>
              <w:pStyle w:val="TableHeader"/>
              <w:rPr>
                <w:sz w:val="18"/>
                <w:szCs w:val="18"/>
              </w:rPr>
            </w:pPr>
            <w:r w:rsidRPr="00BB1033">
              <w:rPr>
                <w:sz w:val="18"/>
                <w:szCs w:val="18"/>
              </w:rPr>
              <w:t>Average Temperature During Event (°F)</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6/21/2011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1,726</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5.7%</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26.7</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5.9%</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28.0</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92.8</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7/5/2011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1,729</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6.0%</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27.5</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7.1%</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32.6</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90.2</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7/29/2011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1,752</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6.2%</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26.2</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5.1%</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22.0</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82.1</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8/23/2011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1,753</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5.9%</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29.0</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5.7%</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28.3</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90.0</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8/29/2011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1,757</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5.9%</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27.2</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6.6%</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31.7</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82.4</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9/2/2011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1,753</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6.2%</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28.8</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7.3%</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34.6</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86.5</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9/6/2011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1,760</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5.7%</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27.7</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5.0%</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24.1</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87.2</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9/7/2011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1,755</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5.8%</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28.7</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4.5%</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22.1</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91.0</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9/20/2011</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1,761</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5.6%</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28.3</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4.9%</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25.2</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91.2</w:t>
            </w:r>
          </w:p>
        </w:tc>
      </w:tr>
      <w:tr w:rsidR="0076248A" w:rsidRPr="001E5F6E" w:rsidTr="00BB1033">
        <w:trPr>
          <w:trHeight w:val="300"/>
          <w:jc w:val="center"/>
        </w:trPr>
        <w:tc>
          <w:tcPr>
            <w:tcW w:w="1426" w:type="dxa"/>
            <w:tcBorders>
              <w:top w:val="nil"/>
              <w:left w:val="single" w:sz="4" w:space="0" w:color="auto"/>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Average Event</w:t>
            </w:r>
          </w:p>
        </w:tc>
        <w:tc>
          <w:tcPr>
            <w:tcW w:w="1194" w:type="dxa"/>
            <w:tcBorders>
              <w:top w:val="nil"/>
              <w:left w:val="nil"/>
              <w:bottom w:val="single" w:sz="4" w:space="0" w:color="auto"/>
              <w:right w:val="single" w:sz="4" w:space="0" w:color="auto"/>
            </w:tcBorders>
            <w:shd w:val="clear" w:color="auto" w:fill="auto"/>
            <w:noWrap/>
            <w:vAlign w:val="center"/>
            <w:hideMark/>
          </w:tcPr>
          <w:p w:rsidR="0076248A" w:rsidRPr="001E5F6E" w:rsidRDefault="0076248A" w:rsidP="00471B83">
            <w:pPr>
              <w:pStyle w:val="TableText"/>
              <w:jc w:val="center"/>
            </w:pPr>
            <w:r w:rsidRPr="001E5F6E">
              <w:t>1,750</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5.9%</w:t>
            </w:r>
          </w:p>
        </w:tc>
        <w:tc>
          <w:tcPr>
            <w:tcW w:w="127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27.8</w:t>
            </w:r>
          </w:p>
        </w:tc>
        <w:tc>
          <w:tcPr>
            <w:tcW w:w="1326"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5.8%</w:t>
            </w:r>
          </w:p>
        </w:tc>
        <w:tc>
          <w:tcPr>
            <w:tcW w:w="144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pPr>
            <w:r w:rsidRPr="00471B83">
              <w:t>27.6</w:t>
            </w:r>
          </w:p>
        </w:tc>
        <w:tc>
          <w:tcPr>
            <w:tcW w:w="1493" w:type="dxa"/>
            <w:tcBorders>
              <w:top w:val="nil"/>
              <w:left w:val="nil"/>
              <w:bottom w:val="single" w:sz="4" w:space="0" w:color="auto"/>
              <w:right w:val="single" w:sz="4" w:space="0" w:color="auto"/>
            </w:tcBorders>
            <w:shd w:val="clear" w:color="auto" w:fill="auto"/>
            <w:noWrap/>
            <w:vAlign w:val="center"/>
            <w:hideMark/>
          </w:tcPr>
          <w:p w:rsidR="0076248A" w:rsidRPr="00471B83" w:rsidRDefault="0076248A" w:rsidP="00471B83">
            <w:pPr>
              <w:pStyle w:val="TableText"/>
              <w:jc w:val="center"/>
              <w:rPr>
                <w:szCs w:val="20"/>
              </w:rPr>
            </w:pPr>
            <w:r w:rsidRPr="00471B83">
              <w:rPr>
                <w:szCs w:val="20"/>
              </w:rPr>
              <w:t>88.1</w:t>
            </w:r>
          </w:p>
        </w:tc>
      </w:tr>
    </w:tbl>
    <w:p w:rsidR="0082444E" w:rsidRDefault="00432472" w:rsidP="005C465D">
      <w:pPr>
        <w:pStyle w:val="BodyParaAfterTableFigure"/>
      </w:pPr>
      <w:r>
        <w:t>Figure B-2</w:t>
      </w:r>
      <w:r w:rsidR="0082444E">
        <w:t xml:space="preserve"> </w:t>
      </w:r>
      <w:r w:rsidR="0082444E" w:rsidRPr="00104C07">
        <w:t>shows the average control and treatment customer usage patterns on days similar to event days.  The control group usage patterns were adjusted to account for systemic differences between opt-out TOU and CPP customers.  Control and treatment loads under a variety of weather patterns were compared.  The final control group loads are net of consistent biases observed between opt-out TOU and CPP customers on days with similar weather profil</w:t>
      </w:r>
      <w:r w:rsidR="0082444E">
        <w:t>es.  On average, there is a -0.9</w:t>
      </w:r>
      <w:r w:rsidR="0082444E" w:rsidRPr="00104C07">
        <w:t>% difference between the adjusted control and treatment group loads during event-like hours.  The maximum</w:t>
      </w:r>
      <w:r w:rsidR="0082444E">
        <w:t xml:space="preserve"> bias</w:t>
      </w:r>
      <w:r w:rsidR="0082444E" w:rsidRPr="00104C07">
        <w:t xml:space="preserve"> observed at any point for thi</w:t>
      </w:r>
      <w:r w:rsidR="0082444E">
        <w:t>s average event-like day is -1.3</w:t>
      </w:r>
      <w:r w:rsidR="0082444E" w:rsidRPr="00104C07">
        <w:t>%.</w:t>
      </w:r>
    </w:p>
    <w:p w:rsidR="0082444E" w:rsidRDefault="00432472" w:rsidP="005C465D">
      <w:pPr>
        <w:pStyle w:val="TableFigureCaption"/>
      </w:pPr>
      <w:r>
        <w:t>Figure B-2</w:t>
      </w:r>
      <w:r w:rsidR="0082444E">
        <w:t>:</w:t>
      </w:r>
      <w:r w:rsidR="007E0558">
        <w:t xml:space="preserve"> </w:t>
      </w:r>
      <w:r w:rsidR="0082444E">
        <w:t>Average PG&amp;E CPP and Opt-out TOU Customer Usage</w:t>
      </w:r>
      <w:r w:rsidR="0082444E" w:rsidRPr="00C95498">
        <w:br/>
      </w:r>
      <w:r w:rsidR="0082444E">
        <w:t>Control and Treatment Groups on Days Similar to Event Days</w:t>
      </w:r>
    </w:p>
    <w:p w:rsidR="0082444E" w:rsidRDefault="0082444E" w:rsidP="007E0558">
      <w:pPr>
        <w:pStyle w:val="BodyParagraph"/>
        <w:jc w:val="center"/>
      </w:pPr>
      <w:r w:rsidRPr="00A2376A">
        <w:rPr>
          <w:noProof/>
        </w:rPr>
        <w:drawing>
          <wp:inline distT="0" distB="0" distL="0" distR="0">
            <wp:extent cx="4678757" cy="2737104"/>
            <wp:effectExtent l="19050" t="0" r="26593" b="6096"/>
            <wp:docPr id="2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2444E" w:rsidRPr="00EE4D31" w:rsidRDefault="0082444E" w:rsidP="005C465D">
      <w:pPr>
        <w:pStyle w:val="BodyParaAfterTableFigure"/>
      </w:pPr>
      <w:r>
        <w:lastRenderedPageBreak/>
        <w:t>Figure B-3</w:t>
      </w:r>
      <w:r w:rsidRPr="00104C07">
        <w:t xml:space="preserve"> show</w:t>
      </w:r>
      <w:r>
        <w:t>s the event day impact across P</w:t>
      </w:r>
      <w:r w:rsidRPr="00104C07">
        <w:t>G&amp;E’s CPP popula</w:t>
      </w:r>
      <w:r>
        <w:t>tion for the average</w:t>
      </w:r>
      <w:r w:rsidRPr="00104C07">
        <w:t xml:space="preserve"> 2011 CPP event. </w:t>
      </w:r>
      <w:r>
        <w:t xml:space="preserve"> During the event hours of 2 PM</w:t>
      </w:r>
      <w:r w:rsidRPr="00104C07">
        <w:t xml:space="preserve"> to 6 PM, the control group analysis shows </w:t>
      </w:r>
      <w:r>
        <w:t>an average event impact of 15.8 kW (5.8%) for the average 2011 PG&amp;E CPP</w:t>
      </w:r>
      <w:r w:rsidRPr="00104C07">
        <w:t xml:space="preserve"> event.  The impacts from the control group analysis are</w:t>
      </w:r>
      <w:r>
        <w:t xml:space="preserve"> very</w:t>
      </w:r>
      <w:r w:rsidRPr="00104C07">
        <w:t xml:space="preserve"> similar to those from the individual customer regressions for </w:t>
      </w:r>
      <w:r>
        <w:t>the average event</w:t>
      </w:r>
      <w:r w:rsidRPr="00104C07">
        <w:t>.</w:t>
      </w:r>
    </w:p>
    <w:p w:rsidR="0082444E" w:rsidRDefault="0082444E" w:rsidP="005C465D">
      <w:pPr>
        <w:pStyle w:val="TableFigureCaption"/>
      </w:pPr>
      <w:r>
        <w:t>Figure B-3:</w:t>
      </w:r>
      <w:r w:rsidR="007E0558">
        <w:t xml:space="preserve"> </w:t>
      </w:r>
      <w:r>
        <w:t>Average P</w:t>
      </w:r>
      <w:r w:rsidRPr="00256DA7">
        <w:t>G&amp;E CPP and Opt-out TOU Customer Usage</w:t>
      </w:r>
      <w:r w:rsidRPr="00F36417">
        <w:br/>
      </w:r>
      <w:r>
        <w:t xml:space="preserve">Average 2011 CPP </w:t>
      </w:r>
      <w:r w:rsidRPr="00121574">
        <w:t>Event</w:t>
      </w:r>
    </w:p>
    <w:p w:rsidR="0082444E" w:rsidRPr="00A2376A" w:rsidRDefault="0082444E" w:rsidP="007E0558">
      <w:pPr>
        <w:pStyle w:val="BodyParagraph"/>
        <w:jc w:val="center"/>
      </w:pPr>
      <w:r w:rsidRPr="00A2376A">
        <w:rPr>
          <w:noProof/>
        </w:rPr>
        <w:drawing>
          <wp:inline distT="0" distB="0" distL="0" distR="0">
            <wp:extent cx="4678757" cy="2737104"/>
            <wp:effectExtent l="19050" t="0" r="26593" b="6096"/>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2444E" w:rsidRPr="00C95498" w:rsidRDefault="0082444E" w:rsidP="007E0558">
      <w:pPr>
        <w:pStyle w:val="AppendixHeading2"/>
        <w:spacing w:before="360"/>
      </w:pPr>
      <w:bookmarkStart w:id="168" w:name="_Toc257716007"/>
      <w:bookmarkStart w:id="169" w:name="_Toc289178064"/>
      <w:bookmarkStart w:id="170" w:name="_Toc326072158"/>
      <w:r>
        <w:t>In-</w:t>
      </w:r>
      <w:r w:rsidR="005550E3">
        <w:t>s</w:t>
      </w:r>
      <w:r>
        <w:t xml:space="preserve">ample Precision and </w:t>
      </w:r>
      <w:r w:rsidRPr="00C95498">
        <w:t>Goodness</w:t>
      </w:r>
      <w:r w:rsidR="005550E3">
        <w:t>-</w:t>
      </w:r>
      <w:r w:rsidRPr="00C95498">
        <w:t>of</w:t>
      </w:r>
      <w:r w:rsidR="005550E3">
        <w:t>-f</w:t>
      </w:r>
      <w:r w:rsidRPr="00C95498">
        <w:t>it Measures</w:t>
      </w:r>
      <w:bookmarkEnd w:id="168"/>
      <w:bookmarkEnd w:id="169"/>
      <w:bookmarkEnd w:id="170"/>
    </w:p>
    <w:p w:rsidR="0082444E" w:rsidRDefault="001A54C9" w:rsidP="005C465D">
      <w:pPr>
        <w:pStyle w:val="BodyParagraph"/>
      </w:pPr>
      <w:r>
        <w:t>Table B-4</w:t>
      </w:r>
      <w:r w:rsidR="0082444E" w:rsidRPr="00C95498">
        <w:t xml:space="preserve"> summarizes the amount of variation explained by the regression model for the average c</w:t>
      </w:r>
      <w:r w:rsidR="0082444E">
        <w:t>ustomer in specific segments.  D</w:t>
      </w:r>
      <w:r w:rsidR="0082444E" w:rsidRPr="00C95498">
        <w:t>epending on the specific group ass</w:t>
      </w:r>
      <w:r w:rsidR="0082444E">
        <w:t>essed, between 79</w:t>
      </w:r>
      <w:r w:rsidR="00357EC8">
        <w:t>%</w:t>
      </w:r>
      <w:r w:rsidR="0082444E">
        <w:t xml:space="preserve"> and 99%</w:t>
      </w:r>
      <w:r w:rsidR="0082444E" w:rsidRPr="00C95498">
        <w:t xml:space="preserve"> of the variation is explained.  Customers in the Agriculture, Mining &amp; Construction industry ha</w:t>
      </w:r>
      <w:r w:rsidR="0082444E">
        <w:t>ve the lowest R-squared value at 0.79</w:t>
      </w:r>
      <w:r w:rsidR="0082444E" w:rsidRPr="00C95498">
        <w:t>.  Barri</w:t>
      </w:r>
      <w:r w:rsidR="0082444E">
        <w:t>ng</w:t>
      </w:r>
      <w:r>
        <w:t xml:space="preserve"> Wholesale, Transport &amp; O</w:t>
      </w:r>
      <w:r w:rsidR="0082444E">
        <w:t>ther U</w:t>
      </w:r>
      <w:r w:rsidR="0082444E" w:rsidRPr="00C95498">
        <w:t>tilities, in the other</w:t>
      </w:r>
      <w:r w:rsidR="0082444E">
        <w:t xml:space="preserve"> industries and LCAs 90%</w:t>
      </w:r>
      <w:r w:rsidR="0082444E" w:rsidRPr="00C95498">
        <w:t xml:space="preserve"> or more of the variation in hourly energy use is explained</w:t>
      </w:r>
      <w:r w:rsidR="0082444E">
        <w:t>.</w:t>
      </w:r>
    </w:p>
    <w:p w:rsidR="0082444E" w:rsidRPr="00C95498" w:rsidRDefault="001A54C9" w:rsidP="005C465D">
      <w:pPr>
        <w:pStyle w:val="TableFigureCaption"/>
      </w:pPr>
      <w:r>
        <w:t>Table B-4</w:t>
      </w:r>
      <w:r w:rsidR="0082444E">
        <w:t>:</w:t>
      </w:r>
      <w:r w:rsidR="007E0558">
        <w:t xml:space="preserve"> </w:t>
      </w:r>
      <w:r w:rsidR="0082444E" w:rsidRPr="00C95498">
        <w:t>R-squared Values for the Average Customer by Segment</w:t>
      </w:r>
    </w:p>
    <w:tbl>
      <w:tblPr>
        <w:tblW w:w="4342" w:type="dxa"/>
        <w:jc w:val="center"/>
        <w:tblLook w:val="04A0"/>
      </w:tblPr>
      <w:tblGrid>
        <w:gridCol w:w="3080"/>
        <w:gridCol w:w="1262"/>
      </w:tblGrid>
      <w:tr w:rsidR="0082444E" w:rsidRPr="00F70068" w:rsidTr="007E0558">
        <w:trPr>
          <w:trHeight w:val="300"/>
          <w:tblHeader/>
          <w:jc w:val="center"/>
        </w:trPr>
        <w:tc>
          <w:tcPr>
            <w:tcW w:w="3080" w:type="dxa"/>
            <w:tcBorders>
              <w:top w:val="single" w:sz="4" w:space="0" w:color="auto"/>
              <w:left w:val="single" w:sz="4" w:space="0" w:color="auto"/>
              <w:bottom w:val="single" w:sz="4" w:space="0" w:color="auto"/>
              <w:right w:val="single" w:sz="4" w:space="0" w:color="FFFFFF"/>
            </w:tcBorders>
            <w:shd w:val="clear" w:color="000000" w:fill="1F497D" w:themeFill="text2"/>
            <w:noWrap/>
            <w:vAlign w:val="bottom"/>
            <w:hideMark/>
          </w:tcPr>
          <w:p w:rsidR="0082444E" w:rsidRPr="00F70068" w:rsidRDefault="0082444E" w:rsidP="00471B83">
            <w:pPr>
              <w:pStyle w:val="TableHeader"/>
            </w:pPr>
            <w:r w:rsidRPr="00F70068">
              <w:t>Customer Segment</w:t>
            </w:r>
          </w:p>
        </w:tc>
        <w:tc>
          <w:tcPr>
            <w:tcW w:w="1262" w:type="dxa"/>
            <w:tcBorders>
              <w:top w:val="single" w:sz="4" w:space="0" w:color="auto"/>
              <w:left w:val="nil"/>
              <w:bottom w:val="single" w:sz="4" w:space="0" w:color="auto"/>
              <w:right w:val="single" w:sz="4" w:space="0" w:color="auto"/>
            </w:tcBorders>
            <w:shd w:val="clear" w:color="000000" w:fill="1F497D" w:themeFill="text2"/>
            <w:noWrap/>
            <w:vAlign w:val="bottom"/>
            <w:hideMark/>
          </w:tcPr>
          <w:p w:rsidR="0082444E" w:rsidRPr="00F70068" w:rsidRDefault="0082444E" w:rsidP="00471B83">
            <w:pPr>
              <w:pStyle w:val="TableHeader"/>
            </w:pPr>
            <w:r w:rsidRPr="00F70068">
              <w:t>R-squared</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All Customers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0.96</w:t>
            </w:r>
          </w:p>
        </w:tc>
      </w:tr>
      <w:tr w:rsidR="0082444E" w:rsidRPr="00F70068" w:rsidTr="00BB1033">
        <w:trPr>
          <w:trHeight w:val="300"/>
          <w:jc w:val="center"/>
        </w:trPr>
        <w:tc>
          <w:tcPr>
            <w:tcW w:w="4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rPr>
                <w:b/>
                <w:bCs/>
              </w:rPr>
            </w:pPr>
            <w:r w:rsidRPr="00F70068">
              <w:rPr>
                <w:b/>
                <w:bCs/>
              </w:rPr>
              <w:t>Industry</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Agriculture, Mining &amp; Construction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0.79</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Manufacturing</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0.93</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Wholesale, Transport, other utilities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0.83</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Retail stores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0.99</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Offices, Hotels, Finance, Services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0.98</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Schools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0.90</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Institutional/Government</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0.98</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Other or undefined</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0.93</w:t>
            </w:r>
          </w:p>
        </w:tc>
      </w:tr>
      <w:tr w:rsidR="0082444E" w:rsidRPr="00F70068" w:rsidTr="00BB1033">
        <w:trPr>
          <w:trHeight w:val="300"/>
          <w:jc w:val="center"/>
        </w:trPr>
        <w:tc>
          <w:tcPr>
            <w:tcW w:w="4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rPr>
                <w:b/>
                <w:bCs/>
              </w:rPr>
            </w:pPr>
            <w:r w:rsidRPr="00F70068">
              <w:rPr>
                <w:b/>
                <w:bCs/>
              </w:rPr>
              <w:lastRenderedPageBreak/>
              <w:t>Local Capacity Area</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Greater Bay Area</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0.97</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Greater Fresno</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0.92</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Kern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0.95</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Northern Coast</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0.94</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Sierra</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0.92</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Stockton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0.93</w:t>
            </w:r>
          </w:p>
        </w:tc>
      </w:tr>
      <w:tr w:rsidR="0082444E" w:rsidRPr="00F70068"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F70068" w:rsidRDefault="0082444E" w:rsidP="00471B83">
            <w:pPr>
              <w:pStyle w:val="TableText"/>
            </w:pPr>
            <w:r w:rsidRPr="00F70068">
              <w:t>Other</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F70068" w:rsidRDefault="0082444E" w:rsidP="00471B83">
            <w:pPr>
              <w:pStyle w:val="TableText"/>
              <w:jc w:val="center"/>
            </w:pPr>
            <w:r w:rsidRPr="00F70068">
              <w:t>0.92</w:t>
            </w:r>
          </w:p>
        </w:tc>
      </w:tr>
    </w:tbl>
    <w:p w:rsidR="0082444E" w:rsidRPr="00C95498" w:rsidRDefault="0082444E" w:rsidP="005C465D">
      <w:pPr>
        <w:pStyle w:val="BodyParaAfterTableFigure"/>
      </w:pPr>
      <w:r>
        <w:t>Figure B-4 shows how well the aggregate model predicts across various temperatures.  T</w:t>
      </w:r>
      <w:r w:rsidRPr="00C95498">
        <w:t>he average error in the temp</w:t>
      </w:r>
      <w:r>
        <w:t>erature range between 70 and 99</w:t>
      </w:r>
      <w:r>
        <w:rPr>
          <w:rFonts w:cs="Arial"/>
        </w:rPr>
        <w:t>°</w:t>
      </w:r>
      <w:r>
        <w:t>F is equal to -.65%</w:t>
      </w:r>
      <w:r w:rsidRPr="00C95498">
        <w:t xml:space="preserve">.  </w:t>
      </w:r>
      <w:r>
        <w:t>On average t</w:t>
      </w:r>
      <w:r w:rsidRPr="00C95498">
        <w:t xml:space="preserve">he model </w:t>
      </w:r>
      <w:r>
        <w:t>predicts just as well at higher temperatures.  At 95</w:t>
      </w:r>
      <w:r>
        <w:rPr>
          <w:rFonts w:cs="Arial"/>
        </w:rPr>
        <w:t>°</w:t>
      </w:r>
      <w:r>
        <w:t>F</w:t>
      </w:r>
      <w:r w:rsidRPr="00C95498">
        <w:t xml:space="preserve"> an</w:t>
      </w:r>
      <w:r>
        <w:t>d above the average error is 0.48%</w:t>
      </w:r>
      <w:r w:rsidRPr="00C95498">
        <w:t>.</w:t>
      </w:r>
    </w:p>
    <w:p w:rsidR="0082444E" w:rsidRPr="00C95498" w:rsidRDefault="0082444E" w:rsidP="005C465D">
      <w:pPr>
        <w:pStyle w:val="TableFigureCaption"/>
      </w:pPr>
      <w:r>
        <w:t>Figure B-4:</w:t>
      </w:r>
      <w:r w:rsidR="007E0558">
        <w:t xml:space="preserve"> </w:t>
      </w:r>
      <w:r w:rsidRPr="00C95498">
        <w:t>Actual v. Predicted Aggregate Load by Temperature for PG&amp;E CPP Customers</w:t>
      </w:r>
    </w:p>
    <w:p w:rsidR="0082444E" w:rsidRPr="00C95498" w:rsidRDefault="0082444E" w:rsidP="0082444E">
      <w:pPr>
        <w:jc w:val="center"/>
        <w:rPr>
          <w:rFonts w:ascii="Arial" w:hAnsi="Arial" w:cs="Arial"/>
        </w:rPr>
      </w:pPr>
      <w:r w:rsidRPr="00F70068">
        <w:rPr>
          <w:rFonts w:ascii="Arial" w:hAnsi="Arial" w:cs="Arial"/>
          <w:noProof/>
        </w:rPr>
        <w:drawing>
          <wp:inline distT="0" distB="0" distL="0" distR="0">
            <wp:extent cx="5722286" cy="2737104"/>
            <wp:effectExtent l="19050" t="0" r="11764" b="6096"/>
            <wp:docPr id="2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1B83" w:rsidRDefault="00471B83">
      <w:r>
        <w:br w:type="page"/>
      </w:r>
    </w:p>
    <w:p w:rsidR="0082444E" w:rsidRDefault="0082444E" w:rsidP="005C465D">
      <w:pPr>
        <w:pStyle w:val="AppendixHeading"/>
      </w:pPr>
      <w:bookmarkStart w:id="171" w:name="_Toc326072159"/>
      <w:r>
        <w:lastRenderedPageBreak/>
        <w:t>SCE Validity Assessment</w:t>
      </w:r>
      <w:bookmarkEnd w:id="171"/>
    </w:p>
    <w:p w:rsidR="0082444E" w:rsidRPr="00462B2D" w:rsidRDefault="0082444E" w:rsidP="005C465D">
      <w:pPr>
        <w:pStyle w:val="BodyParagraph"/>
      </w:pPr>
      <w:r>
        <w:t xml:space="preserve">This </w:t>
      </w:r>
      <w:r w:rsidR="00753F45">
        <w:t>section discusses the validation analysis that was done for the SCE evaluation.</w:t>
      </w:r>
    </w:p>
    <w:p w:rsidR="0082444E" w:rsidRDefault="0082444E" w:rsidP="007E0558">
      <w:pPr>
        <w:pStyle w:val="AppendixHeading2"/>
      </w:pPr>
      <w:bookmarkStart w:id="172" w:name="_Toc326072160"/>
      <w:r>
        <w:t>Out-of-sample Tests</w:t>
      </w:r>
      <w:bookmarkEnd w:id="172"/>
    </w:p>
    <w:p w:rsidR="0082444E" w:rsidRPr="00C95498" w:rsidRDefault="0082444E" w:rsidP="005C465D">
      <w:pPr>
        <w:pStyle w:val="BodyParagraph"/>
      </w:pPr>
      <w:r w:rsidRPr="00C95498">
        <w:t>The o</w:t>
      </w:r>
      <w:r>
        <w:t>ut-of-sample test results for SC</w:t>
      </w:r>
      <w:r w:rsidRPr="00C95498">
        <w:t xml:space="preserve">E show </w:t>
      </w:r>
      <w:r>
        <w:t>the bias</w:t>
      </w:r>
      <w:r w:rsidRPr="00C95498">
        <w:t xml:space="preserve"> in the reference load predictions on days </w:t>
      </w:r>
      <w:r>
        <w:t>similar to event days.  Figure C-1</w:t>
      </w:r>
      <w:r w:rsidRPr="00C95498">
        <w:t xml:space="preserve"> compares the actual and predicted load for each hour for the five false event days over which the regression specification</w:t>
      </w:r>
      <w:r>
        <w:t>s were tested.  On average, there is -1.0</w:t>
      </w:r>
      <w:r w:rsidRPr="00C95498">
        <w:t xml:space="preserve">% </w:t>
      </w:r>
      <w:proofErr w:type="gramStart"/>
      <w:r w:rsidRPr="00C95498">
        <w:t>bias</w:t>
      </w:r>
      <w:proofErr w:type="gramEnd"/>
      <w:r w:rsidRPr="00C95498">
        <w:t xml:space="preserve"> during event</w:t>
      </w:r>
      <w:r>
        <w:t>-like</w:t>
      </w:r>
      <w:r w:rsidRPr="00C95498">
        <w:t xml:space="preserve"> hours an</w:t>
      </w:r>
      <w:r>
        <w:t>d never more than -1.3% bias during event-like hours</w:t>
      </w:r>
      <w:r w:rsidRPr="00C95498">
        <w:t xml:space="preserve">.  </w:t>
      </w:r>
      <w:r>
        <w:t xml:space="preserve">The </w:t>
      </w:r>
      <w:r w:rsidRPr="00C95498">
        <w:t xml:space="preserve">model </w:t>
      </w:r>
      <w:r>
        <w:t>exhibits more error in the mid-morning hours.</w:t>
      </w:r>
      <w:r w:rsidRPr="008A3D57">
        <w:t xml:space="preserve"> </w:t>
      </w:r>
      <w:r>
        <w:t xml:space="preserve"> The bias calculated for the out-of-sample tests indicates that the regression produces predictions with about 1% downward bias on the event-like days selected for the out-of-sample tests.  It would be reasonable to conclude that the reported ex post load impacts are biased in a similar direction and by a similar amount, though a visual check of the ex post results suggests that the model does better than this on the ex post days.  As mentioned above, the regression specification is chosen based on the ex post results, the ex ante results and the validation assessments.  While models were tested that showed less bias for the out-of-sample tests, these models did not perform as well across all of the criteria used for model selection.</w:t>
      </w:r>
    </w:p>
    <w:p w:rsidR="0082444E" w:rsidRDefault="0082444E" w:rsidP="005C465D">
      <w:pPr>
        <w:pStyle w:val="TableFigureCaption"/>
      </w:pPr>
      <w:r>
        <w:t>Figure C-1:</w:t>
      </w:r>
      <w:r w:rsidR="007E0558">
        <w:t xml:space="preserve"> </w:t>
      </w:r>
      <w:r w:rsidRPr="00C95498">
        <w:t>Actual v. Predicted A</w:t>
      </w:r>
      <w:r>
        <w:t>verage Load by Hour for SC</w:t>
      </w:r>
      <w:r w:rsidRPr="00C95498">
        <w:t>E CPP Customers</w:t>
      </w:r>
      <w:r w:rsidRPr="00C95498">
        <w:br/>
        <w:t>False Event Days</w:t>
      </w:r>
    </w:p>
    <w:p w:rsidR="0082444E" w:rsidRDefault="00A93ABE" w:rsidP="007E0558">
      <w:pPr>
        <w:pStyle w:val="BodyParagraph"/>
        <w:jc w:val="center"/>
      </w:pPr>
      <w:r w:rsidRPr="00A93ABE">
        <w:rPr>
          <w:noProof/>
        </w:rPr>
        <w:drawing>
          <wp:inline distT="0" distB="0" distL="0" distR="0">
            <wp:extent cx="5716982" cy="2737104"/>
            <wp:effectExtent l="19050" t="0" r="17068" b="6096"/>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2444E" w:rsidRDefault="0082444E" w:rsidP="005C465D">
      <w:pPr>
        <w:pStyle w:val="BodyParaAfterTableFigure"/>
      </w:pPr>
      <w:r>
        <w:t>Table C</w:t>
      </w:r>
      <w:r w:rsidRPr="00EF6BB1">
        <w:t xml:space="preserve">-1 shows the average bias in the reference </w:t>
      </w:r>
      <w:r w:rsidRPr="00462B2D">
        <w:t>load</w:t>
      </w:r>
      <w:r w:rsidRPr="00EF6BB1">
        <w:t xml:space="preserve"> predictions during</w:t>
      </w:r>
      <w:r>
        <w:t xml:space="preserve"> event-like hours by industry.  D</w:t>
      </w:r>
      <w:r w:rsidRPr="00EF6BB1">
        <w:t xml:space="preserve">epending on the specific group assessed, there is </w:t>
      </w:r>
      <w:r>
        <w:t>between -3.8% and 0.7</w:t>
      </w:r>
      <w:r w:rsidRPr="00EF6BB1">
        <w:t xml:space="preserve">% bias.  Table </w:t>
      </w:r>
      <w:r>
        <w:t>C-1 also shows the percent of SC</w:t>
      </w:r>
      <w:r w:rsidRPr="00EF6BB1">
        <w:t>E’s CPP population within</w:t>
      </w:r>
      <w:r>
        <w:t xml:space="preserve"> each industry </w:t>
      </w:r>
      <w:r w:rsidR="00A93ABE">
        <w:t>segment</w:t>
      </w:r>
      <w:r>
        <w:t>.  C</w:t>
      </w:r>
      <w:r w:rsidRPr="00EF6BB1">
        <w:t xml:space="preserve">ustomers in the </w:t>
      </w:r>
      <w:proofErr w:type="gramStart"/>
      <w:r>
        <w:t>Other</w:t>
      </w:r>
      <w:proofErr w:type="gramEnd"/>
      <w:r>
        <w:t xml:space="preserve"> or Unknown segment</w:t>
      </w:r>
      <w:r w:rsidRPr="00EF6BB1">
        <w:t xml:space="preserve"> show </w:t>
      </w:r>
      <w:r>
        <w:t>the most bias during</w:t>
      </w:r>
      <w:r w:rsidRPr="00EF6BB1">
        <w:t xml:space="preserve"> event</w:t>
      </w:r>
      <w:r>
        <w:t xml:space="preserve">-like hours, however, they make up such a small part of the overall population that it is not a cause for concern. </w:t>
      </w:r>
      <w:r w:rsidR="001A54C9">
        <w:t xml:space="preserve"> Across the other industry segment</w:t>
      </w:r>
      <w:r>
        <w:t xml:space="preserve">s, there is absolute bias of 2% or less during event-like hours. </w:t>
      </w:r>
      <w:r>
        <w:br w:type="page"/>
      </w:r>
    </w:p>
    <w:p w:rsidR="0082444E" w:rsidRDefault="0082444E" w:rsidP="005C465D">
      <w:pPr>
        <w:pStyle w:val="TableFigureCaption"/>
      </w:pPr>
      <w:r>
        <w:lastRenderedPageBreak/>
        <w:t>Table</w:t>
      </w:r>
      <w:r w:rsidRPr="00462B2D">
        <w:t xml:space="preserve"> </w:t>
      </w:r>
      <w:r>
        <w:t>C-1:</w:t>
      </w:r>
      <w:r w:rsidR="007E0558">
        <w:t xml:space="preserve"> </w:t>
      </w:r>
      <w:r w:rsidRPr="00C95498">
        <w:t xml:space="preserve">Actual v. </w:t>
      </w:r>
      <w:r>
        <w:t>Predicted Average Load by Industry for SC</w:t>
      </w:r>
      <w:r w:rsidRPr="00C95498">
        <w:t>E CPP Customers</w:t>
      </w:r>
      <w:r w:rsidRPr="00C95498">
        <w:br/>
        <w:t xml:space="preserve">False Event </w:t>
      </w:r>
      <w:r>
        <w:t>Hours</w:t>
      </w:r>
    </w:p>
    <w:tbl>
      <w:tblPr>
        <w:tblW w:w="9740" w:type="dxa"/>
        <w:jc w:val="center"/>
        <w:tblLook w:val="04A0"/>
      </w:tblPr>
      <w:tblGrid>
        <w:gridCol w:w="3740"/>
        <w:gridCol w:w="1576"/>
        <w:gridCol w:w="1360"/>
        <w:gridCol w:w="1360"/>
        <w:gridCol w:w="720"/>
        <w:gridCol w:w="984"/>
      </w:tblGrid>
      <w:tr w:rsidR="0082444E" w:rsidRPr="00161BD9" w:rsidTr="00BB1033">
        <w:trPr>
          <w:trHeight w:val="300"/>
          <w:jc w:val="center"/>
        </w:trPr>
        <w:tc>
          <w:tcPr>
            <w:tcW w:w="374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Industry</w:t>
            </w:r>
          </w:p>
        </w:tc>
        <w:tc>
          <w:tcPr>
            <w:tcW w:w="1576"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 Population</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Actual kW</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Predicted kW</w:t>
            </w:r>
          </w:p>
        </w:tc>
        <w:tc>
          <w:tcPr>
            <w:tcW w:w="720" w:type="dxa"/>
            <w:tcBorders>
              <w:top w:val="single" w:sz="4" w:space="0" w:color="auto"/>
              <w:left w:val="nil"/>
              <w:bottom w:val="nil"/>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Bias</w:t>
            </w:r>
          </w:p>
        </w:tc>
        <w:tc>
          <w:tcPr>
            <w:tcW w:w="984" w:type="dxa"/>
            <w:tcBorders>
              <w:top w:val="single" w:sz="4" w:space="0" w:color="auto"/>
              <w:left w:val="nil"/>
              <w:bottom w:val="nil"/>
              <w:right w:val="single" w:sz="4" w:space="0" w:color="auto"/>
            </w:tcBorders>
            <w:shd w:val="clear" w:color="000000" w:fill="1F497D" w:themeFill="text2"/>
            <w:noWrap/>
            <w:vAlign w:val="center"/>
            <w:hideMark/>
          </w:tcPr>
          <w:p w:rsidR="0082444E" w:rsidRPr="00161BD9" w:rsidRDefault="0082444E" w:rsidP="00471B83">
            <w:pPr>
              <w:pStyle w:val="TableHeader"/>
            </w:pPr>
            <w:r w:rsidRPr="00161BD9">
              <w:t>% Bias</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Agriculture, Mining &amp; Construction</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136.8</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137.7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0.9</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0.7%</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Manufacturing</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24.6%</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227.1</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225.9</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-1.2</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-0.5%</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Wholesale, Transport &amp; Other Utilities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16.5%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220.7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217.0</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-3.7</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-1.7%</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Retail Stores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7.0%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248.1</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247.2</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-0.9</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-0.4%</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Offices, Hotels, Finance, Services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28.3%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187.2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184.7</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-2.5</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-1.3%</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Schools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12.3%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232.7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232.7</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0.0</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0.0%</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Institutional/Government</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7.5%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285.5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279.7</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-5.8</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-2.0%</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 xml:space="preserve">Other or Unknown </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167.8</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161.4</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-6.4</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-3.8%</w:t>
            </w:r>
          </w:p>
        </w:tc>
      </w:tr>
    </w:tbl>
    <w:p w:rsidR="0082444E" w:rsidRDefault="0082444E" w:rsidP="005C465D">
      <w:pPr>
        <w:pStyle w:val="BodyParaAfterTableFigure"/>
      </w:pPr>
      <w:r>
        <w:t>Table C</w:t>
      </w:r>
      <w:r w:rsidRPr="00E96C19">
        <w:t>-2 shows the average bias in the reference load predictions</w:t>
      </w:r>
      <w:r>
        <w:t xml:space="preserve"> for SCE’s CPP customers</w:t>
      </w:r>
      <w:r w:rsidRPr="00E96C19">
        <w:t xml:space="preserve"> dur</w:t>
      </w:r>
      <w:r>
        <w:t xml:space="preserve">ing event-like hours by size category.  </w:t>
      </w:r>
      <w:r w:rsidRPr="00462B2D">
        <w:t>Depending</w:t>
      </w:r>
      <w:r w:rsidRPr="00E96C19">
        <w:t xml:space="preserve"> on the specific gr</w:t>
      </w:r>
      <w:r>
        <w:t>oup assessed, there is between -1.9% and -0.6</w:t>
      </w:r>
      <w:r w:rsidRPr="00E96C19">
        <w:t xml:space="preserve">% bias.  Table </w:t>
      </w:r>
      <w:r>
        <w:t>C-2 also shows the percent of SC</w:t>
      </w:r>
      <w:r w:rsidRPr="00E96C19">
        <w:t xml:space="preserve">E’s CPP population within each </w:t>
      </w:r>
      <w:r>
        <w:t>size</w:t>
      </w:r>
      <w:r w:rsidRPr="00E96C19">
        <w:t xml:space="preserve"> category.  </w:t>
      </w:r>
      <w:r>
        <w:t xml:space="preserve">Though there are far fewer customers in the Over 500 Average kW category, the reference loads of these customers are predicted accurately. </w:t>
      </w:r>
      <w:r w:rsidRPr="00E96C19">
        <w:t xml:space="preserve"> </w:t>
      </w:r>
      <w:r>
        <w:t xml:space="preserve">The reference load predictions are most biased for the customers between 50 and 100 average kW. </w:t>
      </w:r>
    </w:p>
    <w:p w:rsidR="0082444E" w:rsidRDefault="0082444E" w:rsidP="005C465D">
      <w:pPr>
        <w:pStyle w:val="TableFigureCaption"/>
      </w:pPr>
      <w:r>
        <w:t>Table C-2:</w:t>
      </w:r>
      <w:r w:rsidR="007E0558">
        <w:t xml:space="preserve"> </w:t>
      </w:r>
      <w:r w:rsidRPr="00C95498">
        <w:t xml:space="preserve">Actual v. </w:t>
      </w:r>
      <w:r>
        <w:t>Predicted Average Load by Size Category for SC</w:t>
      </w:r>
      <w:r w:rsidRPr="00C95498">
        <w:t>E CPP Customers</w:t>
      </w:r>
      <w:r w:rsidRPr="00C95498">
        <w:br/>
        <w:t xml:space="preserve">False Event </w:t>
      </w:r>
      <w:r>
        <w:t>Hours</w:t>
      </w:r>
    </w:p>
    <w:tbl>
      <w:tblPr>
        <w:tblW w:w="9740" w:type="dxa"/>
        <w:jc w:val="center"/>
        <w:tblLook w:val="04A0"/>
      </w:tblPr>
      <w:tblGrid>
        <w:gridCol w:w="3740"/>
        <w:gridCol w:w="1576"/>
        <w:gridCol w:w="1360"/>
        <w:gridCol w:w="1360"/>
        <w:gridCol w:w="720"/>
        <w:gridCol w:w="984"/>
      </w:tblGrid>
      <w:tr w:rsidR="0082444E" w:rsidRPr="00161BD9" w:rsidTr="00BB1033">
        <w:trPr>
          <w:trHeight w:val="300"/>
          <w:jc w:val="center"/>
        </w:trPr>
        <w:tc>
          <w:tcPr>
            <w:tcW w:w="374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Size Bins</w:t>
            </w:r>
          </w:p>
        </w:tc>
        <w:tc>
          <w:tcPr>
            <w:tcW w:w="1576"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 Population</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Actual kW</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Predicted kW</w:t>
            </w:r>
          </w:p>
        </w:tc>
        <w:tc>
          <w:tcPr>
            <w:tcW w:w="720" w:type="dxa"/>
            <w:tcBorders>
              <w:top w:val="single" w:sz="4" w:space="0" w:color="auto"/>
              <w:left w:val="nil"/>
              <w:bottom w:val="nil"/>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Bias</w:t>
            </w:r>
          </w:p>
        </w:tc>
        <w:tc>
          <w:tcPr>
            <w:tcW w:w="984" w:type="dxa"/>
            <w:tcBorders>
              <w:top w:val="single" w:sz="4" w:space="0" w:color="auto"/>
              <w:left w:val="nil"/>
              <w:bottom w:val="nil"/>
              <w:right w:val="single" w:sz="4" w:space="0" w:color="auto"/>
            </w:tcBorders>
            <w:shd w:val="clear" w:color="000000" w:fill="1F497D" w:themeFill="text2"/>
            <w:noWrap/>
            <w:vAlign w:val="center"/>
            <w:hideMark/>
          </w:tcPr>
          <w:p w:rsidR="0082444E" w:rsidRPr="00161BD9" w:rsidRDefault="0082444E" w:rsidP="00471B83">
            <w:pPr>
              <w:pStyle w:val="TableHeader"/>
            </w:pPr>
            <w:r w:rsidRPr="00161BD9">
              <w:t>% Bias</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Under 50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22.4%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35.0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34.4</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-0.6</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-1.6%</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50 to 100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29.2%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140.5</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137.8</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-2.6</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-1.9%</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100-200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29.9%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218.0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216.6</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-1.4</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-0.6%</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200-500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15.0%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414.3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411.6</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-2.8</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-0.7%</w:t>
            </w:r>
          </w:p>
        </w:tc>
      </w:tr>
      <w:tr w:rsidR="0082444E" w:rsidRPr="00161BD9"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161BD9" w:rsidRDefault="0082444E" w:rsidP="00471B83">
            <w:pPr>
              <w:pStyle w:val="TableText"/>
            </w:pPr>
            <w:r w:rsidRPr="00161BD9">
              <w:t>Over 500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3.6%</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1194.9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1181.8</w:t>
            </w:r>
          </w:p>
        </w:tc>
        <w:tc>
          <w:tcPr>
            <w:tcW w:w="72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-13.1</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-1.1%</w:t>
            </w:r>
          </w:p>
        </w:tc>
      </w:tr>
    </w:tbl>
    <w:p w:rsidR="0082444E" w:rsidRPr="00C95498" w:rsidRDefault="0082444E" w:rsidP="007E0558">
      <w:pPr>
        <w:pStyle w:val="AppendixHeading2"/>
        <w:spacing w:before="360"/>
      </w:pPr>
      <w:bookmarkStart w:id="173" w:name="_Toc326072161"/>
      <w:r>
        <w:t>False Event Coefficient Tests</w:t>
      </w:r>
      <w:bookmarkEnd w:id="173"/>
    </w:p>
    <w:p w:rsidR="007E0558" w:rsidRDefault="0082444E" w:rsidP="005C465D">
      <w:pPr>
        <w:pStyle w:val="BodyParagraph"/>
      </w:pPr>
      <w:r>
        <w:t xml:space="preserve">Dividing the actual sum of kW for each hour by the sum of betas on the false event day variables gives the percent by which the estimated coefficients impact actual kW.  The default assumption is that false event day variables should have 0% impact on the dependent </w:t>
      </w:r>
      <w:proofErr w:type="gramStart"/>
      <w:r>
        <w:t>variable,</w:t>
      </w:r>
      <w:proofErr w:type="gramEnd"/>
      <w:r>
        <w:t xml:space="preserve"> otherwise there is evidence that the betas are correlated with the error term.  Table C-3 shows t</w:t>
      </w:r>
      <w:r w:rsidR="001A54C9">
        <w:t>he results from the</w:t>
      </w:r>
      <w:r>
        <w:t xml:space="preserve"> false event coefficient tests.  The percent bias is </w:t>
      </w:r>
      <w:r w:rsidR="00357EC8">
        <w:t xml:space="preserve">equal to or </w:t>
      </w:r>
      <w:r>
        <w:t>under 2% for all event-like hours.</w:t>
      </w:r>
    </w:p>
    <w:p w:rsidR="007E0558" w:rsidRDefault="007E0558">
      <w:pPr>
        <w:rPr>
          <w:rFonts w:ascii="Verdana" w:eastAsiaTheme="minorHAnsi" w:hAnsi="Verdana"/>
          <w:sz w:val="18"/>
        </w:rPr>
      </w:pPr>
      <w:r>
        <w:br w:type="page"/>
      </w:r>
    </w:p>
    <w:p w:rsidR="0082444E" w:rsidRDefault="0082444E" w:rsidP="005C465D">
      <w:pPr>
        <w:pStyle w:val="TableFigureCaption"/>
      </w:pPr>
      <w:r w:rsidRPr="00B3235F">
        <w:lastRenderedPageBreak/>
        <w:t>Table</w:t>
      </w:r>
      <w:r>
        <w:t xml:space="preserve"> C-3:</w:t>
      </w:r>
      <w:r w:rsidR="007E0558">
        <w:t xml:space="preserve"> </w:t>
      </w:r>
      <w:r>
        <w:t xml:space="preserve">Percent Bias from Aggregate False Event Coefficients </w:t>
      </w:r>
    </w:p>
    <w:tbl>
      <w:tblPr>
        <w:tblW w:w="6080" w:type="dxa"/>
        <w:jc w:val="center"/>
        <w:tblLook w:val="04A0"/>
      </w:tblPr>
      <w:tblGrid>
        <w:gridCol w:w="980"/>
        <w:gridCol w:w="1100"/>
        <w:gridCol w:w="2000"/>
        <w:gridCol w:w="2000"/>
      </w:tblGrid>
      <w:tr w:rsidR="0082444E" w:rsidRPr="00161BD9" w:rsidTr="00471B83">
        <w:trPr>
          <w:trHeight w:val="300"/>
          <w:jc w:val="center"/>
        </w:trPr>
        <w:tc>
          <w:tcPr>
            <w:tcW w:w="98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Hour</w:t>
            </w:r>
          </w:p>
        </w:tc>
        <w:tc>
          <w:tcPr>
            <w:tcW w:w="110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Sum of kWh</w:t>
            </w:r>
          </w:p>
        </w:tc>
        <w:tc>
          <w:tcPr>
            <w:tcW w:w="200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161BD9" w:rsidRDefault="0082444E" w:rsidP="00471B83">
            <w:pPr>
              <w:pStyle w:val="TableHeader"/>
            </w:pPr>
            <w:r w:rsidRPr="00161BD9">
              <w:t>Sum of Betas</w:t>
            </w:r>
          </w:p>
        </w:tc>
        <w:tc>
          <w:tcPr>
            <w:tcW w:w="2000"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82444E" w:rsidRPr="00161BD9" w:rsidRDefault="0082444E" w:rsidP="00471B83">
            <w:pPr>
              <w:pStyle w:val="TableHeader"/>
            </w:pPr>
            <w:r w:rsidRPr="00161BD9">
              <w:t>% Bias</w:t>
            </w:r>
          </w:p>
        </w:tc>
      </w:tr>
      <w:tr w:rsidR="0082444E" w:rsidRPr="00161BD9"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1BD9" w:rsidRDefault="0082444E" w:rsidP="00471B83">
            <w:pPr>
              <w:pStyle w:val="TableText"/>
            </w:pPr>
            <w:r w:rsidRPr="00161BD9">
              <w:t>15</w:t>
            </w:r>
          </w:p>
        </w:tc>
        <w:tc>
          <w:tcPr>
            <w:tcW w:w="11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4361017</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73841</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1.7%</w:t>
            </w:r>
          </w:p>
        </w:tc>
      </w:tr>
      <w:tr w:rsidR="0082444E" w:rsidRPr="00161BD9"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1BD9" w:rsidRDefault="0082444E" w:rsidP="00471B83">
            <w:pPr>
              <w:pStyle w:val="TableText"/>
            </w:pPr>
            <w:r w:rsidRPr="00161BD9">
              <w:t>16</w:t>
            </w:r>
          </w:p>
        </w:tc>
        <w:tc>
          <w:tcPr>
            <w:tcW w:w="11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4157217</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78233</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1.9%</w:t>
            </w:r>
          </w:p>
        </w:tc>
      </w:tr>
      <w:tr w:rsidR="0082444E" w:rsidRPr="00161BD9"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1BD9" w:rsidRDefault="0082444E" w:rsidP="00471B83">
            <w:pPr>
              <w:pStyle w:val="TableText"/>
            </w:pPr>
            <w:r w:rsidRPr="00161BD9">
              <w:t>17</w:t>
            </w:r>
          </w:p>
        </w:tc>
        <w:tc>
          <w:tcPr>
            <w:tcW w:w="11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3880637</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77080</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2.0%</w:t>
            </w:r>
          </w:p>
        </w:tc>
      </w:tr>
      <w:tr w:rsidR="0082444E" w:rsidRPr="00161BD9"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1BD9" w:rsidRDefault="0082444E" w:rsidP="00471B83">
            <w:pPr>
              <w:pStyle w:val="TableText"/>
            </w:pPr>
            <w:r w:rsidRPr="00161BD9">
              <w:t>18</w:t>
            </w:r>
          </w:p>
        </w:tc>
        <w:tc>
          <w:tcPr>
            <w:tcW w:w="11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3598896</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62189</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1.7%</w:t>
            </w:r>
          </w:p>
        </w:tc>
      </w:tr>
      <w:tr w:rsidR="0082444E" w:rsidRPr="00161BD9" w:rsidTr="00471B83">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161BD9" w:rsidRDefault="0082444E" w:rsidP="00471B83">
            <w:pPr>
              <w:pStyle w:val="TableText"/>
            </w:pPr>
            <w:r w:rsidRPr="00161BD9">
              <w:t>Total</w:t>
            </w:r>
          </w:p>
        </w:tc>
        <w:tc>
          <w:tcPr>
            <w:tcW w:w="11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16000000</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291343</w:t>
            </w:r>
          </w:p>
        </w:tc>
        <w:tc>
          <w:tcPr>
            <w:tcW w:w="2000" w:type="dxa"/>
            <w:tcBorders>
              <w:top w:val="nil"/>
              <w:left w:val="nil"/>
              <w:bottom w:val="single" w:sz="4" w:space="0" w:color="auto"/>
              <w:right w:val="single" w:sz="4" w:space="0" w:color="auto"/>
            </w:tcBorders>
            <w:shd w:val="clear" w:color="auto" w:fill="auto"/>
            <w:noWrap/>
            <w:vAlign w:val="center"/>
            <w:hideMark/>
          </w:tcPr>
          <w:p w:rsidR="0082444E" w:rsidRPr="00161BD9" w:rsidRDefault="0082444E" w:rsidP="00471B83">
            <w:pPr>
              <w:pStyle w:val="TableText"/>
              <w:jc w:val="center"/>
            </w:pPr>
            <w:r w:rsidRPr="00161BD9">
              <w:t>1.8%</w:t>
            </w:r>
          </w:p>
        </w:tc>
      </w:tr>
    </w:tbl>
    <w:p w:rsidR="0082444E" w:rsidRDefault="0082444E" w:rsidP="007E0558">
      <w:pPr>
        <w:pStyle w:val="AppendixHeading2"/>
        <w:spacing w:before="360"/>
      </w:pPr>
      <w:bookmarkStart w:id="174" w:name="_Toc326072162"/>
      <w:r w:rsidRPr="00B3235F">
        <w:t>Control</w:t>
      </w:r>
      <w:r>
        <w:t xml:space="preserve"> Group Analysis</w:t>
      </w:r>
      <w:bookmarkEnd w:id="174"/>
    </w:p>
    <w:p w:rsidR="002701B2" w:rsidRDefault="002701B2" w:rsidP="005C465D">
      <w:pPr>
        <w:pStyle w:val="BodyParagraph"/>
      </w:pPr>
      <w:r>
        <w:t>Across all of the 2011 event days, impacts from the control group analysis match reasonably well with the impacts from the individual customer regressions at SCE.  However, the variation in control group impacts is much wider than the variation in impacts from the individual customer regressions.  Impacts from the control group analysis range from 23.5 MW to 46.2 MW, while impacts from individual customer regressions range from 32.7 MW to 36.7 MW.</w:t>
      </w:r>
    </w:p>
    <w:p w:rsidR="002701B2" w:rsidRDefault="002701B2" w:rsidP="005C465D">
      <w:pPr>
        <w:pStyle w:val="BodyParagraph"/>
      </w:pPr>
      <w:r>
        <w:t>There are several potential explanations for the differences in impacts between the two methods.  The binning approach used in the control group analysis can overstate or understate impacts if the control group is imperfect or the difference-in-differences approach is imperfect.  Individual customer regressions also have drawbacks.  In the individual customer regressions, treatment variables are defined to capture how event impacts vary with temperature.  That is, regression-estimated impacts are only allowed to vary from event day to event day across the dimension of temperature.</w:t>
      </w:r>
      <w:r w:rsidR="0022593D" w:rsidRPr="0022593D">
        <w:rPr>
          <w:rStyle w:val="FootnoteReference"/>
        </w:rPr>
        <w:t xml:space="preserve"> </w:t>
      </w:r>
      <w:r w:rsidR="0022593D">
        <w:rPr>
          <w:rStyle w:val="FootnoteReference"/>
        </w:rPr>
        <w:footnoteReference w:id="26"/>
      </w:r>
      <w:r w:rsidR="0022593D">
        <w:t xml:space="preserve">  </w:t>
      </w:r>
      <w:r>
        <w:t xml:space="preserve">  Individual customer regressions will not pick up the idiosyncratic characteristics of individual event days that are not related to temperature.  Both approaches have drawbacks, but the relative consistency of results between the two methods supports the results of both analyses.</w:t>
      </w:r>
    </w:p>
    <w:p w:rsidR="002701B2" w:rsidRDefault="002701B2" w:rsidP="002701B2">
      <w:pPr>
        <w:rPr>
          <w:rFonts w:ascii="Arial" w:hAnsi="Arial"/>
          <w:sz w:val="20"/>
        </w:rPr>
      </w:pPr>
      <w:r>
        <w:br w:type="page"/>
      </w:r>
    </w:p>
    <w:p w:rsidR="002701B2" w:rsidRDefault="002701B2" w:rsidP="005C465D">
      <w:pPr>
        <w:pStyle w:val="TableFigureCaption"/>
      </w:pPr>
      <w:r>
        <w:lastRenderedPageBreak/>
        <w:t>Table C-4:</w:t>
      </w:r>
      <w:r w:rsidR="007E0558">
        <w:t xml:space="preserve"> </w:t>
      </w:r>
      <w:r>
        <w:t>Estimated Ex Post Load Impacts by Event Day and Analysis Method</w:t>
      </w:r>
      <w:r>
        <w:br/>
        <w:t>2011 SCE CPP Events</w:t>
      </w:r>
    </w:p>
    <w:tbl>
      <w:tblPr>
        <w:tblW w:w="5000" w:type="pct"/>
        <w:jc w:val="center"/>
        <w:tblLook w:val="04A0"/>
      </w:tblPr>
      <w:tblGrid>
        <w:gridCol w:w="1820"/>
        <w:gridCol w:w="1361"/>
        <w:gridCol w:w="1417"/>
        <w:gridCol w:w="1417"/>
        <w:gridCol w:w="927"/>
        <w:gridCol w:w="1206"/>
        <w:gridCol w:w="1428"/>
      </w:tblGrid>
      <w:tr w:rsidR="002701B2" w:rsidRPr="002701B2" w:rsidTr="00FB5727">
        <w:trPr>
          <w:trHeight w:val="1020"/>
          <w:jc w:val="center"/>
        </w:trPr>
        <w:tc>
          <w:tcPr>
            <w:tcW w:w="1362" w:type="pct"/>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Event Date</w:t>
            </w:r>
          </w:p>
        </w:tc>
        <w:tc>
          <w:tcPr>
            <w:tcW w:w="536" w:type="pct"/>
            <w:tcBorders>
              <w:top w:val="single" w:sz="4" w:space="0" w:color="auto"/>
              <w:left w:val="nil"/>
              <w:bottom w:val="single" w:sz="4" w:space="0" w:color="auto"/>
              <w:right w:val="single" w:sz="4" w:space="0" w:color="FFFFFF"/>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Number of Participants</w:t>
            </w:r>
          </w:p>
        </w:tc>
        <w:tc>
          <w:tcPr>
            <w:tcW w:w="598" w:type="pct"/>
            <w:tcBorders>
              <w:top w:val="single" w:sz="4" w:space="0" w:color="auto"/>
              <w:left w:val="nil"/>
              <w:bottom w:val="single" w:sz="4" w:space="0" w:color="auto"/>
              <w:right w:val="single" w:sz="4" w:space="0" w:color="FFFFFF"/>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 Load Impact -Regressions</w:t>
            </w:r>
          </w:p>
        </w:tc>
        <w:tc>
          <w:tcPr>
            <w:tcW w:w="575" w:type="pct"/>
            <w:tcBorders>
              <w:top w:val="single" w:sz="4" w:space="0" w:color="auto"/>
              <w:left w:val="nil"/>
              <w:bottom w:val="single" w:sz="4" w:space="0" w:color="auto"/>
              <w:right w:val="single" w:sz="4" w:space="0" w:color="FFFFFF"/>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Aggregate Load Impact - Regressions (MW)</w:t>
            </w:r>
          </w:p>
        </w:tc>
        <w:tc>
          <w:tcPr>
            <w:tcW w:w="598" w:type="pct"/>
            <w:tcBorders>
              <w:top w:val="single" w:sz="4" w:space="0" w:color="auto"/>
              <w:left w:val="nil"/>
              <w:bottom w:val="single" w:sz="4" w:space="0" w:color="auto"/>
              <w:right w:val="single" w:sz="4" w:space="0" w:color="FFFFFF"/>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 Load Impact -Control Group</w:t>
            </w:r>
          </w:p>
        </w:tc>
        <w:tc>
          <w:tcPr>
            <w:tcW w:w="653" w:type="pct"/>
            <w:tcBorders>
              <w:top w:val="single" w:sz="4" w:space="0" w:color="auto"/>
              <w:left w:val="nil"/>
              <w:bottom w:val="single" w:sz="4" w:space="0" w:color="auto"/>
              <w:right w:val="single" w:sz="4" w:space="0" w:color="FFFFFF"/>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Aggregate Load Impact - Control Group (MW)</w:t>
            </w:r>
          </w:p>
        </w:tc>
        <w:tc>
          <w:tcPr>
            <w:tcW w:w="677" w:type="pct"/>
            <w:tcBorders>
              <w:top w:val="single" w:sz="4" w:space="0" w:color="auto"/>
              <w:left w:val="nil"/>
              <w:bottom w:val="single" w:sz="4" w:space="0" w:color="auto"/>
              <w:right w:val="single" w:sz="4" w:space="0" w:color="auto"/>
            </w:tcBorders>
            <w:shd w:val="clear" w:color="000000" w:fill="1F497D" w:themeFill="text2"/>
            <w:vAlign w:val="center"/>
            <w:hideMark/>
          </w:tcPr>
          <w:p w:rsidR="002701B2" w:rsidRPr="002701B2" w:rsidRDefault="002701B2" w:rsidP="002701B2">
            <w:pPr>
              <w:spacing w:after="0" w:line="240" w:lineRule="auto"/>
              <w:jc w:val="center"/>
              <w:rPr>
                <w:rFonts w:ascii="Arial" w:eastAsia="Times New Roman" w:hAnsi="Arial" w:cs="Arial"/>
                <w:b/>
                <w:bCs/>
                <w:color w:val="FFFFFF"/>
                <w:sz w:val="20"/>
                <w:szCs w:val="20"/>
              </w:rPr>
            </w:pPr>
            <w:r w:rsidRPr="002701B2">
              <w:rPr>
                <w:rFonts w:ascii="Arial" w:eastAsia="Times New Roman" w:hAnsi="Arial" w:cs="Arial"/>
                <w:b/>
                <w:bCs/>
                <w:color w:val="FFFFFF"/>
                <w:sz w:val="20"/>
                <w:szCs w:val="20"/>
              </w:rPr>
              <w:t>Average Temperature During Event (°F)</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6/21/2011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2,935</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5.4%</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33.9</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4.1%</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23.5</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82.0</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7/5/2011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2,953</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5.6%</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36.7</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4.6%</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27.5</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85.8</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7/19/2011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2,872</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5.8%</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35.6</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5.5%</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31.9</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84.6</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8/1/2011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2,992</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5.9%</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36.4</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6.9%</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42.5</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86.7</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8/3/2011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3,015</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5.8%</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36.1</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4.6%</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27.7</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84.8</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8/12/2011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3,094</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5.7%</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32.7</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7.9%</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46.2</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78.1</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8/16/2011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3,014</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5.6%</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33.6</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6.4%</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39.8</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83.6</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8/18/2011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3,014</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5.6%</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34.0</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4.6%</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28.5</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83.6</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8/23/2011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3,024</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5.6%</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34.6</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4.2%</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25.9</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86.4</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8/26/2011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3,038</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6.0%</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36.6</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6.3%</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40.6</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90.3</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9/6/2011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3,077</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5.5%</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36.6</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4.6%</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31.2</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90.9</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9/23/2011</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3,047</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5.7%</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32.7</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5.1%</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30.1</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79.9</w:t>
            </w:r>
          </w:p>
        </w:tc>
      </w:tr>
      <w:tr w:rsidR="002701B2" w:rsidRPr="002701B2" w:rsidTr="002701B2">
        <w:trPr>
          <w:trHeight w:val="300"/>
          <w:jc w:val="center"/>
        </w:trPr>
        <w:tc>
          <w:tcPr>
            <w:tcW w:w="1362" w:type="pct"/>
            <w:tcBorders>
              <w:top w:val="nil"/>
              <w:left w:val="single" w:sz="4" w:space="0" w:color="auto"/>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Average Event</w:t>
            </w:r>
          </w:p>
        </w:tc>
        <w:tc>
          <w:tcPr>
            <w:tcW w:w="536" w:type="pct"/>
            <w:tcBorders>
              <w:top w:val="nil"/>
              <w:left w:val="nil"/>
              <w:bottom w:val="single" w:sz="4" w:space="0" w:color="auto"/>
              <w:right w:val="single" w:sz="4" w:space="0" w:color="auto"/>
            </w:tcBorders>
            <w:shd w:val="clear" w:color="auto" w:fill="auto"/>
            <w:noWrap/>
            <w:vAlign w:val="center"/>
            <w:hideMark/>
          </w:tcPr>
          <w:p w:rsidR="002701B2" w:rsidRPr="002701B2" w:rsidRDefault="002701B2" w:rsidP="00FB5727">
            <w:pPr>
              <w:pStyle w:val="TableText"/>
              <w:jc w:val="center"/>
              <w:rPr>
                <w:rFonts w:eastAsia="Times New Roman"/>
              </w:rPr>
            </w:pPr>
            <w:r w:rsidRPr="002701B2">
              <w:rPr>
                <w:rFonts w:eastAsia="Times New Roman"/>
              </w:rPr>
              <w:t>3,006</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5.7%</w:t>
            </w:r>
          </w:p>
        </w:tc>
        <w:tc>
          <w:tcPr>
            <w:tcW w:w="575"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35.0</w:t>
            </w:r>
          </w:p>
        </w:tc>
        <w:tc>
          <w:tcPr>
            <w:tcW w:w="598"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5.4%</w:t>
            </w:r>
          </w:p>
        </w:tc>
        <w:tc>
          <w:tcPr>
            <w:tcW w:w="653"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pPr>
            <w:r w:rsidRPr="00FB5727">
              <w:t>32.9</w:t>
            </w:r>
          </w:p>
        </w:tc>
        <w:tc>
          <w:tcPr>
            <w:tcW w:w="677" w:type="pct"/>
            <w:tcBorders>
              <w:top w:val="nil"/>
              <w:left w:val="nil"/>
              <w:bottom w:val="single" w:sz="4" w:space="0" w:color="auto"/>
              <w:right w:val="single" w:sz="4" w:space="0" w:color="auto"/>
            </w:tcBorders>
            <w:shd w:val="clear" w:color="auto" w:fill="auto"/>
            <w:noWrap/>
            <w:vAlign w:val="center"/>
            <w:hideMark/>
          </w:tcPr>
          <w:p w:rsidR="002701B2" w:rsidRPr="00FB5727" w:rsidRDefault="002701B2" w:rsidP="00FB5727">
            <w:pPr>
              <w:pStyle w:val="TableText"/>
              <w:jc w:val="center"/>
              <w:rPr>
                <w:szCs w:val="20"/>
              </w:rPr>
            </w:pPr>
            <w:r w:rsidRPr="00FB5727">
              <w:rPr>
                <w:szCs w:val="20"/>
              </w:rPr>
              <w:t>84.7</w:t>
            </w:r>
          </w:p>
        </w:tc>
      </w:tr>
    </w:tbl>
    <w:p w:rsidR="002701B2" w:rsidRDefault="002701B2" w:rsidP="005C465D">
      <w:pPr>
        <w:pStyle w:val="BodyParaAfterTableFigure"/>
      </w:pPr>
      <w:r>
        <w:t xml:space="preserve">Figure C-2 </w:t>
      </w:r>
      <w:r w:rsidRPr="00104C07">
        <w:t>shows the average control and treatment customer usage patterns on days similar to event days.  The control group usage patterns were adjusted to account for systemic differences between opt-out TOU and CPP customers.  Control and treatment loads under a variety of weather patterns were compared.  The final control group loads are net of consistent biases observed between opt-out TOU and CPP customers on days with similar weather profil</w:t>
      </w:r>
      <w:r w:rsidR="002200C1">
        <w:t>es.  On average, there is a 0.1</w:t>
      </w:r>
      <w:r w:rsidRPr="00104C07">
        <w:t>% difference between the adjusted control and treatment group loads during event-like hours.  The maximum</w:t>
      </w:r>
      <w:r>
        <w:t xml:space="preserve"> bias</w:t>
      </w:r>
      <w:r w:rsidRPr="00104C07">
        <w:t xml:space="preserve"> observed at any point for thi</w:t>
      </w:r>
      <w:r>
        <w:t>s average event-like day is -1.3</w:t>
      </w:r>
      <w:r w:rsidRPr="00104C07">
        <w:t>%.</w:t>
      </w:r>
    </w:p>
    <w:p w:rsidR="002701B2" w:rsidRDefault="002701B2" w:rsidP="005C465D">
      <w:pPr>
        <w:pStyle w:val="TableFigureCaption"/>
      </w:pPr>
      <w:r>
        <w:lastRenderedPageBreak/>
        <w:t>Figure C-2:</w:t>
      </w:r>
      <w:r w:rsidR="007E0558">
        <w:t xml:space="preserve"> </w:t>
      </w:r>
      <w:r>
        <w:t>Average SCE CPP and Opt-out TOU Customer Usage</w:t>
      </w:r>
      <w:r w:rsidRPr="00C95498">
        <w:br/>
      </w:r>
      <w:r>
        <w:t>Control and Treatment Groups on Days Similar to Event Days</w:t>
      </w:r>
    </w:p>
    <w:p w:rsidR="002701B2" w:rsidRDefault="002701B2" w:rsidP="007E0558">
      <w:pPr>
        <w:pStyle w:val="BodyParagraph"/>
        <w:jc w:val="center"/>
      </w:pPr>
      <w:r w:rsidRPr="002701B2">
        <w:rPr>
          <w:noProof/>
        </w:rPr>
        <w:drawing>
          <wp:inline distT="0" distB="0" distL="0" distR="0">
            <wp:extent cx="4678757" cy="2737104"/>
            <wp:effectExtent l="19050" t="0" r="26593" b="6096"/>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701B2" w:rsidRPr="00EE4D31" w:rsidRDefault="002701B2" w:rsidP="005C465D">
      <w:pPr>
        <w:pStyle w:val="BodyParaAfterTableFigure"/>
      </w:pPr>
      <w:r>
        <w:t>Figure C-3</w:t>
      </w:r>
      <w:r w:rsidRPr="00104C07">
        <w:t xml:space="preserve"> show</w:t>
      </w:r>
      <w:r w:rsidR="002200C1">
        <w:t>s the event day impact across SC</w:t>
      </w:r>
      <w:r w:rsidRPr="00104C07">
        <w:t>E’s CPP popula</w:t>
      </w:r>
      <w:r>
        <w:t>tion for the average</w:t>
      </w:r>
      <w:r w:rsidRPr="00104C07">
        <w:t xml:space="preserve"> 2011 CPP event. </w:t>
      </w:r>
      <w:r>
        <w:t xml:space="preserve"> During the event hours of 2 PM</w:t>
      </w:r>
      <w:r w:rsidRPr="00104C07">
        <w:t xml:space="preserve"> to 6 PM, the control group analysis shows </w:t>
      </w:r>
      <w:r w:rsidR="002200C1">
        <w:t>an average event impact of 10.9</w:t>
      </w:r>
      <w:r>
        <w:t xml:space="preserve"> kW</w:t>
      </w:r>
      <w:r w:rsidR="002200C1">
        <w:t xml:space="preserve"> (5.4%) for the average 2011 SC</w:t>
      </w:r>
      <w:r>
        <w:t>E CPP</w:t>
      </w:r>
      <w:r w:rsidRPr="00104C07">
        <w:t xml:space="preserve"> event.  The impacts from the control group analysis are</w:t>
      </w:r>
      <w:r>
        <w:t xml:space="preserve"> very</w:t>
      </w:r>
      <w:r w:rsidRPr="00104C07">
        <w:t xml:space="preserve"> similar to those from the individual customer regressions for </w:t>
      </w:r>
      <w:r>
        <w:t>the average event</w:t>
      </w:r>
      <w:r w:rsidRPr="00104C07">
        <w:t>.</w:t>
      </w:r>
    </w:p>
    <w:p w:rsidR="002701B2" w:rsidRDefault="002701B2" w:rsidP="005C465D">
      <w:pPr>
        <w:pStyle w:val="TableFigureCaption"/>
      </w:pPr>
      <w:r>
        <w:t>Figure C-3:</w:t>
      </w:r>
      <w:r w:rsidR="007E0558">
        <w:t xml:space="preserve"> </w:t>
      </w:r>
      <w:r>
        <w:t>Average SC</w:t>
      </w:r>
      <w:r w:rsidRPr="00256DA7">
        <w:t>E CPP and Opt-out TOU Customer Usage</w:t>
      </w:r>
      <w:r w:rsidRPr="00F36417">
        <w:br/>
      </w:r>
      <w:r>
        <w:t xml:space="preserve">Average 2011 CPP </w:t>
      </w:r>
      <w:r w:rsidRPr="00121574">
        <w:t>Event</w:t>
      </w:r>
    </w:p>
    <w:p w:rsidR="002200C1" w:rsidRPr="002200C1" w:rsidRDefault="002200C1" w:rsidP="007E0558">
      <w:pPr>
        <w:pStyle w:val="BodyParagraph"/>
        <w:jc w:val="center"/>
      </w:pPr>
      <w:r w:rsidRPr="002200C1">
        <w:rPr>
          <w:noProof/>
        </w:rPr>
        <w:drawing>
          <wp:inline distT="0" distB="0" distL="0" distR="0">
            <wp:extent cx="4678757" cy="2737104"/>
            <wp:effectExtent l="19050" t="0" r="26593" b="6096"/>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2444E" w:rsidRPr="00C95498" w:rsidRDefault="0082444E" w:rsidP="00345A24">
      <w:pPr>
        <w:pStyle w:val="AppendixHeading2"/>
        <w:spacing w:before="360"/>
      </w:pPr>
      <w:bookmarkStart w:id="175" w:name="_Toc257716004"/>
      <w:bookmarkStart w:id="176" w:name="_Toc289178060"/>
      <w:bookmarkStart w:id="177" w:name="_Toc326072163"/>
      <w:r>
        <w:t>In-</w:t>
      </w:r>
      <w:r w:rsidR="005550E3">
        <w:t>s</w:t>
      </w:r>
      <w:r>
        <w:t xml:space="preserve">ample Precision and </w:t>
      </w:r>
      <w:r w:rsidRPr="00C95498">
        <w:t>Goodness</w:t>
      </w:r>
      <w:r w:rsidR="005550E3">
        <w:t>-</w:t>
      </w:r>
      <w:r w:rsidRPr="00C95498">
        <w:t>of</w:t>
      </w:r>
      <w:r w:rsidR="005550E3">
        <w:t>-f</w:t>
      </w:r>
      <w:r w:rsidRPr="00C95498">
        <w:t>it Measures</w:t>
      </w:r>
      <w:bookmarkEnd w:id="175"/>
      <w:bookmarkEnd w:id="176"/>
      <w:bookmarkEnd w:id="177"/>
    </w:p>
    <w:p w:rsidR="0082444E" w:rsidRDefault="0082444E" w:rsidP="005C465D">
      <w:pPr>
        <w:pStyle w:val="BodyParagraph"/>
      </w:pPr>
      <w:r>
        <w:t>Table C</w:t>
      </w:r>
      <w:r w:rsidRPr="00C95498">
        <w:t>-</w:t>
      </w:r>
      <w:r w:rsidR="002200C1">
        <w:t>5</w:t>
      </w:r>
      <w:r w:rsidRPr="00C95498">
        <w:t xml:space="preserve"> summarizes the amount of variation explained by the regression model for the average customer in specific segments</w:t>
      </w:r>
      <w:r w:rsidRPr="00971E99">
        <w:t>.  In</w:t>
      </w:r>
      <w:r>
        <w:t xml:space="preserve"> the</w:t>
      </w:r>
      <w:r w:rsidRPr="00971E99">
        <w:t xml:space="preserve"> ag</w:t>
      </w:r>
      <w:r>
        <w:t xml:space="preserve">gregate the model explained 95% </w:t>
      </w:r>
      <w:r w:rsidRPr="00971E99">
        <w:t xml:space="preserve">of the variation in energy </w:t>
      </w:r>
      <w:r w:rsidRPr="00971E99">
        <w:lastRenderedPageBreak/>
        <w:t xml:space="preserve">use.  </w:t>
      </w:r>
      <w:r w:rsidRPr="00F234CF">
        <w:t>The explained</w:t>
      </w:r>
      <w:r w:rsidR="001A54C9">
        <w:t xml:space="preserve"> variatio</w:t>
      </w:r>
      <w:r>
        <w:t>n varied from 48</w:t>
      </w:r>
      <w:r w:rsidR="00357EC8">
        <w:t>%</w:t>
      </w:r>
      <w:r>
        <w:t xml:space="preserve"> to 98% </w:t>
      </w:r>
      <w:r w:rsidRPr="00F234CF">
        <w:t xml:space="preserve">across industries and local </w:t>
      </w:r>
      <w:r w:rsidRPr="007A6BD7">
        <w:t xml:space="preserve">capacity areas. </w:t>
      </w:r>
      <w:r>
        <w:t xml:space="preserve"> </w:t>
      </w:r>
      <w:r w:rsidR="001A54C9">
        <w:t>Apart from Wholesale, Transport &amp; O</w:t>
      </w:r>
      <w:r>
        <w:t>ther Utilities, only one of the industry</w:t>
      </w:r>
      <w:r w:rsidR="00DF29D8">
        <w:t xml:space="preserve"> or local capacity area</w:t>
      </w:r>
      <w:r w:rsidRPr="007A6BD7">
        <w:t xml:space="preserve"> has an R-squared value below 0.90 – </w:t>
      </w:r>
      <w:r>
        <w:t>Agriculture Mining and Construction (0.85</w:t>
      </w:r>
      <w:r w:rsidRPr="007A6BD7">
        <w:t xml:space="preserve">). </w:t>
      </w:r>
    </w:p>
    <w:p w:rsidR="0082444E" w:rsidRPr="00C95498" w:rsidRDefault="002200C1" w:rsidP="005C465D">
      <w:pPr>
        <w:pStyle w:val="TableFigureCaption"/>
      </w:pPr>
      <w:r>
        <w:t>Table C-5</w:t>
      </w:r>
      <w:r w:rsidR="0082444E">
        <w:t>:</w:t>
      </w:r>
      <w:r w:rsidR="00345A24">
        <w:t xml:space="preserve"> </w:t>
      </w:r>
      <w:r w:rsidR="0082444E" w:rsidRPr="00C95498">
        <w:t>R-squared Values for the Average Customer by Segment</w:t>
      </w:r>
    </w:p>
    <w:tbl>
      <w:tblPr>
        <w:tblW w:w="4342" w:type="dxa"/>
        <w:jc w:val="center"/>
        <w:tblLook w:val="04A0"/>
      </w:tblPr>
      <w:tblGrid>
        <w:gridCol w:w="3080"/>
        <w:gridCol w:w="1262"/>
      </w:tblGrid>
      <w:tr w:rsidR="0082444E" w:rsidRPr="00E60205" w:rsidTr="00BB1033">
        <w:trPr>
          <w:trHeight w:val="300"/>
          <w:jc w:val="center"/>
        </w:trPr>
        <w:tc>
          <w:tcPr>
            <w:tcW w:w="3080" w:type="dxa"/>
            <w:tcBorders>
              <w:top w:val="single" w:sz="4" w:space="0" w:color="auto"/>
              <w:left w:val="single" w:sz="4" w:space="0" w:color="auto"/>
              <w:bottom w:val="single" w:sz="4" w:space="0" w:color="auto"/>
              <w:right w:val="single" w:sz="4" w:space="0" w:color="FFFFFF"/>
            </w:tcBorders>
            <w:shd w:val="clear" w:color="000000" w:fill="1F497D" w:themeFill="text2"/>
            <w:noWrap/>
            <w:vAlign w:val="bottom"/>
            <w:hideMark/>
          </w:tcPr>
          <w:p w:rsidR="0082444E" w:rsidRPr="00E60205" w:rsidRDefault="0082444E" w:rsidP="00471B83">
            <w:pPr>
              <w:pStyle w:val="TableHeader"/>
            </w:pPr>
            <w:r w:rsidRPr="00E60205">
              <w:t>Customer Segment</w:t>
            </w:r>
          </w:p>
        </w:tc>
        <w:tc>
          <w:tcPr>
            <w:tcW w:w="1262" w:type="dxa"/>
            <w:tcBorders>
              <w:top w:val="single" w:sz="4" w:space="0" w:color="auto"/>
              <w:left w:val="nil"/>
              <w:bottom w:val="single" w:sz="4" w:space="0" w:color="auto"/>
              <w:right w:val="single" w:sz="4" w:space="0" w:color="auto"/>
            </w:tcBorders>
            <w:shd w:val="clear" w:color="000000" w:fill="1F497D" w:themeFill="text2"/>
            <w:noWrap/>
            <w:vAlign w:val="bottom"/>
            <w:hideMark/>
          </w:tcPr>
          <w:p w:rsidR="0082444E" w:rsidRPr="00E60205" w:rsidRDefault="0082444E" w:rsidP="00471B83">
            <w:pPr>
              <w:pStyle w:val="TableHeader"/>
            </w:pPr>
            <w:r w:rsidRPr="00E60205">
              <w:t>R-squared</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All Customers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0.95</w:t>
            </w:r>
          </w:p>
        </w:tc>
      </w:tr>
      <w:tr w:rsidR="0082444E" w:rsidRPr="00E60205" w:rsidTr="00BB1033">
        <w:trPr>
          <w:trHeight w:val="300"/>
          <w:jc w:val="center"/>
        </w:trPr>
        <w:tc>
          <w:tcPr>
            <w:tcW w:w="4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rPr>
                <w:b/>
                <w:bCs/>
              </w:rPr>
            </w:pPr>
            <w:r w:rsidRPr="00E60205">
              <w:rPr>
                <w:b/>
                <w:bCs/>
              </w:rPr>
              <w:t>Industry</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Agriculture, Mining &amp; Construction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0.85</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Manufacturing</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0.94</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Wholesale, Transport, other utilities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0.48</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Retail stores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0.98</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Offices, Hotels, Finance, Services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0.98</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Schools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0.91</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Institutional/Government</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0.98</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Other or undefined</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0.90</w:t>
            </w:r>
          </w:p>
        </w:tc>
      </w:tr>
      <w:tr w:rsidR="0082444E" w:rsidRPr="00E60205" w:rsidTr="00BB1033">
        <w:trPr>
          <w:trHeight w:val="300"/>
          <w:jc w:val="center"/>
        </w:trPr>
        <w:tc>
          <w:tcPr>
            <w:tcW w:w="4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rPr>
                <w:b/>
                <w:bCs/>
              </w:rPr>
            </w:pPr>
            <w:r w:rsidRPr="00E60205">
              <w:rPr>
                <w:b/>
                <w:bCs/>
              </w:rPr>
              <w:t>Local Capacity Area</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LA Basin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0.95</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Outside LA Basin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0.93</w:t>
            </w:r>
          </w:p>
        </w:tc>
      </w:tr>
      <w:tr w:rsidR="0082444E" w:rsidRPr="00E60205" w:rsidTr="00BB1033">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E60205" w:rsidRDefault="0082444E" w:rsidP="00471B83">
            <w:pPr>
              <w:pStyle w:val="TableText"/>
            </w:pPr>
            <w:r w:rsidRPr="00E60205">
              <w:t>Ventura</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E60205" w:rsidRDefault="0082444E" w:rsidP="00471B83">
            <w:pPr>
              <w:pStyle w:val="TableText"/>
              <w:jc w:val="center"/>
            </w:pPr>
            <w:r w:rsidRPr="00E60205">
              <w:t>0.98</w:t>
            </w:r>
          </w:p>
        </w:tc>
      </w:tr>
    </w:tbl>
    <w:p w:rsidR="0082444E" w:rsidRPr="00C95498" w:rsidRDefault="0082444E" w:rsidP="005C465D">
      <w:pPr>
        <w:pStyle w:val="BodyParaAfterTableFigure"/>
      </w:pPr>
      <w:r w:rsidRPr="00C95498">
        <w:t>Although many CPP customers are not highly weather sensitive, it is still useful to assess how well the model predicts in-sample under different temperature con</w:t>
      </w:r>
      <w:r>
        <w:t>ditions.  As seen in Figure C</w:t>
      </w:r>
      <w:r w:rsidR="002200C1">
        <w:t>-4</w:t>
      </w:r>
      <w:r w:rsidRPr="00C95498">
        <w:t xml:space="preserve">, the </w:t>
      </w:r>
      <w:r>
        <w:t>model</w:t>
      </w:r>
      <w:r w:rsidRPr="00C95498">
        <w:t xml:space="preserve"> predicts well across various temperatures, </w:t>
      </w:r>
      <w:r w:rsidRPr="007A6BD7">
        <w:t>with the average error for temperatu</w:t>
      </w:r>
      <w:r>
        <w:t>res between 70 to 97</w:t>
      </w:r>
      <w:r>
        <w:rPr>
          <w:rFonts w:cs="Arial"/>
        </w:rPr>
        <w:t>°</w:t>
      </w:r>
      <w:r>
        <w:t>F equal to -1.3%</w:t>
      </w:r>
      <w:r w:rsidRPr="007A6BD7">
        <w:t>.  The model</w:t>
      </w:r>
      <w:r>
        <w:t xml:space="preserve"> is most off</w:t>
      </w:r>
      <w:r w:rsidRPr="007A6BD7">
        <w:t xml:space="preserve"> </w:t>
      </w:r>
      <w:r>
        <w:t>between</w:t>
      </w:r>
      <w:r w:rsidRPr="007A6BD7">
        <w:t xml:space="preserve"> </w:t>
      </w:r>
      <w:r>
        <w:t>90 and 94</w:t>
      </w:r>
      <w:r>
        <w:rPr>
          <w:rFonts w:cs="Arial"/>
        </w:rPr>
        <w:t>°</w:t>
      </w:r>
      <w:r>
        <w:t>F,</w:t>
      </w:r>
      <w:r w:rsidRPr="007A6BD7">
        <w:t xml:space="preserve"> where </w:t>
      </w:r>
      <w:r>
        <w:t>it under predicts by -3.3%.</w:t>
      </w:r>
    </w:p>
    <w:p w:rsidR="0082444E" w:rsidRPr="00C95498" w:rsidRDefault="0082444E" w:rsidP="005C465D">
      <w:pPr>
        <w:pStyle w:val="TableFigureCaption"/>
      </w:pPr>
      <w:r>
        <w:lastRenderedPageBreak/>
        <w:t>Figure C</w:t>
      </w:r>
      <w:r w:rsidR="002200C1">
        <w:t>-4</w:t>
      </w:r>
      <w:r>
        <w:t>:</w:t>
      </w:r>
      <w:r w:rsidR="00345A24">
        <w:t xml:space="preserve"> </w:t>
      </w:r>
      <w:r w:rsidRPr="007A6BD7">
        <w:t>Actual v. Predicted Average Load by Temperature for SCE CPP Customers</w:t>
      </w:r>
    </w:p>
    <w:p w:rsidR="0082444E" w:rsidRDefault="0082444E" w:rsidP="0082444E">
      <w:pPr>
        <w:rPr>
          <w:rFonts w:ascii="Arial" w:hAnsi="Arial"/>
          <w:sz w:val="20"/>
        </w:rPr>
      </w:pPr>
      <w:r w:rsidRPr="00CF18FC">
        <w:rPr>
          <w:rFonts w:ascii="Arial" w:hAnsi="Arial"/>
          <w:noProof/>
          <w:sz w:val="20"/>
        </w:rPr>
        <w:drawing>
          <wp:inline distT="0" distB="0" distL="0" distR="0">
            <wp:extent cx="5722286" cy="2737104"/>
            <wp:effectExtent l="19050" t="0" r="11764" b="6096"/>
            <wp:docPr id="2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1B83" w:rsidRDefault="00471B83">
      <w:pPr>
        <w:rPr>
          <w:rFonts w:ascii="Arial" w:hAnsi="Arial"/>
          <w:sz w:val="20"/>
        </w:rPr>
      </w:pPr>
      <w:r>
        <w:rPr>
          <w:rFonts w:ascii="Arial" w:hAnsi="Arial"/>
          <w:sz w:val="20"/>
        </w:rPr>
        <w:br w:type="page"/>
      </w:r>
    </w:p>
    <w:p w:rsidR="0082444E" w:rsidRDefault="0082444E" w:rsidP="005C465D">
      <w:pPr>
        <w:pStyle w:val="AppendixHeading"/>
      </w:pPr>
      <w:bookmarkStart w:id="178" w:name="_Toc326072164"/>
      <w:r>
        <w:lastRenderedPageBreak/>
        <w:t>SDG&amp;E Validity Assessment</w:t>
      </w:r>
      <w:bookmarkEnd w:id="178"/>
    </w:p>
    <w:p w:rsidR="0082444E" w:rsidRPr="00462B2D" w:rsidRDefault="00753F45" w:rsidP="005C465D">
      <w:pPr>
        <w:pStyle w:val="BodyParagraph"/>
      </w:pPr>
      <w:r>
        <w:t>This section discusses the validation analysis that was done for the SDG&amp;E evaluation</w:t>
      </w:r>
      <w:r w:rsidR="0082444E">
        <w:t>.</w:t>
      </w:r>
    </w:p>
    <w:p w:rsidR="0082444E" w:rsidRDefault="0082444E" w:rsidP="007E0558">
      <w:pPr>
        <w:pStyle w:val="AppendixHeading2"/>
      </w:pPr>
      <w:bookmarkStart w:id="179" w:name="_Toc326072165"/>
      <w:r>
        <w:t>Out-of-sample Tests</w:t>
      </w:r>
      <w:bookmarkEnd w:id="179"/>
    </w:p>
    <w:p w:rsidR="0082444E" w:rsidRPr="00C95498" w:rsidRDefault="0082444E" w:rsidP="005C465D">
      <w:pPr>
        <w:pStyle w:val="BodyParagraph"/>
      </w:pPr>
      <w:r w:rsidRPr="00C95498">
        <w:t xml:space="preserve">The out-of-sample test results for SDG&amp;E show </w:t>
      </w:r>
      <w:r>
        <w:t>the bias</w:t>
      </w:r>
      <w:r w:rsidRPr="00C95498">
        <w:t xml:space="preserve"> in the reference load predictions on days </w:t>
      </w:r>
      <w:r>
        <w:t>similar to event days.  Figure D-1</w:t>
      </w:r>
      <w:r w:rsidRPr="00C95498">
        <w:t xml:space="preserve"> compares the actual and predicted load for each hour for the five false event days over which the regression specification</w:t>
      </w:r>
      <w:r>
        <w:t>s were tested.  On average, there is 0.2</w:t>
      </w:r>
      <w:r w:rsidRPr="00C95498">
        <w:t>% bias during event</w:t>
      </w:r>
      <w:r>
        <w:t>-like</w:t>
      </w:r>
      <w:r w:rsidRPr="00C95498">
        <w:t xml:space="preserve"> hours an</w:t>
      </w:r>
      <w:r>
        <w:t>d never more than 0.3% bias during event-like hours</w:t>
      </w:r>
      <w:r w:rsidRPr="00C95498">
        <w:t xml:space="preserve">.  </w:t>
      </w:r>
      <w:r>
        <w:t xml:space="preserve">The </w:t>
      </w:r>
      <w:r w:rsidRPr="00C95498">
        <w:t xml:space="preserve">model </w:t>
      </w:r>
      <w:r>
        <w:t>exhibits more error in the mid-morning hours.  The bias calculated for the out-of-sample tests indicates that the regression produces predictions with about 0.2% upward bias on the event-like days selected for the out-of-sample tests.  It would be reasonable to conclude that the reported ex post load impacts are biased in a similar direction and by a similar amount, though a visual check of the ex post results suggests that the model significantly under predicts.  As mentioned above, the regression specification is chosen based on the ex post results, the ex ante results and the validation assessments.  The very small degree</w:t>
      </w:r>
      <w:r w:rsidR="005269B5">
        <w:t xml:space="preserve"> of</w:t>
      </w:r>
      <w:r>
        <w:t xml:space="preserve"> bias observed in the out-of-sample tests as compared to PG&amp;E and SCE, which show very plausible ex post results</w:t>
      </w:r>
      <w:r w:rsidR="005269B5">
        <w:t>,</w:t>
      </w:r>
      <w:r>
        <w:t xml:space="preserve"> adds confidence that the pre-event </w:t>
      </w:r>
      <w:r w:rsidR="005269B5">
        <w:t>“</w:t>
      </w:r>
      <w:r>
        <w:t>bias</w:t>
      </w:r>
      <w:r w:rsidR="005269B5">
        <w:t>”</w:t>
      </w:r>
      <w:r>
        <w:t xml:space="preserve"> observed in the ex post results is due to customers shifting load and not due to the regression specification.</w:t>
      </w:r>
    </w:p>
    <w:p w:rsidR="0082444E" w:rsidRDefault="0082444E" w:rsidP="005C465D">
      <w:pPr>
        <w:pStyle w:val="TableFigureCaption"/>
      </w:pPr>
      <w:r>
        <w:t>Figure D-1:</w:t>
      </w:r>
      <w:r w:rsidR="00345A24">
        <w:t xml:space="preserve"> </w:t>
      </w:r>
      <w:r w:rsidRPr="00C95498">
        <w:t>Actual v. Predicted A</w:t>
      </w:r>
      <w:r>
        <w:t>verage</w:t>
      </w:r>
      <w:r w:rsidRPr="00C95498">
        <w:t xml:space="preserve"> Load by Hour for SDG&amp;E CPP Customers</w:t>
      </w:r>
      <w:r w:rsidRPr="00C95498">
        <w:br/>
        <w:t>False Event Days</w:t>
      </w:r>
    </w:p>
    <w:p w:rsidR="0082444E" w:rsidRDefault="0082444E" w:rsidP="005C465D">
      <w:pPr>
        <w:pStyle w:val="BodyParagraph"/>
      </w:pPr>
      <w:r w:rsidRPr="00732523">
        <w:rPr>
          <w:noProof/>
        </w:rPr>
        <w:drawing>
          <wp:inline distT="0" distB="0" distL="0" distR="0">
            <wp:extent cx="5716982" cy="2737104"/>
            <wp:effectExtent l="19050" t="0" r="17068" b="6096"/>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2444E" w:rsidRDefault="0082444E" w:rsidP="005C465D">
      <w:pPr>
        <w:pStyle w:val="BodyParaAfterTableFigure"/>
      </w:pPr>
      <w:r>
        <w:t>Table D</w:t>
      </w:r>
      <w:r w:rsidRPr="00EF6BB1">
        <w:t xml:space="preserve">-1 shows the average bias in the reference </w:t>
      </w:r>
      <w:r w:rsidRPr="00462B2D">
        <w:t>load</w:t>
      </w:r>
      <w:r w:rsidRPr="00EF6BB1">
        <w:t xml:space="preserve"> predictions during</w:t>
      </w:r>
      <w:r>
        <w:t xml:space="preserve"> event-like hours by industry.  D</w:t>
      </w:r>
      <w:r w:rsidR="001A54C9">
        <w:t>epending on the specific segment</w:t>
      </w:r>
      <w:r w:rsidRPr="00EF6BB1">
        <w:t xml:space="preserve"> assessed, there is </w:t>
      </w:r>
      <w:r>
        <w:t>between -1.5% and 2.0% bias.  Table D-1</w:t>
      </w:r>
      <w:r w:rsidRPr="00EF6BB1">
        <w:t xml:space="preserve"> also shows the percent of SDG&amp;E’s CPP population within</w:t>
      </w:r>
      <w:r w:rsidR="00DF29D8">
        <w:t xml:space="preserve"> each industry segment</w:t>
      </w:r>
      <w:r>
        <w:t>.  C</w:t>
      </w:r>
      <w:r w:rsidRPr="00EF6BB1">
        <w:t xml:space="preserve">ustomers in the </w:t>
      </w:r>
      <w:r>
        <w:t>Agricultural</w:t>
      </w:r>
      <w:r w:rsidR="00DF29D8">
        <w:t xml:space="preserve">, Mining &amp; Construction </w:t>
      </w:r>
      <w:r w:rsidR="001A54C9">
        <w:t>segment</w:t>
      </w:r>
      <w:r>
        <w:t xml:space="preserve"> show the most bias during event-like hours</w:t>
      </w:r>
      <w:r w:rsidRPr="00EF6BB1">
        <w:t>.</w:t>
      </w:r>
      <w:r>
        <w:t xml:space="preserve">  There are few customers in th</w:t>
      </w:r>
      <w:r w:rsidR="00DF29D8">
        <w:t xml:space="preserve">is </w:t>
      </w:r>
      <w:r w:rsidR="001A54C9">
        <w:t xml:space="preserve">segment </w:t>
      </w:r>
      <w:r>
        <w:t>so bias is expected to be higher.</w:t>
      </w:r>
      <w:r w:rsidRPr="00EF6BB1">
        <w:t xml:space="preserve">  </w:t>
      </w:r>
      <w:r w:rsidR="001A54C9">
        <w:t>Across the other industry segments</w:t>
      </w:r>
      <w:r>
        <w:t xml:space="preserve">, there is absolute bias of 1.5% or less during event-like hours. </w:t>
      </w:r>
    </w:p>
    <w:p w:rsidR="0082444E" w:rsidRDefault="0082444E" w:rsidP="005C465D">
      <w:pPr>
        <w:pStyle w:val="TableFigureCaption"/>
      </w:pPr>
      <w:r>
        <w:br w:type="page"/>
      </w:r>
      <w:r w:rsidRPr="00CF18FC">
        <w:lastRenderedPageBreak/>
        <w:t xml:space="preserve">Table </w:t>
      </w:r>
      <w:r>
        <w:t>D</w:t>
      </w:r>
      <w:r w:rsidRPr="00CF18FC">
        <w:t>-1:</w:t>
      </w:r>
      <w:r w:rsidR="00345A24">
        <w:t xml:space="preserve"> </w:t>
      </w:r>
      <w:r w:rsidRPr="00CF18FC">
        <w:t>Actual v. Predicted Average Load by Industry for SDG&amp;E CPP Customers</w:t>
      </w:r>
      <w:r w:rsidRPr="00CF18FC">
        <w:br/>
        <w:t>False Event Hours</w:t>
      </w:r>
    </w:p>
    <w:tbl>
      <w:tblPr>
        <w:tblW w:w="9900" w:type="dxa"/>
        <w:tblInd w:w="103" w:type="dxa"/>
        <w:tblLook w:val="04A0"/>
      </w:tblPr>
      <w:tblGrid>
        <w:gridCol w:w="3740"/>
        <w:gridCol w:w="1576"/>
        <w:gridCol w:w="1360"/>
        <w:gridCol w:w="1360"/>
        <w:gridCol w:w="880"/>
        <w:gridCol w:w="984"/>
      </w:tblGrid>
      <w:tr w:rsidR="0082444E" w:rsidRPr="00CF18FC" w:rsidTr="00BB1033">
        <w:trPr>
          <w:trHeight w:val="300"/>
        </w:trPr>
        <w:tc>
          <w:tcPr>
            <w:tcW w:w="374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Industry</w:t>
            </w:r>
          </w:p>
        </w:tc>
        <w:tc>
          <w:tcPr>
            <w:tcW w:w="1576"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 Population</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Actual kW</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Predicted kW</w:t>
            </w:r>
          </w:p>
        </w:tc>
        <w:tc>
          <w:tcPr>
            <w:tcW w:w="880" w:type="dxa"/>
            <w:tcBorders>
              <w:top w:val="single" w:sz="4" w:space="0" w:color="auto"/>
              <w:left w:val="nil"/>
              <w:bottom w:val="nil"/>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Bias</w:t>
            </w:r>
          </w:p>
        </w:tc>
        <w:tc>
          <w:tcPr>
            <w:tcW w:w="984" w:type="dxa"/>
            <w:tcBorders>
              <w:top w:val="single" w:sz="4" w:space="0" w:color="auto"/>
              <w:left w:val="nil"/>
              <w:bottom w:val="nil"/>
              <w:right w:val="single" w:sz="4" w:space="0" w:color="auto"/>
            </w:tcBorders>
            <w:shd w:val="clear" w:color="000000" w:fill="1F497D" w:themeFill="text2"/>
            <w:noWrap/>
            <w:vAlign w:val="center"/>
            <w:hideMark/>
          </w:tcPr>
          <w:p w:rsidR="0082444E" w:rsidRPr="00CF18FC" w:rsidRDefault="0082444E" w:rsidP="00471B83">
            <w:pPr>
              <w:pStyle w:val="TableHeader"/>
            </w:pPr>
            <w:r w:rsidRPr="00CF18FC">
              <w:t>% Bias</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Agriculture, Mining &amp; Construction</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300.4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306.5</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6.1</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2.0%</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Manufacturing</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305.2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300.5</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-4.6</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-1.5%</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Wholesale, Transport &amp; Other Utilities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18.9%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157.7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158.5</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0.8</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0.5%</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Retail Stores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8.1%</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310.2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312.4</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2.3</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0.7%</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Offices, Hotels, Finance, Services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29.6%</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399.2</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400.4</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0.3%</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Schools</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17.7%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142.0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142.0</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0.0</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0.0%</w:t>
            </w:r>
          </w:p>
        </w:tc>
      </w:tr>
      <w:tr w:rsidR="0082444E" w:rsidRPr="00CF18FC" w:rsidTr="0082444E">
        <w:trPr>
          <w:trHeight w:val="300"/>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Institutional/Government</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11.9%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232.7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234.6</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1.9</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0.8%</w:t>
            </w:r>
          </w:p>
        </w:tc>
      </w:tr>
    </w:tbl>
    <w:p w:rsidR="0082444E" w:rsidRDefault="0082444E" w:rsidP="005C465D">
      <w:pPr>
        <w:pStyle w:val="BodyParaAfterTableFigure"/>
      </w:pPr>
      <w:r>
        <w:t>Table D</w:t>
      </w:r>
      <w:r w:rsidRPr="00E96C19">
        <w:t>-2 shows the average bias in the reference load predictions</w:t>
      </w:r>
      <w:r>
        <w:t xml:space="preserve"> for SDG&amp;E’s CPP customers</w:t>
      </w:r>
      <w:r w:rsidRPr="00E96C19">
        <w:t xml:space="preserve"> dur</w:t>
      </w:r>
      <w:r>
        <w:t xml:space="preserve">ing event-like hours by size category.  </w:t>
      </w:r>
      <w:r w:rsidRPr="00462B2D">
        <w:t>Depending</w:t>
      </w:r>
      <w:r w:rsidRPr="00E96C19">
        <w:t xml:space="preserve"> on the specific gr</w:t>
      </w:r>
      <w:r>
        <w:t>oup assessed, there is between -</w:t>
      </w:r>
      <w:r w:rsidR="005269B5">
        <w:t>0</w:t>
      </w:r>
      <w:r>
        <w:t>.9% and 0.8</w:t>
      </w:r>
      <w:r w:rsidRPr="00E96C19">
        <w:t>% bias.  Table</w:t>
      </w:r>
      <w:r>
        <w:t xml:space="preserve"> D</w:t>
      </w:r>
      <w:r w:rsidRPr="00E96C19">
        <w:t xml:space="preserve">-2 also shows the percent of SDG&amp;E’s CPP population within each </w:t>
      </w:r>
      <w:r>
        <w:t>size</w:t>
      </w:r>
      <w:r w:rsidRPr="00E96C19">
        <w:t xml:space="preserve"> category.  </w:t>
      </w:r>
      <w:r>
        <w:t xml:space="preserve">Though there are far fewer customers in the Over 500 Average kW category, the reference loads of these customers are predicted accurately. </w:t>
      </w:r>
      <w:r w:rsidRPr="00E96C19">
        <w:t xml:space="preserve"> </w:t>
      </w:r>
      <w:r>
        <w:t>The reference load predictions are most biased for the customers under 50 average kW, but at less than 1%, the bias for this segment is still minimal.</w:t>
      </w:r>
    </w:p>
    <w:p w:rsidR="0082444E" w:rsidRDefault="0082444E" w:rsidP="005C465D">
      <w:pPr>
        <w:pStyle w:val="TableFigureCaption"/>
      </w:pPr>
      <w:r>
        <w:t>Table D-2:</w:t>
      </w:r>
      <w:r w:rsidR="00345A24">
        <w:t xml:space="preserve"> </w:t>
      </w:r>
      <w:r w:rsidRPr="00C95498">
        <w:t xml:space="preserve">Actual v. </w:t>
      </w:r>
      <w:r>
        <w:t>Predicted Average Load by Size Category</w:t>
      </w:r>
      <w:r w:rsidRPr="00C95498">
        <w:t xml:space="preserve"> for SDG&amp;E CPP Customers</w:t>
      </w:r>
      <w:r w:rsidRPr="00C95498">
        <w:br/>
        <w:t xml:space="preserve">False Event </w:t>
      </w:r>
      <w:r>
        <w:t>Hours</w:t>
      </w:r>
    </w:p>
    <w:tbl>
      <w:tblPr>
        <w:tblW w:w="9900" w:type="dxa"/>
        <w:jc w:val="center"/>
        <w:tblLook w:val="04A0"/>
      </w:tblPr>
      <w:tblGrid>
        <w:gridCol w:w="3740"/>
        <w:gridCol w:w="1576"/>
        <w:gridCol w:w="1360"/>
        <w:gridCol w:w="1360"/>
        <w:gridCol w:w="880"/>
        <w:gridCol w:w="984"/>
      </w:tblGrid>
      <w:tr w:rsidR="0082444E" w:rsidRPr="00CF18FC" w:rsidTr="00BB1033">
        <w:trPr>
          <w:trHeight w:val="300"/>
          <w:jc w:val="center"/>
        </w:trPr>
        <w:tc>
          <w:tcPr>
            <w:tcW w:w="374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Size Bins</w:t>
            </w:r>
          </w:p>
        </w:tc>
        <w:tc>
          <w:tcPr>
            <w:tcW w:w="1576"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 Population</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Actual kW</w:t>
            </w:r>
          </w:p>
        </w:tc>
        <w:tc>
          <w:tcPr>
            <w:tcW w:w="136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Predicted kW</w:t>
            </w:r>
          </w:p>
        </w:tc>
        <w:tc>
          <w:tcPr>
            <w:tcW w:w="880" w:type="dxa"/>
            <w:tcBorders>
              <w:top w:val="single" w:sz="4" w:space="0" w:color="auto"/>
              <w:left w:val="nil"/>
              <w:bottom w:val="nil"/>
              <w:right w:val="single" w:sz="4" w:space="0" w:color="FFFFFF"/>
            </w:tcBorders>
            <w:shd w:val="clear" w:color="000000" w:fill="1F497D" w:themeFill="text2"/>
            <w:noWrap/>
            <w:vAlign w:val="center"/>
            <w:hideMark/>
          </w:tcPr>
          <w:p w:rsidR="0082444E" w:rsidRPr="00CF18FC" w:rsidRDefault="0082444E" w:rsidP="00471B83">
            <w:pPr>
              <w:pStyle w:val="TableHeader"/>
            </w:pPr>
            <w:r w:rsidRPr="00CF18FC">
              <w:t>Bias</w:t>
            </w:r>
          </w:p>
        </w:tc>
        <w:tc>
          <w:tcPr>
            <w:tcW w:w="984" w:type="dxa"/>
            <w:tcBorders>
              <w:top w:val="single" w:sz="4" w:space="0" w:color="auto"/>
              <w:left w:val="nil"/>
              <w:bottom w:val="nil"/>
              <w:right w:val="single" w:sz="4" w:space="0" w:color="auto"/>
            </w:tcBorders>
            <w:shd w:val="clear" w:color="000000" w:fill="1F497D" w:themeFill="text2"/>
            <w:noWrap/>
            <w:vAlign w:val="center"/>
            <w:hideMark/>
          </w:tcPr>
          <w:p w:rsidR="0082444E" w:rsidRPr="00CF18FC" w:rsidRDefault="0082444E" w:rsidP="00471B83">
            <w:pPr>
              <w:pStyle w:val="TableHeader"/>
            </w:pPr>
            <w:r w:rsidRPr="00CF18FC">
              <w:t>% Bias</w:t>
            </w:r>
          </w:p>
        </w:tc>
      </w:tr>
      <w:tr w:rsidR="0082444E" w:rsidRPr="00CF18F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Under 50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24.8%</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41.4</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41.0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-0.4</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-0.9%</w:t>
            </w:r>
          </w:p>
        </w:tc>
      </w:tr>
      <w:tr w:rsidR="0082444E" w:rsidRPr="00CF18F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50 to 100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20.3%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129.0</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128.9</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-0.2</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-0.1%</w:t>
            </w:r>
          </w:p>
        </w:tc>
      </w:tr>
      <w:tr w:rsidR="0082444E" w:rsidRPr="00CF18F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100-200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26.7%</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218.9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218.6</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-0.3</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-0.1%</w:t>
            </w:r>
          </w:p>
        </w:tc>
      </w:tr>
      <w:tr w:rsidR="0082444E" w:rsidRPr="00CF18F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200-500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21.3%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426.8</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426.5</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-0.3</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-0.1%</w:t>
            </w:r>
          </w:p>
        </w:tc>
      </w:tr>
      <w:tr w:rsidR="0082444E" w:rsidRPr="00CF18FC" w:rsidTr="00BB1033">
        <w:trPr>
          <w:trHeight w:val="300"/>
          <w:jc w:val="center"/>
        </w:trPr>
        <w:tc>
          <w:tcPr>
            <w:tcW w:w="3740" w:type="dxa"/>
            <w:tcBorders>
              <w:top w:val="nil"/>
              <w:left w:val="single" w:sz="4" w:space="0" w:color="auto"/>
              <w:bottom w:val="single" w:sz="4" w:space="0" w:color="auto"/>
              <w:right w:val="single" w:sz="4" w:space="0" w:color="auto"/>
            </w:tcBorders>
            <w:shd w:val="clear" w:color="auto" w:fill="auto"/>
            <w:noWrap/>
            <w:vAlign w:val="center"/>
            <w:hideMark/>
          </w:tcPr>
          <w:p w:rsidR="0082444E" w:rsidRPr="00CF18FC" w:rsidRDefault="0082444E" w:rsidP="00471B83">
            <w:pPr>
              <w:pStyle w:val="TableText"/>
            </w:pPr>
            <w:r w:rsidRPr="00CF18FC">
              <w:t>Over 500 Average kW</w:t>
            </w:r>
          </w:p>
        </w:tc>
        <w:tc>
          <w:tcPr>
            <w:tcW w:w="1576"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6.9%</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1213.3</w:t>
            </w:r>
          </w:p>
        </w:tc>
        <w:tc>
          <w:tcPr>
            <w:tcW w:w="136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1222.7</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9.5</w:t>
            </w:r>
          </w:p>
        </w:tc>
        <w:tc>
          <w:tcPr>
            <w:tcW w:w="984" w:type="dxa"/>
            <w:tcBorders>
              <w:top w:val="nil"/>
              <w:left w:val="nil"/>
              <w:bottom w:val="single" w:sz="4" w:space="0" w:color="auto"/>
              <w:right w:val="single" w:sz="4" w:space="0" w:color="auto"/>
            </w:tcBorders>
            <w:shd w:val="clear" w:color="auto" w:fill="auto"/>
            <w:noWrap/>
            <w:vAlign w:val="center"/>
            <w:hideMark/>
          </w:tcPr>
          <w:p w:rsidR="0082444E" w:rsidRPr="00CF18FC" w:rsidRDefault="0082444E" w:rsidP="00471B83">
            <w:pPr>
              <w:pStyle w:val="TableText"/>
              <w:jc w:val="center"/>
            </w:pPr>
            <w:r w:rsidRPr="00CF18FC">
              <w:t>0.8%</w:t>
            </w:r>
          </w:p>
        </w:tc>
      </w:tr>
    </w:tbl>
    <w:p w:rsidR="0082444E" w:rsidRPr="00C95498" w:rsidRDefault="0082444E" w:rsidP="00345A24">
      <w:pPr>
        <w:pStyle w:val="AppendixHeading2"/>
        <w:spacing w:before="360"/>
      </w:pPr>
      <w:bookmarkStart w:id="180" w:name="_Toc311754320"/>
      <w:bookmarkStart w:id="181" w:name="_Toc326072166"/>
      <w:r>
        <w:t>False Event Coefficient Tests</w:t>
      </w:r>
      <w:bookmarkEnd w:id="180"/>
      <w:bookmarkEnd w:id="181"/>
    </w:p>
    <w:p w:rsidR="00471B83" w:rsidRDefault="0082444E" w:rsidP="005C465D">
      <w:pPr>
        <w:pStyle w:val="BodyParagraph"/>
      </w:pPr>
      <w:r>
        <w:t xml:space="preserve">Dividing the actual sum of kW for each hour by the sum of betas on the false event day variables gives us the percent by which the estimated coefficients impact actual kW.  The default assumption is that false event day variables should have 0% impact on the dependent </w:t>
      </w:r>
      <w:proofErr w:type="gramStart"/>
      <w:r>
        <w:t>variable,</w:t>
      </w:r>
      <w:proofErr w:type="gramEnd"/>
      <w:r>
        <w:t xml:space="preserve"> otherwise there is evidence that the betas are correlated with the error term.  Table D</w:t>
      </w:r>
      <w:r w:rsidR="005269B5">
        <w:t>-3 shows the results from the</w:t>
      </w:r>
      <w:r>
        <w:t xml:space="preserve"> false event coefficient tests.  The percent bias is under 1% for all event-like hours.</w:t>
      </w:r>
    </w:p>
    <w:p w:rsidR="00471B83" w:rsidRDefault="00471B83">
      <w:pPr>
        <w:rPr>
          <w:rFonts w:ascii="Arial" w:hAnsi="Arial"/>
          <w:sz w:val="20"/>
        </w:rPr>
      </w:pPr>
      <w:r>
        <w:br w:type="page"/>
      </w:r>
    </w:p>
    <w:p w:rsidR="0082444E" w:rsidRDefault="0082444E" w:rsidP="005C465D">
      <w:pPr>
        <w:pStyle w:val="TableFigureCaption"/>
      </w:pPr>
      <w:r w:rsidRPr="00B3235F">
        <w:lastRenderedPageBreak/>
        <w:t>Table</w:t>
      </w:r>
      <w:r>
        <w:t xml:space="preserve"> D-3:</w:t>
      </w:r>
      <w:r w:rsidR="00345A24">
        <w:t xml:space="preserve"> </w:t>
      </w:r>
      <w:r>
        <w:t xml:space="preserve">Percent Bias from Aggregate False Event Coefficients </w:t>
      </w:r>
    </w:p>
    <w:tbl>
      <w:tblPr>
        <w:tblW w:w="4380" w:type="dxa"/>
        <w:jc w:val="center"/>
        <w:tblLook w:val="04A0"/>
      </w:tblPr>
      <w:tblGrid>
        <w:gridCol w:w="980"/>
        <w:gridCol w:w="1220"/>
        <w:gridCol w:w="1300"/>
        <w:gridCol w:w="880"/>
      </w:tblGrid>
      <w:tr w:rsidR="0082444E" w:rsidRPr="00573411" w:rsidTr="0060183E">
        <w:trPr>
          <w:trHeight w:val="300"/>
          <w:jc w:val="center"/>
        </w:trPr>
        <w:tc>
          <w:tcPr>
            <w:tcW w:w="98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2444E" w:rsidRPr="00573411" w:rsidRDefault="0082444E" w:rsidP="00471B83">
            <w:pPr>
              <w:pStyle w:val="TableHeader"/>
            </w:pPr>
            <w:r w:rsidRPr="00573411">
              <w:t>Hour</w:t>
            </w:r>
          </w:p>
        </w:tc>
        <w:tc>
          <w:tcPr>
            <w:tcW w:w="122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73411" w:rsidRDefault="0082444E" w:rsidP="00471B83">
            <w:pPr>
              <w:pStyle w:val="TableHeader"/>
            </w:pPr>
            <w:r w:rsidRPr="00573411">
              <w:t>Sum of kWh</w:t>
            </w:r>
          </w:p>
        </w:tc>
        <w:tc>
          <w:tcPr>
            <w:tcW w:w="130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2444E" w:rsidRPr="00573411" w:rsidRDefault="0082444E" w:rsidP="00471B83">
            <w:pPr>
              <w:pStyle w:val="TableHeader"/>
            </w:pPr>
            <w:r w:rsidRPr="00573411">
              <w:t>Sum of Betas</w:t>
            </w:r>
          </w:p>
        </w:tc>
        <w:tc>
          <w:tcPr>
            <w:tcW w:w="880"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82444E" w:rsidRPr="00573411" w:rsidRDefault="0082444E" w:rsidP="00471B83">
            <w:pPr>
              <w:pStyle w:val="TableHeader"/>
            </w:pPr>
            <w:r w:rsidRPr="00573411">
              <w:t>% Bias</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12</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1752581</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8367.232</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0.48%</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13</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1763283</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6506.693</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0.37%</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14</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1775194</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15876.77</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0.89%</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15</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1759962</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13385.87</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0.76%</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16</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1710845</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8166.796</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0.48%</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17</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1650428</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3241.77</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0.20%</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18</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1561135</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4987.382</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0.32%</w:t>
            </w:r>
          </w:p>
        </w:tc>
      </w:tr>
      <w:tr w:rsidR="0082444E" w:rsidRPr="00573411" w:rsidTr="0060183E">
        <w:trPr>
          <w:trHeight w:val="300"/>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573411" w:rsidRDefault="0082444E" w:rsidP="00471B83">
            <w:pPr>
              <w:pStyle w:val="TableText"/>
              <w:jc w:val="center"/>
            </w:pPr>
            <w:r w:rsidRPr="00573411">
              <w:t>Total</w:t>
            </w:r>
          </w:p>
        </w:tc>
        <w:tc>
          <w:tcPr>
            <w:tcW w:w="122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12000000</w:t>
            </w:r>
          </w:p>
        </w:tc>
        <w:tc>
          <w:tcPr>
            <w:tcW w:w="130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60532.51</w:t>
            </w:r>
          </w:p>
        </w:tc>
        <w:tc>
          <w:tcPr>
            <w:tcW w:w="880" w:type="dxa"/>
            <w:tcBorders>
              <w:top w:val="nil"/>
              <w:left w:val="nil"/>
              <w:bottom w:val="single" w:sz="4" w:space="0" w:color="auto"/>
              <w:right w:val="single" w:sz="4" w:space="0" w:color="auto"/>
            </w:tcBorders>
            <w:shd w:val="clear" w:color="auto" w:fill="auto"/>
            <w:noWrap/>
            <w:vAlign w:val="center"/>
            <w:hideMark/>
          </w:tcPr>
          <w:p w:rsidR="0082444E" w:rsidRPr="00573411" w:rsidRDefault="0082444E" w:rsidP="00471B83">
            <w:pPr>
              <w:pStyle w:val="TableText"/>
              <w:jc w:val="center"/>
            </w:pPr>
            <w:r w:rsidRPr="00573411">
              <w:t>0.50%</w:t>
            </w:r>
          </w:p>
        </w:tc>
      </w:tr>
    </w:tbl>
    <w:p w:rsidR="0082444E" w:rsidRDefault="0082444E" w:rsidP="005C465D">
      <w:pPr>
        <w:pStyle w:val="BodyParagraph"/>
      </w:pPr>
    </w:p>
    <w:p w:rsidR="0082444E" w:rsidRDefault="0082444E" w:rsidP="007E0558">
      <w:pPr>
        <w:pStyle w:val="AppendixHeading2"/>
      </w:pPr>
      <w:bookmarkStart w:id="182" w:name="_Toc311386304"/>
      <w:bookmarkStart w:id="183" w:name="_Toc311754321"/>
      <w:bookmarkStart w:id="184" w:name="_Toc326072167"/>
      <w:r w:rsidRPr="00B3235F">
        <w:t>Control</w:t>
      </w:r>
      <w:r>
        <w:t xml:space="preserve"> Group Analysis</w:t>
      </w:r>
      <w:bookmarkEnd w:id="182"/>
      <w:bookmarkEnd w:id="183"/>
      <w:bookmarkEnd w:id="184"/>
    </w:p>
    <w:p w:rsidR="00432472" w:rsidRPr="009E6DA3" w:rsidRDefault="00432472" w:rsidP="005C465D">
      <w:pPr>
        <w:pStyle w:val="BodyParagraph"/>
      </w:pPr>
      <w:r>
        <w:t xml:space="preserve">At SDG&amp;E the control group results differ most from the individual customer regression results for the September 7 event.  The PG&amp;E analysis also showed the greatest difference between control group and individual customer regression results on this day. </w:t>
      </w:r>
      <w:r w:rsidR="009F6B9D">
        <w:t xml:space="preserve"> </w:t>
      </w:r>
      <w:r>
        <w:t>While an interesting coincidence, it is hard to draw conclusions concerning why the greatest difference between the two methods at each utility occurred on this day.  Despite the limitations of both the control group analysis and the individual customer regression analysis at SDG&amp;E due to lack of opt-out TOU customer data and few event days being called, the impacts line up reasonably well across the different methods, bolstering confidence in the results of both</w:t>
      </w:r>
      <w:r w:rsidR="00471B83">
        <w:t> </w:t>
      </w:r>
      <w:r>
        <w:t>analyses.</w:t>
      </w:r>
    </w:p>
    <w:p w:rsidR="00432472" w:rsidRDefault="00432472" w:rsidP="005C465D">
      <w:pPr>
        <w:pStyle w:val="TableFigureCaption"/>
      </w:pPr>
      <w:r>
        <w:t>Table D-4:</w:t>
      </w:r>
      <w:r w:rsidR="00345A24">
        <w:t xml:space="preserve"> </w:t>
      </w:r>
      <w:r>
        <w:t>Estimated Ex Post Load Impacts by Event Day and Analysis Method</w:t>
      </w:r>
      <w:r>
        <w:br/>
        <w:t>2011 SDG&amp;E CPP Events</w:t>
      </w:r>
    </w:p>
    <w:tbl>
      <w:tblPr>
        <w:tblW w:w="9292" w:type="dxa"/>
        <w:jc w:val="center"/>
        <w:tblInd w:w="1614" w:type="dxa"/>
        <w:tblLook w:val="04A0"/>
      </w:tblPr>
      <w:tblGrid>
        <w:gridCol w:w="1017"/>
        <w:gridCol w:w="1559"/>
        <w:gridCol w:w="1297"/>
        <w:gridCol w:w="1513"/>
        <w:gridCol w:w="1350"/>
        <w:gridCol w:w="1350"/>
        <w:gridCol w:w="1307"/>
      </w:tblGrid>
      <w:tr w:rsidR="00BB1033" w:rsidRPr="00BB1033" w:rsidTr="00BB1033">
        <w:trPr>
          <w:trHeight w:val="638"/>
          <w:jc w:val="center"/>
        </w:trPr>
        <w:tc>
          <w:tcPr>
            <w:tcW w:w="1017"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Event Date</w:t>
            </w:r>
          </w:p>
        </w:tc>
        <w:tc>
          <w:tcPr>
            <w:tcW w:w="1559" w:type="dxa"/>
            <w:tcBorders>
              <w:top w:val="single" w:sz="4" w:space="0" w:color="auto"/>
              <w:left w:val="nil"/>
              <w:bottom w:val="single" w:sz="4" w:space="0" w:color="auto"/>
              <w:right w:val="single" w:sz="4" w:space="0" w:color="FFFFFF"/>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Number of Participants</w:t>
            </w:r>
          </w:p>
        </w:tc>
        <w:tc>
          <w:tcPr>
            <w:tcW w:w="1196" w:type="dxa"/>
            <w:tcBorders>
              <w:top w:val="single" w:sz="4" w:space="0" w:color="auto"/>
              <w:left w:val="nil"/>
              <w:bottom w:val="single" w:sz="4" w:space="0" w:color="auto"/>
              <w:right w:val="single" w:sz="4" w:space="0" w:color="FFFFFF"/>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 Load Impact -Regressions</w:t>
            </w:r>
          </w:p>
        </w:tc>
        <w:tc>
          <w:tcPr>
            <w:tcW w:w="1513" w:type="dxa"/>
            <w:tcBorders>
              <w:top w:val="single" w:sz="4" w:space="0" w:color="auto"/>
              <w:left w:val="nil"/>
              <w:bottom w:val="single" w:sz="4" w:space="0" w:color="auto"/>
              <w:right w:val="single" w:sz="4" w:space="0" w:color="FFFFFF"/>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Aggregate Load Impact - Regressions (MW)</w:t>
            </w:r>
          </w:p>
        </w:tc>
        <w:tc>
          <w:tcPr>
            <w:tcW w:w="1350" w:type="dxa"/>
            <w:tcBorders>
              <w:top w:val="single" w:sz="4" w:space="0" w:color="auto"/>
              <w:left w:val="nil"/>
              <w:bottom w:val="single" w:sz="4" w:space="0" w:color="auto"/>
              <w:right w:val="single" w:sz="4" w:space="0" w:color="FFFFFF"/>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 Load Impact -Control Group</w:t>
            </w:r>
          </w:p>
        </w:tc>
        <w:tc>
          <w:tcPr>
            <w:tcW w:w="1350" w:type="dxa"/>
            <w:tcBorders>
              <w:top w:val="single" w:sz="4" w:space="0" w:color="auto"/>
              <w:left w:val="nil"/>
              <w:bottom w:val="single" w:sz="4" w:space="0" w:color="auto"/>
              <w:right w:val="single" w:sz="4" w:space="0" w:color="FFFFFF"/>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Aggregate Load Impact - Control Group (MW)</w:t>
            </w:r>
          </w:p>
        </w:tc>
        <w:tc>
          <w:tcPr>
            <w:tcW w:w="1307" w:type="dxa"/>
            <w:tcBorders>
              <w:top w:val="single" w:sz="4" w:space="0" w:color="auto"/>
              <w:left w:val="nil"/>
              <w:bottom w:val="single" w:sz="4" w:space="0" w:color="auto"/>
              <w:right w:val="single" w:sz="4" w:space="0" w:color="auto"/>
            </w:tcBorders>
            <w:shd w:val="clear" w:color="000000" w:fill="1F497D" w:themeFill="text2"/>
            <w:vAlign w:val="center"/>
            <w:hideMark/>
          </w:tcPr>
          <w:p w:rsidR="00432472" w:rsidRPr="00BB1033" w:rsidRDefault="00432472" w:rsidP="00471B83">
            <w:pPr>
              <w:pStyle w:val="TableHeader"/>
              <w:rPr>
                <w:sz w:val="18"/>
                <w:szCs w:val="18"/>
              </w:rPr>
            </w:pPr>
            <w:r w:rsidRPr="00BB1033">
              <w:rPr>
                <w:sz w:val="18"/>
                <w:szCs w:val="18"/>
              </w:rPr>
              <w:t>Average Temperature During Event (°F)</w:t>
            </w:r>
          </w:p>
        </w:tc>
      </w:tr>
      <w:tr w:rsidR="00BB1033" w:rsidRPr="001E5F6E" w:rsidTr="00BB103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rPr>
                <w:szCs w:val="20"/>
              </w:rPr>
            </w:pPr>
            <w:r w:rsidRPr="00471B83">
              <w:rPr>
                <w:szCs w:val="20"/>
              </w:rPr>
              <w:t>8/27/2011</w:t>
            </w:r>
          </w:p>
        </w:tc>
        <w:tc>
          <w:tcPr>
            <w:tcW w:w="1559"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rPr>
                <w:szCs w:val="20"/>
              </w:rPr>
            </w:pPr>
            <w:r w:rsidRPr="00471B83">
              <w:rPr>
                <w:szCs w:val="20"/>
              </w:rPr>
              <w:t>1,291</w:t>
            </w:r>
          </w:p>
        </w:tc>
        <w:tc>
          <w:tcPr>
            <w:tcW w:w="1196"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6.3%</w:t>
            </w:r>
          </w:p>
        </w:tc>
        <w:tc>
          <w:tcPr>
            <w:tcW w:w="1513"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16.9</w:t>
            </w:r>
          </w:p>
        </w:tc>
        <w:tc>
          <w:tcPr>
            <w:tcW w:w="1350"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5.4%</w:t>
            </w:r>
          </w:p>
        </w:tc>
        <w:tc>
          <w:tcPr>
            <w:tcW w:w="1350"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14.8</w:t>
            </w:r>
          </w:p>
        </w:tc>
        <w:tc>
          <w:tcPr>
            <w:tcW w:w="1307"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rPr>
                <w:szCs w:val="20"/>
              </w:rPr>
            </w:pPr>
            <w:r w:rsidRPr="00471B83">
              <w:rPr>
                <w:szCs w:val="20"/>
              </w:rPr>
              <w:t>79.5</w:t>
            </w:r>
          </w:p>
        </w:tc>
      </w:tr>
      <w:tr w:rsidR="00BB1033" w:rsidRPr="001E5F6E" w:rsidTr="00BB1033">
        <w:trPr>
          <w:trHeight w:val="300"/>
          <w:jc w:val="center"/>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rPr>
                <w:szCs w:val="20"/>
              </w:rPr>
            </w:pPr>
            <w:r w:rsidRPr="00471B83">
              <w:rPr>
                <w:szCs w:val="20"/>
              </w:rPr>
              <w:t>9/7/2011</w:t>
            </w:r>
          </w:p>
        </w:tc>
        <w:tc>
          <w:tcPr>
            <w:tcW w:w="1559"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rPr>
                <w:szCs w:val="20"/>
              </w:rPr>
            </w:pPr>
            <w:r w:rsidRPr="00471B83">
              <w:rPr>
                <w:szCs w:val="20"/>
              </w:rPr>
              <w:t>1,293</w:t>
            </w:r>
          </w:p>
        </w:tc>
        <w:tc>
          <w:tcPr>
            <w:tcW w:w="1196"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5.2%</w:t>
            </w:r>
          </w:p>
        </w:tc>
        <w:tc>
          <w:tcPr>
            <w:tcW w:w="1513"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18.6</w:t>
            </w:r>
          </w:p>
        </w:tc>
        <w:tc>
          <w:tcPr>
            <w:tcW w:w="1350"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6.7%</w:t>
            </w:r>
          </w:p>
        </w:tc>
        <w:tc>
          <w:tcPr>
            <w:tcW w:w="1350"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pPr>
            <w:r w:rsidRPr="00471B83">
              <w:t>25.0</w:t>
            </w:r>
          </w:p>
        </w:tc>
        <w:tc>
          <w:tcPr>
            <w:tcW w:w="1307" w:type="dxa"/>
            <w:tcBorders>
              <w:top w:val="nil"/>
              <w:left w:val="nil"/>
              <w:bottom w:val="single" w:sz="4" w:space="0" w:color="auto"/>
              <w:right w:val="single" w:sz="4" w:space="0" w:color="auto"/>
            </w:tcBorders>
            <w:shd w:val="clear" w:color="auto" w:fill="auto"/>
            <w:noWrap/>
            <w:vAlign w:val="center"/>
            <w:hideMark/>
          </w:tcPr>
          <w:p w:rsidR="00432472" w:rsidRPr="00471B83" w:rsidRDefault="00432472" w:rsidP="00471B83">
            <w:pPr>
              <w:pStyle w:val="TableText"/>
              <w:jc w:val="center"/>
              <w:rPr>
                <w:szCs w:val="20"/>
              </w:rPr>
            </w:pPr>
            <w:r w:rsidRPr="00471B83">
              <w:rPr>
                <w:szCs w:val="20"/>
              </w:rPr>
              <w:t>86.3</w:t>
            </w:r>
          </w:p>
        </w:tc>
      </w:tr>
    </w:tbl>
    <w:p w:rsidR="0082444E" w:rsidRDefault="0082444E" w:rsidP="005C465D">
      <w:pPr>
        <w:pStyle w:val="BodyParaAfterTableFigure"/>
      </w:pPr>
      <w:r>
        <w:t>Figure D-2 shows the average control and treatment customer usage patterns on days similar to event days.  The control group usage patterns were adjusted to account for systemic differences between opt-out TOU and CPP customers.  Control and treatment loads under a variety of weather patterns were compared.  The final control group loads are net of consistent biases observed between opt-out TOU and CPP customers on days with similar weather profiles.  On average, there is a 0.0% difference between the adjusted control and treatment group loads during event-like hours.  The maximum bias observed at any point for this average event-like day is 1.29%.</w:t>
      </w:r>
    </w:p>
    <w:p w:rsidR="0082444E" w:rsidRDefault="0082444E" w:rsidP="005C465D">
      <w:pPr>
        <w:pStyle w:val="TableFigureCaption"/>
      </w:pPr>
      <w:r>
        <w:lastRenderedPageBreak/>
        <w:t>Figure D-2:</w:t>
      </w:r>
      <w:r w:rsidR="00345A24">
        <w:t xml:space="preserve"> </w:t>
      </w:r>
      <w:r>
        <w:t>Average SDG&amp;E CPP and Opt-out TOU Customer Usage</w:t>
      </w:r>
      <w:r w:rsidRPr="00C95498">
        <w:br/>
      </w:r>
      <w:r>
        <w:t>Control and Treatment Groups on Days Similar to Event Days</w:t>
      </w:r>
    </w:p>
    <w:p w:rsidR="0082444E" w:rsidRDefault="0082444E" w:rsidP="00345A24">
      <w:pPr>
        <w:pStyle w:val="BodyParagraph"/>
        <w:jc w:val="center"/>
      </w:pPr>
      <w:r w:rsidRPr="00D932C9">
        <w:rPr>
          <w:noProof/>
        </w:rPr>
        <w:drawing>
          <wp:inline distT="0" distB="0" distL="0" distR="0">
            <wp:extent cx="4678757" cy="2737104"/>
            <wp:effectExtent l="19050" t="0" r="26593" b="6096"/>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2444E" w:rsidRPr="00EE4D31" w:rsidRDefault="0082444E" w:rsidP="005C465D">
      <w:pPr>
        <w:pStyle w:val="BodyParaAfterTableFigure"/>
      </w:pPr>
      <w:r>
        <w:t>Figures D-3 through D-4 show</w:t>
      </w:r>
      <w:r w:rsidRPr="00C95498">
        <w:t xml:space="preserve"> the event day impact</w:t>
      </w:r>
      <w:r>
        <w:t xml:space="preserve">s across SDG&amp;E’s CPP population for each 2011 CPP event.  </w:t>
      </w:r>
      <w:r w:rsidRPr="00C95498">
        <w:t xml:space="preserve">During the event hours of 11 </w:t>
      </w:r>
      <w:r>
        <w:t>AM</w:t>
      </w:r>
      <w:r w:rsidRPr="00C95498">
        <w:t xml:space="preserve"> to 6 </w:t>
      </w:r>
      <w:r>
        <w:t>PM</w:t>
      </w:r>
      <w:r w:rsidRPr="00C95498">
        <w:t xml:space="preserve">, the </w:t>
      </w:r>
      <w:r>
        <w:t xml:space="preserve">control group analysis shows an average event impact of 11.5 kW (5.4%) for the August 27 event and 19.4 kW (6.7%) for the September 7 event.  </w:t>
      </w:r>
      <w:r w:rsidRPr="00626DFB">
        <w:t>The impacts from the control group analysis</w:t>
      </w:r>
      <w:r>
        <w:t xml:space="preserve"> deviate</w:t>
      </w:r>
      <w:r w:rsidRPr="00626DFB">
        <w:t xml:space="preserve"> from the individual customer regressions</w:t>
      </w:r>
      <w:r w:rsidR="005269B5">
        <w:t xml:space="preserve"> by about 1 percentage point for the first event and 1.5 percentage points</w:t>
      </w:r>
      <w:r>
        <w:t xml:space="preserve"> for the second event.  Given the uncertainty surrounding both methods for calculating event impacts, these differences should not be interpreted as problematic and confidence in the use of either method for reporting reliable impacts is increased. </w:t>
      </w:r>
    </w:p>
    <w:p w:rsidR="0082444E" w:rsidRDefault="0082444E" w:rsidP="005C465D">
      <w:pPr>
        <w:pStyle w:val="TableFigureCaption"/>
      </w:pPr>
      <w:r>
        <w:t>Figure D-3</w:t>
      </w:r>
      <w:r w:rsidRPr="00256DA7">
        <w:t>:</w:t>
      </w:r>
      <w:r w:rsidR="00345A24">
        <w:t xml:space="preserve"> </w:t>
      </w:r>
      <w:r w:rsidRPr="00256DA7">
        <w:t>Average SDG&amp;E CPP and Opt-out TOU Customer Usage</w:t>
      </w:r>
      <w:r w:rsidRPr="00F36417">
        <w:br/>
      </w:r>
      <w:r>
        <w:t>August 27, 2011 Event</w:t>
      </w:r>
    </w:p>
    <w:p w:rsidR="0082444E" w:rsidRDefault="0082444E" w:rsidP="00345A24">
      <w:pPr>
        <w:pStyle w:val="BodyParagraph"/>
        <w:jc w:val="center"/>
      </w:pPr>
      <w:r w:rsidRPr="00D932C9">
        <w:rPr>
          <w:noProof/>
        </w:rPr>
        <w:drawing>
          <wp:inline distT="0" distB="0" distL="0" distR="0">
            <wp:extent cx="4678757" cy="2737104"/>
            <wp:effectExtent l="19050" t="0" r="26593" b="6096"/>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2444E" w:rsidRDefault="0082444E" w:rsidP="005C465D">
      <w:pPr>
        <w:pStyle w:val="TableFigureCaption"/>
      </w:pPr>
      <w:r>
        <w:lastRenderedPageBreak/>
        <w:t>Figure D-4</w:t>
      </w:r>
      <w:r w:rsidRPr="00256DA7">
        <w:t>:</w:t>
      </w:r>
      <w:r w:rsidR="00345A24">
        <w:t xml:space="preserve"> </w:t>
      </w:r>
      <w:r w:rsidRPr="00256DA7">
        <w:t>Average SDG&amp;E CPP and Opt-out TOU Customer Usage</w:t>
      </w:r>
      <w:r w:rsidRPr="00F36417">
        <w:br/>
      </w:r>
      <w:r>
        <w:t>September 7, 2011 Event</w:t>
      </w:r>
    </w:p>
    <w:p w:rsidR="0082444E" w:rsidRDefault="0082444E" w:rsidP="00345A24">
      <w:pPr>
        <w:pStyle w:val="BodyParagraph"/>
        <w:jc w:val="center"/>
      </w:pPr>
      <w:r w:rsidRPr="00D932C9">
        <w:rPr>
          <w:noProof/>
        </w:rPr>
        <w:drawing>
          <wp:inline distT="0" distB="0" distL="0" distR="0">
            <wp:extent cx="4678757" cy="2737104"/>
            <wp:effectExtent l="19050" t="0" r="26593" b="6096"/>
            <wp:docPr id="4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2444E" w:rsidRPr="00C95498" w:rsidRDefault="0082444E" w:rsidP="00345A24">
      <w:pPr>
        <w:pStyle w:val="AppendixHeading2"/>
        <w:spacing w:before="360"/>
      </w:pPr>
      <w:bookmarkStart w:id="185" w:name="_Toc289178068"/>
      <w:bookmarkStart w:id="186" w:name="_Toc326072168"/>
      <w:r w:rsidRPr="00C95498">
        <w:t>Goodness</w:t>
      </w:r>
      <w:r w:rsidR="005550E3">
        <w:t>-</w:t>
      </w:r>
      <w:r w:rsidRPr="00C95498">
        <w:t>of</w:t>
      </w:r>
      <w:r w:rsidR="005550E3">
        <w:t>-f</w:t>
      </w:r>
      <w:r w:rsidRPr="00C95498">
        <w:t>it Measures</w:t>
      </w:r>
      <w:bookmarkEnd w:id="185"/>
      <w:bookmarkEnd w:id="186"/>
    </w:p>
    <w:p w:rsidR="0082444E" w:rsidRPr="00C95498" w:rsidRDefault="0082444E" w:rsidP="005C465D">
      <w:pPr>
        <w:pStyle w:val="BodyParagraph"/>
      </w:pPr>
      <w:r>
        <w:t>Table D-4</w:t>
      </w:r>
      <w:r w:rsidRPr="00C95498">
        <w:t xml:space="preserve"> summarizes the amount of variation explained by the regression model for the average customer in specific segments.  </w:t>
      </w:r>
      <w:r>
        <w:t>D</w:t>
      </w:r>
      <w:r w:rsidRPr="00C95498">
        <w:t>epending on the spe</w:t>
      </w:r>
      <w:r>
        <w:t>cific group assessed, between 74</w:t>
      </w:r>
      <w:r w:rsidR="00357EC8">
        <w:t>%</w:t>
      </w:r>
      <w:r>
        <w:t xml:space="preserve"> and 96%</w:t>
      </w:r>
      <w:r w:rsidRPr="00C95498">
        <w:t xml:space="preserve"> of the variation is explained.  Customers in the Agriculture, Mining &amp; Construction industry and the Wholesale, Transport</w:t>
      </w:r>
      <w:r w:rsidR="005269B5">
        <w:t xml:space="preserve"> &amp; Other U</w:t>
      </w:r>
      <w:r w:rsidRPr="00C95498">
        <w:t>tilities industry have the lowest R-squared value</w:t>
      </w:r>
      <w:r>
        <w:t xml:space="preserve">s.  In the other industries about 90% </w:t>
      </w:r>
      <w:r w:rsidRPr="00C95498">
        <w:t>or more of the variation in hourly energy use is explained.</w:t>
      </w:r>
    </w:p>
    <w:p w:rsidR="0082444E" w:rsidRDefault="0082444E" w:rsidP="005C465D">
      <w:pPr>
        <w:pStyle w:val="TableFigureCaption"/>
      </w:pPr>
      <w:r>
        <w:t>Table D-4:</w:t>
      </w:r>
      <w:r w:rsidR="00345A24">
        <w:t xml:space="preserve"> </w:t>
      </w:r>
      <w:r w:rsidRPr="00C95498">
        <w:t>R-squared Values for the Average Customer by Segment</w:t>
      </w:r>
    </w:p>
    <w:tbl>
      <w:tblPr>
        <w:tblW w:w="4342" w:type="dxa"/>
        <w:jc w:val="center"/>
        <w:tblLook w:val="04A0"/>
      </w:tblPr>
      <w:tblGrid>
        <w:gridCol w:w="3080"/>
        <w:gridCol w:w="1262"/>
      </w:tblGrid>
      <w:tr w:rsidR="0082444E" w:rsidRPr="00DE36B9" w:rsidTr="00AD6032">
        <w:trPr>
          <w:trHeight w:val="300"/>
          <w:jc w:val="center"/>
        </w:trPr>
        <w:tc>
          <w:tcPr>
            <w:tcW w:w="3080" w:type="dxa"/>
            <w:tcBorders>
              <w:top w:val="single" w:sz="4" w:space="0" w:color="auto"/>
              <w:left w:val="single" w:sz="4" w:space="0" w:color="auto"/>
              <w:bottom w:val="single" w:sz="4" w:space="0" w:color="auto"/>
              <w:right w:val="single" w:sz="4" w:space="0" w:color="FFFFFF"/>
            </w:tcBorders>
            <w:shd w:val="clear" w:color="000000" w:fill="1F497D" w:themeFill="text2"/>
            <w:noWrap/>
            <w:vAlign w:val="bottom"/>
            <w:hideMark/>
          </w:tcPr>
          <w:p w:rsidR="0082444E" w:rsidRPr="00DE36B9" w:rsidRDefault="0082444E" w:rsidP="00471B83">
            <w:pPr>
              <w:pStyle w:val="TableHeader"/>
            </w:pPr>
            <w:r w:rsidRPr="00DE36B9">
              <w:t>Customer Segment</w:t>
            </w:r>
          </w:p>
        </w:tc>
        <w:tc>
          <w:tcPr>
            <w:tcW w:w="1262" w:type="dxa"/>
            <w:tcBorders>
              <w:top w:val="single" w:sz="4" w:space="0" w:color="auto"/>
              <w:left w:val="nil"/>
              <w:bottom w:val="single" w:sz="4" w:space="0" w:color="auto"/>
              <w:right w:val="single" w:sz="4" w:space="0" w:color="auto"/>
            </w:tcBorders>
            <w:shd w:val="clear" w:color="000000" w:fill="1F497D" w:themeFill="text2"/>
            <w:noWrap/>
            <w:vAlign w:val="bottom"/>
            <w:hideMark/>
          </w:tcPr>
          <w:p w:rsidR="0082444E" w:rsidRPr="00DE36B9" w:rsidRDefault="0082444E" w:rsidP="00471B83">
            <w:pPr>
              <w:pStyle w:val="TableHeader"/>
            </w:pPr>
            <w:r w:rsidRPr="00DE36B9">
              <w:t>R-squared</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All Customers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0.93</w:t>
            </w:r>
          </w:p>
        </w:tc>
      </w:tr>
      <w:tr w:rsidR="0082444E" w:rsidRPr="00DE36B9" w:rsidTr="00AD6032">
        <w:trPr>
          <w:trHeight w:val="300"/>
          <w:jc w:val="center"/>
        </w:trPr>
        <w:tc>
          <w:tcPr>
            <w:tcW w:w="43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rPr>
                <w:b/>
                <w:bCs/>
              </w:rPr>
            </w:pPr>
            <w:r w:rsidRPr="00DE36B9">
              <w:rPr>
                <w:b/>
                <w:bCs/>
              </w:rPr>
              <w:t>Industry</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Agriculture, Mining &amp; Construction</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0.78</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Manufacturing</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0.91</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Wholesale, Transport, other utilities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0.74</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Retail stores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0.96</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Offices, Hotels, Finance, Services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0.93</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Schools</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0.89</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Institutional/Government</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0.93</w:t>
            </w:r>
          </w:p>
        </w:tc>
      </w:tr>
      <w:tr w:rsidR="0082444E" w:rsidRPr="00DE36B9" w:rsidTr="00AD6032">
        <w:trPr>
          <w:trHeight w:val="300"/>
          <w:jc w:val="center"/>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rsidR="0082444E" w:rsidRPr="00DE36B9" w:rsidRDefault="0082444E" w:rsidP="00471B83">
            <w:pPr>
              <w:pStyle w:val="TableText"/>
            </w:pPr>
            <w:r w:rsidRPr="00DE36B9">
              <w:t>Other or Undefined</w:t>
            </w:r>
          </w:p>
        </w:tc>
        <w:tc>
          <w:tcPr>
            <w:tcW w:w="1262" w:type="dxa"/>
            <w:tcBorders>
              <w:top w:val="nil"/>
              <w:left w:val="nil"/>
              <w:bottom w:val="single" w:sz="4" w:space="0" w:color="auto"/>
              <w:right w:val="single" w:sz="4" w:space="0" w:color="auto"/>
            </w:tcBorders>
            <w:shd w:val="clear" w:color="auto" w:fill="auto"/>
            <w:noWrap/>
            <w:vAlign w:val="bottom"/>
            <w:hideMark/>
          </w:tcPr>
          <w:p w:rsidR="0082444E" w:rsidRPr="00DE36B9" w:rsidRDefault="0082444E" w:rsidP="00471B83">
            <w:pPr>
              <w:pStyle w:val="TableText"/>
              <w:jc w:val="center"/>
            </w:pPr>
            <w:r w:rsidRPr="00DE36B9">
              <w:t>0.92</w:t>
            </w:r>
          </w:p>
        </w:tc>
      </w:tr>
    </w:tbl>
    <w:p w:rsidR="0082444E" w:rsidRPr="00C95498" w:rsidRDefault="0082444E" w:rsidP="005C465D">
      <w:pPr>
        <w:pStyle w:val="BodyParaAfterTableFigure"/>
      </w:pPr>
      <w:r>
        <w:t>As seen in Figure D-5</w:t>
      </w:r>
      <w:r w:rsidRPr="00C95498">
        <w:t xml:space="preserve">, the aggregate model also predicts well across various temperatures, with the average error from </w:t>
      </w:r>
      <w:r>
        <w:t>70 to 97</w:t>
      </w:r>
      <w:r>
        <w:rPr>
          <w:rFonts w:cs="Arial"/>
        </w:rPr>
        <w:t>°</w:t>
      </w:r>
      <w:r>
        <w:t>F equal to -.5%.  Between 90 and 94</w:t>
      </w:r>
      <w:r>
        <w:rPr>
          <w:rFonts w:cs="Arial"/>
        </w:rPr>
        <w:t>°</w:t>
      </w:r>
      <w:r>
        <w:t>F</w:t>
      </w:r>
      <w:r w:rsidRPr="00C95498">
        <w:t>,</w:t>
      </w:r>
      <w:r>
        <w:t xml:space="preserve"> where the SCE regressions had the most trouble, the average error is -0.5%.</w:t>
      </w:r>
    </w:p>
    <w:p w:rsidR="0082444E" w:rsidRDefault="0082444E" w:rsidP="005C465D">
      <w:pPr>
        <w:pStyle w:val="TableFigureCaption"/>
      </w:pPr>
      <w:r>
        <w:lastRenderedPageBreak/>
        <w:t>Figure D-5:</w:t>
      </w:r>
      <w:r w:rsidR="00345A24">
        <w:t xml:space="preserve"> </w:t>
      </w:r>
      <w:r w:rsidRPr="00C95498">
        <w:t>Actual v. Predicted Aggregate L</w:t>
      </w:r>
      <w:r>
        <w:t>oad by Temperature for SDG&amp;E CPP</w:t>
      </w:r>
      <w:r w:rsidRPr="00C95498">
        <w:t xml:space="preserve"> Customers</w:t>
      </w:r>
    </w:p>
    <w:p w:rsidR="00D51578" w:rsidRDefault="005D2BE5" w:rsidP="005C465D">
      <w:pPr>
        <w:pStyle w:val="BodyParagraph"/>
      </w:pPr>
      <w:r w:rsidRPr="005D2BE5">
        <w:rPr>
          <w:noProof/>
        </w:rPr>
        <w:drawing>
          <wp:inline distT="0" distB="0" distL="0" distR="0">
            <wp:extent cx="5722286" cy="2737104"/>
            <wp:effectExtent l="19050" t="0" r="11764" b="6096"/>
            <wp:docPr id="4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45A24" w:rsidRDefault="00345A24">
      <w:pPr>
        <w:rPr>
          <w:rFonts w:ascii="Verdana" w:eastAsiaTheme="minorHAnsi" w:hAnsi="Verdana"/>
          <w:sz w:val="18"/>
        </w:rPr>
      </w:pPr>
      <w:r>
        <w:br w:type="page"/>
      </w:r>
    </w:p>
    <w:p w:rsidR="006779AA" w:rsidRDefault="006779AA" w:rsidP="005C465D">
      <w:pPr>
        <w:pStyle w:val="AppendixHeading"/>
      </w:pPr>
      <w:bookmarkStart w:id="187" w:name="_Toc326072169"/>
      <w:r>
        <w:lastRenderedPageBreak/>
        <w:t>Limitations of Individual Customer Regressions</w:t>
      </w:r>
      <w:bookmarkEnd w:id="187"/>
    </w:p>
    <w:p w:rsidR="006779AA" w:rsidRDefault="006779AA" w:rsidP="005C465D">
      <w:pPr>
        <w:pStyle w:val="BodyParagraph"/>
      </w:pPr>
      <w:r>
        <w:t xml:space="preserve">Individual customer regressions are less reliable when few events are called or when event day temperatures differ substantially from non-event days. </w:t>
      </w:r>
      <w:r w:rsidR="009F6B9D">
        <w:t xml:space="preserve"> </w:t>
      </w:r>
      <w:r>
        <w:t xml:space="preserve">This is because there is less information to </w:t>
      </w:r>
      <w:r w:rsidR="005269B5">
        <w:t>inform the regression</w:t>
      </w:r>
      <w:r>
        <w:t>.  When many events are called, the regression has plenty of event days from which to derive coeffici</w:t>
      </w:r>
      <w:r w:rsidR="005269B5">
        <w:t>ents on the event day variables.</w:t>
      </w:r>
      <w:r w:rsidR="000D4ED6">
        <w:t xml:space="preserve">  In general, results for individual event days have wider uncertainty than results for the average of multiple events.</w:t>
      </w:r>
    </w:p>
    <w:p w:rsidR="006779AA" w:rsidRDefault="005269B5" w:rsidP="005C465D">
      <w:pPr>
        <w:pStyle w:val="BodyParagraph"/>
      </w:pPr>
      <w:r>
        <w:t>Figure E</w:t>
      </w:r>
      <w:r w:rsidR="006779AA">
        <w:t>-1 shows average customer load across the SDG&amp;E CPP population on August 27, the Saturday when SDG&amp;E’s first 2011 event was called.  The figure also shows usage profiles on Saturdays with similar weather conditions.  Table 3-1 shows the maximum daily temperature on the five days as well as CDD – CDD is calculated as the max of zero and mean temperature for the day less 65</w:t>
      </w:r>
      <w:r w:rsidR="006779AA">
        <w:rPr>
          <w:rFonts w:cs="Arial"/>
        </w:rPr>
        <w:t>°</w:t>
      </w:r>
      <w:r w:rsidR="006779AA">
        <w:t>F.  Figure 3-2 shows the September 7, 2011 event next to four weekdays with similar weather profiles when no events were called.  Table 3-2 shows th</w:t>
      </w:r>
      <w:r>
        <w:t>e temperature characteristics of</w:t>
      </w:r>
      <w:r w:rsidR="006779AA">
        <w:t xml:space="preserve"> these days.  The graphs and tables make clear that even on days with similar weather </w:t>
      </w:r>
      <w:proofErr w:type="gramStart"/>
      <w:r w:rsidR="006779AA">
        <w:t>conditions,</w:t>
      </w:r>
      <w:proofErr w:type="gramEnd"/>
      <w:r w:rsidR="006779AA">
        <w:t xml:space="preserve"> there can be variation in usage at the program level.  Some of these differences can be captured with trend variables such as year, day type and month, but others are unobservable.  The regression-derived counterfactual cannot adjust for the unobservable characteristics of unique event days and average event impacts </w:t>
      </w:r>
      <w:r w:rsidR="000D4ED6">
        <w:t>have less</w:t>
      </w:r>
      <w:r w:rsidR="006779AA">
        <w:t xml:space="preserve"> </w:t>
      </w:r>
      <w:r w:rsidR="000D4ED6">
        <w:t>certainty</w:t>
      </w:r>
      <w:r w:rsidR="006779AA">
        <w:t xml:space="preserve"> w</w:t>
      </w:r>
      <w:r>
        <w:t>hen too few events are called.</w:t>
      </w:r>
    </w:p>
    <w:p w:rsidR="006779AA" w:rsidRDefault="005269B5" w:rsidP="005C465D">
      <w:pPr>
        <w:pStyle w:val="TableFigureCaption"/>
      </w:pPr>
      <w:r>
        <w:t>Figure E</w:t>
      </w:r>
      <w:r w:rsidR="006779AA">
        <w:t>-1</w:t>
      </w:r>
      <w:r w:rsidR="006779AA" w:rsidRPr="00287E0A">
        <w:t>:</w:t>
      </w:r>
      <w:r w:rsidR="00345A24">
        <w:t xml:space="preserve"> </w:t>
      </w:r>
      <w:r w:rsidR="006779AA">
        <w:t>Average SDG&amp;E CPP Customer Usage</w:t>
      </w:r>
      <w:r w:rsidR="006779AA" w:rsidRPr="00F36417">
        <w:br/>
      </w:r>
      <w:r w:rsidR="006779AA">
        <w:t>August 27, 2011 Event and Similar Weather Days</w:t>
      </w:r>
      <w:r w:rsidR="006779AA" w:rsidRPr="00F36417">
        <w:t xml:space="preserve"> </w:t>
      </w:r>
    </w:p>
    <w:p w:rsidR="006779AA" w:rsidRPr="00DE7013" w:rsidRDefault="00F27C59" w:rsidP="00345A24">
      <w:pPr>
        <w:pStyle w:val="BodyParagraph"/>
        <w:jc w:val="center"/>
      </w:pPr>
      <w:r w:rsidRPr="00F27C59">
        <w:rPr>
          <w:noProof/>
        </w:rPr>
        <w:drawing>
          <wp:inline distT="0" distB="0" distL="0" distR="0">
            <wp:extent cx="5095875" cy="2743200"/>
            <wp:effectExtent l="19050" t="0" r="9525" b="0"/>
            <wp:docPr id="3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71B83" w:rsidRDefault="00471B83">
      <w:pPr>
        <w:rPr>
          <w:rFonts w:ascii="Arial" w:hAnsi="Arial"/>
          <w:b/>
        </w:rPr>
      </w:pPr>
      <w:r>
        <w:br w:type="page"/>
      </w:r>
    </w:p>
    <w:p w:rsidR="006779AA" w:rsidRDefault="005269B5" w:rsidP="005C465D">
      <w:pPr>
        <w:pStyle w:val="TableFigureCaption"/>
      </w:pPr>
      <w:r>
        <w:lastRenderedPageBreak/>
        <w:t>Table E</w:t>
      </w:r>
      <w:r w:rsidR="006779AA">
        <w:t>-1</w:t>
      </w:r>
      <w:r w:rsidR="006779AA" w:rsidRPr="00287E0A">
        <w:t>:</w:t>
      </w:r>
      <w:r w:rsidR="00345A24">
        <w:t xml:space="preserve"> </w:t>
      </w:r>
      <w:r w:rsidR="006779AA">
        <w:t>Temperature Characteristics</w:t>
      </w:r>
      <w:r w:rsidR="006779AA" w:rsidRPr="00F36417">
        <w:br/>
      </w:r>
      <w:r w:rsidR="006779AA">
        <w:t>August 27, 2011 Event and Similar Weather Days</w:t>
      </w:r>
      <w:r w:rsidR="006779AA" w:rsidRPr="00F36417">
        <w:t xml:space="preserve"> </w:t>
      </w:r>
    </w:p>
    <w:tbl>
      <w:tblPr>
        <w:tblW w:w="3820" w:type="dxa"/>
        <w:jc w:val="center"/>
        <w:tblLook w:val="04A0"/>
      </w:tblPr>
      <w:tblGrid>
        <w:gridCol w:w="1160"/>
        <w:gridCol w:w="1220"/>
        <w:gridCol w:w="1440"/>
      </w:tblGrid>
      <w:tr w:rsidR="00834B1D" w:rsidRPr="00834B1D" w:rsidTr="0060183E">
        <w:trPr>
          <w:trHeight w:val="300"/>
          <w:jc w:val="center"/>
        </w:trPr>
        <w:tc>
          <w:tcPr>
            <w:tcW w:w="116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34B1D" w:rsidRPr="00834B1D" w:rsidRDefault="00834B1D" w:rsidP="00471B83">
            <w:pPr>
              <w:pStyle w:val="TableHeader"/>
            </w:pPr>
            <w:r w:rsidRPr="00834B1D">
              <w:t>Date</w:t>
            </w:r>
          </w:p>
        </w:tc>
        <w:tc>
          <w:tcPr>
            <w:tcW w:w="122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34B1D" w:rsidRPr="00834B1D" w:rsidRDefault="00834B1D" w:rsidP="00471B83">
            <w:pPr>
              <w:pStyle w:val="TableHeader"/>
            </w:pPr>
            <w:r w:rsidRPr="00834B1D">
              <w:t>CDD</w:t>
            </w:r>
          </w:p>
        </w:tc>
        <w:tc>
          <w:tcPr>
            <w:tcW w:w="1440"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834B1D" w:rsidRPr="00834B1D" w:rsidRDefault="00834B1D" w:rsidP="00471B83">
            <w:pPr>
              <w:pStyle w:val="TableHeader"/>
            </w:pPr>
            <w:r w:rsidRPr="00834B1D">
              <w:t>Daily Max (°F)</w:t>
            </w:r>
          </w:p>
        </w:tc>
      </w:tr>
      <w:tr w:rsidR="00834B1D" w:rsidRPr="00834B1D" w:rsidTr="0060183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11-Jul-09</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6.87</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81.01</w:t>
            </w:r>
          </w:p>
        </w:tc>
      </w:tr>
      <w:tr w:rsidR="00834B1D" w:rsidRPr="00834B1D" w:rsidTr="0060183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18-Jul-09</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7.47</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83.87</w:t>
            </w:r>
          </w:p>
        </w:tc>
      </w:tr>
      <w:tr w:rsidR="00834B1D" w:rsidRPr="00834B1D" w:rsidTr="0060183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5-Sep-09</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8.45</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82.86</w:t>
            </w:r>
          </w:p>
        </w:tc>
      </w:tr>
      <w:tr w:rsidR="00834B1D" w:rsidRPr="00834B1D" w:rsidTr="0060183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25-Sep-10</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8.51</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84.70</w:t>
            </w:r>
          </w:p>
        </w:tc>
      </w:tr>
      <w:tr w:rsidR="00834B1D" w:rsidRPr="00834B1D" w:rsidTr="0060183E">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27-Aug-11</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9.38</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83.48</w:t>
            </w:r>
          </w:p>
        </w:tc>
      </w:tr>
    </w:tbl>
    <w:p w:rsidR="006779AA" w:rsidRDefault="005269B5" w:rsidP="00345A24">
      <w:pPr>
        <w:pStyle w:val="TableFigureCaption"/>
        <w:spacing w:before="360"/>
      </w:pPr>
      <w:r>
        <w:t>Figure E</w:t>
      </w:r>
      <w:r w:rsidR="006779AA">
        <w:t>-2</w:t>
      </w:r>
      <w:proofErr w:type="gramStart"/>
      <w:r w:rsidR="006779AA" w:rsidRPr="00287E0A">
        <w:t>:</w:t>
      </w:r>
      <w:proofErr w:type="gramEnd"/>
      <w:r w:rsidR="006779AA">
        <w:br/>
        <w:t>Average SDG&amp;E CPP Customer Usage</w:t>
      </w:r>
      <w:r w:rsidR="006779AA" w:rsidRPr="00F36417">
        <w:br/>
      </w:r>
      <w:r w:rsidR="006779AA">
        <w:t>September 7, 2011 Event and Similar Weather Days</w:t>
      </w:r>
    </w:p>
    <w:p w:rsidR="006779AA" w:rsidRPr="00834B1D" w:rsidRDefault="00834B1D" w:rsidP="00345A24">
      <w:pPr>
        <w:pStyle w:val="BodyParagraph"/>
        <w:jc w:val="center"/>
      </w:pPr>
      <w:r w:rsidRPr="00834B1D">
        <w:rPr>
          <w:noProof/>
        </w:rPr>
        <w:drawing>
          <wp:inline distT="0" distB="0" distL="0" distR="0">
            <wp:extent cx="4914900" cy="2486025"/>
            <wp:effectExtent l="19050" t="0" r="19050" b="0"/>
            <wp:docPr id="3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779AA" w:rsidRDefault="005269B5" w:rsidP="00345A24">
      <w:pPr>
        <w:pStyle w:val="TableFigureCaption"/>
        <w:spacing w:before="360"/>
      </w:pPr>
      <w:r>
        <w:t>Table E</w:t>
      </w:r>
      <w:r w:rsidR="006779AA">
        <w:t>-2</w:t>
      </w:r>
      <w:r w:rsidR="006779AA" w:rsidRPr="00287E0A">
        <w:t>:</w:t>
      </w:r>
      <w:r w:rsidR="00345A24">
        <w:t xml:space="preserve"> </w:t>
      </w:r>
      <w:r w:rsidR="006779AA">
        <w:t>Temperature Characteristics</w:t>
      </w:r>
      <w:r w:rsidR="006779AA" w:rsidRPr="00F36417">
        <w:br/>
      </w:r>
      <w:r w:rsidR="006779AA">
        <w:t>September 7, 2011 Event and Similar Weather Days</w:t>
      </w:r>
      <w:r w:rsidR="006779AA" w:rsidRPr="00F36417">
        <w:t xml:space="preserve"> </w:t>
      </w:r>
    </w:p>
    <w:tbl>
      <w:tblPr>
        <w:tblW w:w="3820" w:type="dxa"/>
        <w:jc w:val="center"/>
        <w:tblLook w:val="04A0"/>
      </w:tblPr>
      <w:tblGrid>
        <w:gridCol w:w="1160"/>
        <w:gridCol w:w="1220"/>
        <w:gridCol w:w="1440"/>
      </w:tblGrid>
      <w:tr w:rsidR="00834B1D" w:rsidRPr="00834B1D" w:rsidTr="00BB1033">
        <w:trPr>
          <w:trHeight w:val="300"/>
          <w:jc w:val="center"/>
        </w:trPr>
        <w:tc>
          <w:tcPr>
            <w:tcW w:w="1160" w:type="dxa"/>
            <w:tcBorders>
              <w:top w:val="single" w:sz="4" w:space="0" w:color="auto"/>
              <w:left w:val="single" w:sz="4" w:space="0" w:color="auto"/>
              <w:bottom w:val="single" w:sz="4" w:space="0" w:color="auto"/>
              <w:right w:val="single" w:sz="4" w:space="0" w:color="FFFFFF"/>
            </w:tcBorders>
            <w:shd w:val="clear" w:color="000000" w:fill="1F497D" w:themeFill="text2"/>
            <w:noWrap/>
            <w:vAlign w:val="center"/>
            <w:hideMark/>
          </w:tcPr>
          <w:p w:rsidR="00834B1D" w:rsidRPr="00834B1D" w:rsidRDefault="00834B1D" w:rsidP="00471B83">
            <w:pPr>
              <w:pStyle w:val="TableHeader"/>
            </w:pPr>
            <w:r w:rsidRPr="00834B1D">
              <w:t>Date</w:t>
            </w:r>
          </w:p>
        </w:tc>
        <w:tc>
          <w:tcPr>
            <w:tcW w:w="1220" w:type="dxa"/>
            <w:tcBorders>
              <w:top w:val="single" w:sz="4" w:space="0" w:color="auto"/>
              <w:left w:val="nil"/>
              <w:bottom w:val="single" w:sz="4" w:space="0" w:color="auto"/>
              <w:right w:val="single" w:sz="4" w:space="0" w:color="FFFFFF"/>
            </w:tcBorders>
            <w:shd w:val="clear" w:color="000000" w:fill="1F497D" w:themeFill="text2"/>
            <w:noWrap/>
            <w:vAlign w:val="center"/>
            <w:hideMark/>
          </w:tcPr>
          <w:p w:rsidR="00834B1D" w:rsidRPr="00834B1D" w:rsidRDefault="00834B1D" w:rsidP="00471B83">
            <w:pPr>
              <w:pStyle w:val="TableHeader"/>
            </w:pPr>
            <w:r w:rsidRPr="00834B1D">
              <w:t>CDD</w:t>
            </w:r>
          </w:p>
        </w:tc>
        <w:tc>
          <w:tcPr>
            <w:tcW w:w="1440" w:type="dxa"/>
            <w:tcBorders>
              <w:top w:val="single" w:sz="4" w:space="0" w:color="auto"/>
              <w:left w:val="nil"/>
              <w:bottom w:val="single" w:sz="4" w:space="0" w:color="auto"/>
              <w:right w:val="single" w:sz="4" w:space="0" w:color="auto"/>
            </w:tcBorders>
            <w:shd w:val="clear" w:color="000000" w:fill="1F497D" w:themeFill="text2"/>
            <w:noWrap/>
            <w:vAlign w:val="center"/>
            <w:hideMark/>
          </w:tcPr>
          <w:p w:rsidR="00834B1D" w:rsidRPr="00834B1D" w:rsidRDefault="00834B1D" w:rsidP="00471B83">
            <w:pPr>
              <w:pStyle w:val="TableHeader"/>
            </w:pPr>
            <w:r w:rsidRPr="00834B1D">
              <w:t>Daily Max (°F)</w:t>
            </w:r>
          </w:p>
        </w:tc>
      </w:tr>
      <w:tr w:rsidR="00834B1D" w:rsidRPr="00834B1D" w:rsidTr="00BB1033">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pPr>
            <w:r w:rsidRPr="00834B1D">
              <w:t>26-Aug-09</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12.06</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87.67</w:t>
            </w:r>
          </w:p>
        </w:tc>
      </w:tr>
      <w:tr w:rsidR="00834B1D" w:rsidRPr="00834B1D" w:rsidTr="00BB1033">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pPr>
            <w:r w:rsidRPr="00834B1D">
              <w:t>2-Sep-09</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12.33</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87.95</w:t>
            </w:r>
          </w:p>
        </w:tc>
      </w:tr>
      <w:tr w:rsidR="00834B1D" w:rsidRPr="00834B1D" w:rsidTr="00BB1033">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pPr>
            <w:r w:rsidRPr="00834B1D">
              <w:t>18-Aug-10</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11.48</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87.43</w:t>
            </w:r>
          </w:p>
        </w:tc>
      </w:tr>
      <w:tr w:rsidR="00834B1D" w:rsidRPr="00834B1D" w:rsidTr="00BB1033">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pPr>
            <w:r w:rsidRPr="00834B1D">
              <w:t>6-Sep-11</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13.33</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93.09</w:t>
            </w:r>
          </w:p>
        </w:tc>
      </w:tr>
      <w:tr w:rsidR="00834B1D" w:rsidRPr="00834B1D" w:rsidTr="00BB1033">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834B1D" w:rsidRPr="00834B1D" w:rsidRDefault="00834B1D" w:rsidP="00471B83">
            <w:pPr>
              <w:pStyle w:val="TableText"/>
            </w:pPr>
            <w:r w:rsidRPr="00834B1D">
              <w:t>7-Sep-11</w:t>
            </w:r>
          </w:p>
        </w:tc>
        <w:tc>
          <w:tcPr>
            <w:tcW w:w="122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13.86</w:t>
            </w:r>
          </w:p>
        </w:tc>
        <w:tc>
          <w:tcPr>
            <w:tcW w:w="1440" w:type="dxa"/>
            <w:tcBorders>
              <w:top w:val="nil"/>
              <w:left w:val="nil"/>
              <w:bottom w:val="single" w:sz="4" w:space="0" w:color="auto"/>
              <w:right w:val="single" w:sz="4" w:space="0" w:color="auto"/>
            </w:tcBorders>
            <w:shd w:val="clear" w:color="auto" w:fill="auto"/>
            <w:noWrap/>
            <w:vAlign w:val="center"/>
            <w:hideMark/>
          </w:tcPr>
          <w:p w:rsidR="00834B1D" w:rsidRPr="00834B1D" w:rsidRDefault="00834B1D" w:rsidP="00471B83">
            <w:pPr>
              <w:pStyle w:val="TableText"/>
              <w:jc w:val="center"/>
            </w:pPr>
            <w:r w:rsidRPr="00834B1D">
              <w:t>88.80</w:t>
            </w:r>
          </w:p>
        </w:tc>
      </w:tr>
    </w:tbl>
    <w:p w:rsidR="006779AA" w:rsidRDefault="006779AA" w:rsidP="005C465D">
      <w:pPr>
        <w:pStyle w:val="BodyParagraph"/>
      </w:pPr>
    </w:p>
    <w:p w:rsidR="00140956" w:rsidRDefault="00140956" w:rsidP="005C465D">
      <w:pPr>
        <w:pStyle w:val="BodyParagraph"/>
      </w:pPr>
    </w:p>
    <w:p w:rsidR="00140956" w:rsidRDefault="00140956" w:rsidP="005C465D">
      <w:pPr>
        <w:pStyle w:val="AppendixHeading"/>
      </w:pPr>
      <w:bookmarkStart w:id="188" w:name="_Toc326072170"/>
      <w:r>
        <w:lastRenderedPageBreak/>
        <w:t>Percent Impacts by Temperature</w:t>
      </w:r>
      <w:bookmarkEnd w:id="188"/>
    </w:p>
    <w:p w:rsidR="00140956" w:rsidRPr="0048259B" w:rsidRDefault="00140956" w:rsidP="00140956">
      <w:pPr>
        <w:rPr>
          <w:rFonts w:ascii="Arial" w:hAnsi="Arial" w:cs="Arial"/>
          <w:sz w:val="20"/>
          <w:szCs w:val="20"/>
        </w:rPr>
      </w:pPr>
      <w:r w:rsidRPr="0048259B">
        <w:rPr>
          <w:rFonts w:ascii="Arial" w:hAnsi="Arial" w:cs="Arial"/>
          <w:sz w:val="20"/>
          <w:szCs w:val="20"/>
        </w:rPr>
        <w:t>Figure</w:t>
      </w:r>
      <w:r>
        <w:rPr>
          <w:rFonts w:ascii="Arial" w:hAnsi="Arial" w:cs="Arial"/>
          <w:sz w:val="20"/>
          <w:szCs w:val="20"/>
        </w:rPr>
        <w:t xml:space="preserve"> F-1</w:t>
      </w:r>
      <w:r w:rsidRPr="0048259B">
        <w:rPr>
          <w:rFonts w:ascii="Arial" w:hAnsi="Arial" w:cs="Arial"/>
          <w:sz w:val="20"/>
          <w:szCs w:val="20"/>
        </w:rPr>
        <w:t xml:space="preserve"> is a scatter plot of percent impacts and associated temperatures for each 2011 CPP event at PG&amp;E and SCE.  SDG&amp;E is omitted from this chart because there were only two events at SDG&amp;E in 2011 and they occurred on</w:t>
      </w:r>
      <w:r>
        <w:rPr>
          <w:rFonts w:ascii="Arial" w:hAnsi="Arial" w:cs="Arial"/>
          <w:sz w:val="20"/>
          <w:szCs w:val="20"/>
        </w:rPr>
        <w:t xml:space="preserve"> very different types of days (a weekends and a weekday)</w:t>
      </w:r>
      <w:r w:rsidRPr="0048259B">
        <w:rPr>
          <w:rFonts w:ascii="Arial" w:hAnsi="Arial" w:cs="Arial"/>
          <w:sz w:val="20"/>
          <w:szCs w:val="20"/>
        </w:rPr>
        <w:t xml:space="preserve">.  The percent impacts at PG&amp;E appear mildly negatively correlated with weather.  Given that events occur on different day types and at different point in the summer, it is not likely that the approximately 6.2% impact on the coolest event day is different than the approximately 5.7% impact on the hottest event day due to </w:t>
      </w:r>
      <w:r>
        <w:rPr>
          <w:rFonts w:ascii="Arial" w:hAnsi="Arial" w:cs="Arial"/>
          <w:sz w:val="20"/>
          <w:szCs w:val="20"/>
        </w:rPr>
        <w:t>differing customer response to temperature</w:t>
      </w:r>
      <w:r w:rsidRPr="0048259B">
        <w:rPr>
          <w:rFonts w:ascii="Arial" w:hAnsi="Arial" w:cs="Arial"/>
          <w:sz w:val="20"/>
          <w:szCs w:val="20"/>
        </w:rPr>
        <w:t xml:space="preserve">.  Further, there is strong evidence that </w:t>
      </w:r>
      <w:r>
        <w:rPr>
          <w:rFonts w:ascii="Arial" w:hAnsi="Arial" w:cs="Arial"/>
          <w:sz w:val="20"/>
          <w:szCs w:val="20"/>
        </w:rPr>
        <w:t>percent</w:t>
      </w:r>
      <w:r w:rsidRPr="0048259B">
        <w:rPr>
          <w:rFonts w:ascii="Arial" w:hAnsi="Arial" w:cs="Arial"/>
          <w:sz w:val="20"/>
          <w:szCs w:val="20"/>
        </w:rPr>
        <w:t xml:space="preserve"> impact</w:t>
      </w:r>
      <w:r>
        <w:rPr>
          <w:rFonts w:ascii="Arial" w:hAnsi="Arial" w:cs="Arial"/>
          <w:sz w:val="20"/>
          <w:szCs w:val="20"/>
        </w:rPr>
        <w:t>s</w:t>
      </w:r>
      <w:r w:rsidRPr="0048259B">
        <w:rPr>
          <w:rFonts w:ascii="Arial" w:hAnsi="Arial" w:cs="Arial"/>
          <w:sz w:val="20"/>
          <w:szCs w:val="20"/>
        </w:rPr>
        <w:t xml:space="preserve"> vary at similar temperatures: two events occur at approximately 83˚F and show impacts that differ by just under 0.4 percentage points; two events occur at approximately 87˚F and show impacts that differ by about 0.5 percentage points; and four events occur at approximately 90 to 92˚F and show impacts that differ by about 0.4 percentage points.  </w:t>
      </w:r>
      <w:r>
        <w:rPr>
          <w:rFonts w:ascii="Arial" w:hAnsi="Arial" w:cs="Arial"/>
          <w:sz w:val="20"/>
          <w:szCs w:val="20"/>
        </w:rPr>
        <w:t xml:space="preserve">The data </w:t>
      </w:r>
      <w:r w:rsidR="000D4ED6">
        <w:rPr>
          <w:rFonts w:ascii="Arial" w:hAnsi="Arial" w:cs="Arial"/>
          <w:sz w:val="20"/>
          <w:szCs w:val="20"/>
        </w:rPr>
        <w:t>for</w:t>
      </w:r>
      <w:r>
        <w:rPr>
          <w:rFonts w:ascii="Arial" w:hAnsi="Arial" w:cs="Arial"/>
          <w:sz w:val="20"/>
          <w:szCs w:val="20"/>
        </w:rPr>
        <w:t xml:space="preserve"> SCE exhibit</w:t>
      </w:r>
      <w:r w:rsidR="000D4ED6">
        <w:rPr>
          <w:rFonts w:ascii="Arial" w:hAnsi="Arial" w:cs="Arial"/>
          <w:sz w:val="20"/>
          <w:szCs w:val="20"/>
        </w:rPr>
        <w:t>s</w:t>
      </w:r>
      <w:r>
        <w:rPr>
          <w:rFonts w:ascii="Arial" w:hAnsi="Arial" w:cs="Arial"/>
          <w:sz w:val="20"/>
          <w:szCs w:val="20"/>
        </w:rPr>
        <w:t xml:space="preserve"> </w:t>
      </w:r>
      <w:r w:rsidR="000D4ED6">
        <w:rPr>
          <w:rFonts w:ascii="Arial" w:hAnsi="Arial" w:cs="Arial"/>
          <w:sz w:val="20"/>
          <w:szCs w:val="20"/>
        </w:rPr>
        <w:t xml:space="preserve">a nearly flat </w:t>
      </w:r>
      <w:r>
        <w:rPr>
          <w:rFonts w:ascii="Arial" w:hAnsi="Arial" w:cs="Arial"/>
          <w:sz w:val="20"/>
          <w:szCs w:val="20"/>
        </w:rPr>
        <w:t xml:space="preserve">trends line.  </w:t>
      </w:r>
      <w:r w:rsidRPr="0048259B">
        <w:rPr>
          <w:rFonts w:ascii="Arial" w:hAnsi="Arial" w:cs="Arial"/>
          <w:sz w:val="20"/>
          <w:szCs w:val="20"/>
        </w:rPr>
        <w:t>The reader should be cautioned that with such a small number of data points the trends at both PG&amp;E and SCE cannot be considered very informative and could change substantially give</w:t>
      </w:r>
      <w:r>
        <w:rPr>
          <w:rFonts w:ascii="Arial" w:hAnsi="Arial" w:cs="Arial"/>
          <w:sz w:val="20"/>
          <w:szCs w:val="20"/>
        </w:rPr>
        <w:t>n</w:t>
      </w:r>
      <w:r w:rsidRPr="0048259B">
        <w:rPr>
          <w:rFonts w:ascii="Arial" w:hAnsi="Arial" w:cs="Arial"/>
          <w:sz w:val="20"/>
          <w:szCs w:val="20"/>
        </w:rPr>
        <w:t xml:space="preserve"> more data.</w:t>
      </w:r>
    </w:p>
    <w:p w:rsidR="00140956" w:rsidRPr="00FD1E85" w:rsidRDefault="00140956" w:rsidP="00345A24">
      <w:pPr>
        <w:pStyle w:val="TableFigureCaption"/>
        <w:rPr>
          <w:rFonts w:ascii="Arial" w:hAnsi="Arial" w:cs="Arial"/>
          <w:szCs w:val="20"/>
        </w:rPr>
      </w:pPr>
      <w:r w:rsidRPr="00FD1E85">
        <w:t>Figure</w:t>
      </w:r>
      <w:r>
        <w:t xml:space="preserve"> F-1</w:t>
      </w:r>
      <w:r w:rsidRPr="00FD1E85">
        <w:t>:</w:t>
      </w:r>
      <w:r w:rsidR="00345A24">
        <w:t xml:space="preserve"> </w:t>
      </w:r>
      <w:r w:rsidRPr="00FD1E85">
        <w:t>Percent Impacts and Temperature by Event</w:t>
      </w:r>
      <w:r w:rsidR="00345A24">
        <w:t xml:space="preserve"> </w:t>
      </w:r>
      <w:r w:rsidRPr="00FD1E85">
        <w:rPr>
          <w:rFonts w:ascii="Arial" w:hAnsi="Arial" w:cs="Arial"/>
          <w:szCs w:val="20"/>
        </w:rPr>
        <w:t xml:space="preserve">2011 </w:t>
      </w:r>
      <w:r w:rsidR="00345A24">
        <w:rPr>
          <w:rFonts w:ascii="Arial" w:hAnsi="Arial" w:cs="Arial"/>
          <w:szCs w:val="20"/>
        </w:rPr>
        <w:br/>
      </w:r>
      <w:r w:rsidRPr="00FD1E85">
        <w:rPr>
          <w:rFonts w:ascii="Arial" w:hAnsi="Arial" w:cs="Arial"/>
          <w:szCs w:val="20"/>
        </w:rPr>
        <w:t>CPP Events at PG&amp;E and SCE</w:t>
      </w:r>
    </w:p>
    <w:p w:rsidR="00140956" w:rsidRDefault="00140956" w:rsidP="00345A24">
      <w:pPr>
        <w:pStyle w:val="BodyParagraph"/>
        <w:jc w:val="center"/>
      </w:pPr>
      <w:r w:rsidRPr="00140956">
        <w:rPr>
          <w:noProof/>
        </w:rPr>
        <w:drawing>
          <wp:inline distT="0" distB="0" distL="0" distR="0">
            <wp:extent cx="4432300" cy="47625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433589" cy="4763885"/>
                    </a:xfrm>
                    <a:prstGeom prst="rect">
                      <a:avLst/>
                    </a:prstGeom>
                    <a:noFill/>
                    <a:ln w="9525">
                      <a:noFill/>
                      <a:miter lim="800000"/>
                      <a:headEnd/>
                      <a:tailEnd/>
                    </a:ln>
                  </pic:spPr>
                </pic:pic>
              </a:graphicData>
            </a:graphic>
          </wp:inline>
        </w:drawing>
      </w:r>
    </w:p>
    <w:p w:rsidR="00C13003" w:rsidRDefault="00C13003" w:rsidP="00C13003">
      <w:pPr>
        <w:pStyle w:val="AppendixHeading"/>
      </w:pPr>
      <w:bookmarkStart w:id="189" w:name="_Toc326072171"/>
      <w:r>
        <w:lastRenderedPageBreak/>
        <w:t xml:space="preserve">Estimating SDG&amp;E Ex Ante Impacts with Limited Ex Post </w:t>
      </w:r>
      <w:r w:rsidR="008A720F">
        <w:t>Temperature Variation</w:t>
      </w:r>
      <w:bookmarkEnd w:id="189"/>
    </w:p>
    <w:p w:rsidR="001A27B1" w:rsidRDefault="00802C56" w:rsidP="00802C56">
      <w:pPr>
        <w:spacing w:line="312" w:lineRule="auto"/>
        <w:rPr>
          <w:rFonts w:ascii="Arial" w:hAnsi="Arial" w:cs="Arial"/>
          <w:sz w:val="20"/>
          <w:szCs w:val="20"/>
        </w:rPr>
      </w:pPr>
      <w:r>
        <w:rPr>
          <w:rFonts w:ascii="Arial" w:hAnsi="Arial" w:cs="Arial"/>
          <w:sz w:val="20"/>
          <w:szCs w:val="20"/>
        </w:rPr>
        <w:t>SDG&amp;E has called 14 CPP events since 2009, 2 of which were on weekend days. </w:t>
      </w:r>
      <w:r w:rsidR="001A27B1">
        <w:rPr>
          <w:rFonts w:ascii="Arial" w:hAnsi="Arial" w:cs="Arial"/>
          <w:sz w:val="20"/>
          <w:szCs w:val="20"/>
        </w:rPr>
        <w:t>As a result, it has fewer historical events during weekdays that either SCE of PG&amp;E.  With a limited number of events</w:t>
      </w:r>
      <w:r>
        <w:rPr>
          <w:rFonts w:ascii="Arial" w:hAnsi="Arial" w:cs="Arial"/>
          <w:sz w:val="20"/>
          <w:szCs w:val="20"/>
        </w:rPr>
        <w:t>, it is difficult to identify factors that may explain variation in the</w:t>
      </w:r>
      <w:r w:rsidR="00AB2CD3">
        <w:rPr>
          <w:rFonts w:ascii="Arial" w:hAnsi="Arial" w:cs="Arial"/>
          <w:sz w:val="20"/>
          <w:szCs w:val="20"/>
        </w:rPr>
        <w:t xml:space="preserve"> demand reduction</w:t>
      </w:r>
      <w:r w:rsidR="001A27B1">
        <w:rPr>
          <w:rFonts w:ascii="Arial" w:hAnsi="Arial" w:cs="Arial"/>
          <w:sz w:val="20"/>
          <w:szCs w:val="20"/>
        </w:rPr>
        <w:t>s</w:t>
      </w:r>
      <w:r w:rsidR="00AB2CD3">
        <w:rPr>
          <w:rFonts w:ascii="Arial" w:hAnsi="Arial" w:cs="Arial"/>
          <w:sz w:val="20"/>
          <w:szCs w:val="20"/>
        </w:rPr>
        <w:t xml:space="preserve"> delivered.  </w:t>
      </w:r>
      <w:r>
        <w:rPr>
          <w:rFonts w:ascii="Arial" w:hAnsi="Arial" w:cs="Arial"/>
          <w:sz w:val="20"/>
          <w:szCs w:val="20"/>
        </w:rPr>
        <w:t>In addition, the estimates reflect both actual variation in the demand reductions and estimation error for individual events. </w:t>
      </w:r>
    </w:p>
    <w:p w:rsidR="008A720F" w:rsidRDefault="00802C56" w:rsidP="00802C56">
      <w:pPr>
        <w:spacing w:line="312" w:lineRule="auto"/>
        <w:rPr>
          <w:rFonts w:ascii="Arial" w:hAnsi="Arial" w:cs="Arial"/>
          <w:sz w:val="20"/>
          <w:szCs w:val="20"/>
        </w:rPr>
      </w:pPr>
      <w:r>
        <w:rPr>
          <w:rFonts w:ascii="Arial" w:hAnsi="Arial" w:cs="Arial"/>
          <w:sz w:val="20"/>
          <w:szCs w:val="20"/>
        </w:rPr>
        <w:t xml:space="preserve"> Figure G-1 shows the percent impacts from each of the 14 events called in SDG&amp;’Es territory between 2009 and 2011 along with the sum of cooling degree hours for each of those event days.  </w:t>
      </w:r>
      <w:r w:rsidR="006A1F25">
        <w:rPr>
          <w:rFonts w:ascii="Arial" w:hAnsi="Arial" w:cs="Arial"/>
          <w:sz w:val="20"/>
          <w:szCs w:val="20"/>
        </w:rPr>
        <w:t>Importantly, the percent impacts are not the percent impact reported in the 2009 through 2011 evaluations</w:t>
      </w:r>
      <w:r w:rsidR="001A27B1">
        <w:rPr>
          <w:rFonts w:ascii="Arial" w:hAnsi="Arial" w:cs="Arial"/>
          <w:sz w:val="20"/>
          <w:szCs w:val="20"/>
        </w:rPr>
        <w:t>, but reflect the historical reductions of customers enrolled at the end of 2011 using the same model for each year, with separate variables for each event</w:t>
      </w:r>
      <w:r w:rsidR="006A1F25">
        <w:rPr>
          <w:rFonts w:ascii="Arial" w:hAnsi="Arial" w:cs="Arial"/>
          <w:sz w:val="20"/>
          <w:szCs w:val="20"/>
        </w:rPr>
        <w:t xml:space="preserve">.  </w:t>
      </w:r>
      <w:r>
        <w:rPr>
          <w:rFonts w:ascii="Arial" w:hAnsi="Arial" w:cs="Arial"/>
          <w:sz w:val="20"/>
          <w:szCs w:val="20"/>
        </w:rPr>
        <w:t>The figure makes clear that there is a trend between temperature and percent impacts.  However, the trend should be interpreted with caution.</w:t>
      </w:r>
      <w:r w:rsidR="00AB2CD3">
        <w:rPr>
          <w:rFonts w:ascii="Arial" w:hAnsi="Arial" w:cs="Arial"/>
          <w:sz w:val="20"/>
          <w:szCs w:val="20"/>
        </w:rPr>
        <w:t xml:space="preserve"> </w:t>
      </w:r>
      <w:r>
        <w:rPr>
          <w:rFonts w:ascii="Arial" w:hAnsi="Arial" w:cs="Arial"/>
          <w:sz w:val="20"/>
          <w:szCs w:val="20"/>
        </w:rPr>
        <w:t xml:space="preserve"> Given the number of events called, the trend is highly sensitive to outliers and individual day results.  </w:t>
      </w:r>
    </w:p>
    <w:p w:rsidR="00AB2CD3" w:rsidRDefault="00AB2CD3" w:rsidP="00AB2CD3">
      <w:pPr>
        <w:spacing w:after="0" w:line="240" w:lineRule="auto"/>
        <w:jc w:val="center"/>
        <w:rPr>
          <w:b/>
          <w:bCs/>
        </w:rPr>
      </w:pPr>
      <w:r>
        <w:rPr>
          <w:b/>
          <w:bCs/>
        </w:rPr>
        <w:t xml:space="preserve">Figure G-1: </w:t>
      </w:r>
      <w:r>
        <w:rPr>
          <w:b/>
          <w:bCs/>
        </w:rPr>
        <w:br/>
        <w:t xml:space="preserve">Percent Impacts as a Function of Temperature </w:t>
      </w:r>
    </w:p>
    <w:p w:rsidR="00AB2CD3" w:rsidRDefault="00AB2CD3" w:rsidP="00AB2CD3">
      <w:pPr>
        <w:spacing w:after="0" w:line="240" w:lineRule="auto"/>
        <w:jc w:val="center"/>
        <w:rPr>
          <w:b/>
          <w:bCs/>
        </w:rPr>
      </w:pPr>
      <w:r>
        <w:rPr>
          <w:b/>
          <w:bCs/>
        </w:rPr>
        <w:t>2009 through 2011 SDG&amp;E CPP Events</w:t>
      </w:r>
    </w:p>
    <w:p w:rsidR="00C13003" w:rsidRDefault="00AB2CD3" w:rsidP="00AB2CD3">
      <w:pPr>
        <w:jc w:val="center"/>
        <w:rPr>
          <w:noProof/>
        </w:rPr>
      </w:pPr>
      <w:r w:rsidRPr="00867B6B">
        <w:rPr>
          <w:noProof/>
        </w:rPr>
        <w:t xml:space="preserve"> </w:t>
      </w:r>
      <w:r w:rsidR="00C13003" w:rsidRPr="00867B6B">
        <w:rPr>
          <w:noProof/>
        </w:rPr>
        <w:drawing>
          <wp:inline distT="0" distB="0" distL="0" distR="0">
            <wp:extent cx="4572000" cy="2743200"/>
            <wp:effectExtent l="19050" t="0" r="1905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A720F" w:rsidRDefault="008A720F" w:rsidP="008A720F">
      <w:pPr>
        <w:spacing w:line="312" w:lineRule="auto"/>
        <w:rPr>
          <w:rFonts w:ascii="Arial" w:hAnsi="Arial" w:cs="Arial"/>
          <w:sz w:val="20"/>
          <w:szCs w:val="20"/>
        </w:rPr>
      </w:pPr>
      <w:r>
        <w:rPr>
          <w:rFonts w:ascii="Arial" w:hAnsi="Arial" w:cs="Arial"/>
          <w:sz w:val="20"/>
          <w:szCs w:val="20"/>
        </w:rPr>
        <w:t>In producing ex ante impact estimates for SDG&amp;E,</w:t>
      </w:r>
      <w:r w:rsidRPr="008A720F">
        <w:rPr>
          <w:rFonts w:ascii="Arial" w:hAnsi="Arial" w:cs="Arial"/>
          <w:sz w:val="20"/>
          <w:szCs w:val="20"/>
        </w:rPr>
        <w:t xml:space="preserve"> </w:t>
      </w:r>
      <w:r>
        <w:rPr>
          <w:rFonts w:ascii="Arial" w:hAnsi="Arial" w:cs="Arial"/>
          <w:sz w:val="20"/>
          <w:szCs w:val="20"/>
        </w:rPr>
        <w:t xml:space="preserve">we did not extrapolate the trend outside of the range observed.  The closest in-sample percent impacts (based on weather) were applied to out-of-sample ex ante conditions.  This process produces a similar end result as capping weather variables. For most months and weather years, the weather variables are within the range of those observed ex post under all system conditions.  However, the 1-in-2 conditions in May and June have weather variables that take on values considerably lower than those observed ex post and are, therefore, effectively capped to avoid extrapolating outside of the observed range of event day temperature conditions. </w:t>
      </w:r>
    </w:p>
    <w:p w:rsidR="0024198C" w:rsidRDefault="0024198C" w:rsidP="00345A24">
      <w:pPr>
        <w:pStyle w:val="BodyParagraph"/>
        <w:jc w:val="center"/>
      </w:pPr>
    </w:p>
    <w:p w:rsidR="0024198C" w:rsidRDefault="0024198C" w:rsidP="00345A24">
      <w:pPr>
        <w:pStyle w:val="BodyParagraph"/>
        <w:jc w:val="center"/>
      </w:pPr>
    </w:p>
    <w:p w:rsidR="00F749A3" w:rsidRDefault="00F749A3" w:rsidP="00F749A3">
      <w:pPr>
        <w:pStyle w:val="AppendixHeading"/>
        <w:ind w:left="2246" w:hanging="2246"/>
      </w:pPr>
      <w:bookmarkStart w:id="190" w:name="_Toc326072172"/>
      <w:bookmarkStart w:id="191" w:name="_Toc289178069"/>
      <w:r>
        <w:t xml:space="preserve">PG&amp;E </w:t>
      </w:r>
      <w:r w:rsidR="00987D49">
        <w:t>Large and Medium</w:t>
      </w:r>
      <w:r>
        <w:t xml:space="preserve"> C&amp;I E</w:t>
      </w:r>
      <w:r w:rsidR="00987D49">
        <w:t>x</w:t>
      </w:r>
      <w:r>
        <w:t xml:space="preserve"> </w:t>
      </w:r>
      <w:r w:rsidR="00987D49">
        <w:t>ante Load Impacts</w:t>
      </w:r>
      <w:bookmarkEnd w:id="190"/>
      <w:r>
        <w:t xml:space="preserve"> </w:t>
      </w:r>
      <w:bookmarkEnd w:id="191"/>
    </w:p>
    <w:p w:rsidR="00F749A3" w:rsidRPr="00C13003" w:rsidRDefault="00F749A3" w:rsidP="00F749A3">
      <w:pPr>
        <w:pStyle w:val="BodyParagraph"/>
      </w:pPr>
    </w:p>
    <w:p w:rsidR="00F749A3" w:rsidRDefault="00582812" w:rsidP="00F749A3">
      <w:pPr>
        <w:pStyle w:val="TableFigureCaption"/>
      </w:pPr>
      <w:r>
        <w:t>Table H</w:t>
      </w:r>
      <w:r w:rsidR="00F749A3" w:rsidRPr="00C95498">
        <w:t>-1</w:t>
      </w:r>
      <w:r w:rsidR="00F749A3">
        <w:t>:</w:t>
      </w:r>
      <w:r w:rsidR="00F749A3" w:rsidRPr="00C95498">
        <w:br/>
      </w:r>
      <w:r w:rsidR="00F749A3">
        <w:t>1-in-2 Year Weather Conditions Program Specific PG&amp;E CPP Load Impacts</w:t>
      </w:r>
    </w:p>
    <w:tbl>
      <w:tblPr>
        <w:tblW w:w="5000" w:type="pct"/>
        <w:jc w:val="center"/>
        <w:tblLook w:val="04A0"/>
      </w:tblPr>
      <w:tblGrid>
        <w:gridCol w:w="736"/>
        <w:gridCol w:w="653"/>
        <w:gridCol w:w="672"/>
        <w:gridCol w:w="672"/>
        <w:gridCol w:w="653"/>
        <w:gridCol w:w="732"/>
        <w:gridCol w:w="847"/>
        <w:gridCol w:w="847"/>
        <w:gridCol w:w="847"/>
        <w:gridCol w:w="847"/>
        <w:gridCol w:w="670"/>
        <w:gridCol w:w="711"/>
        <w:gridCol w:w="689"/>
      </w:tblGrid>
      <w:tr w:rsidR="008F0E66" w:rsidRPr="008F0E66" w:rsidTr="008F0E66">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Month and Resource Adequacy Window</w:t>
            </w:r>
          </w:p>
        </w:tc>
      </w:tr>
      <w:tr w:rsidR="008F0E66" w:rsidRPr="008F0E66" w:rsidTr="008F0E66">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8F0E66" w:rsidRPr="008F0E66" w:rsidRDefault="008F0E66" w:rsidP="008F0E66">
            <w:pPr>
              <w:spacing w:after="0" w:line="240" w:lineRule="auto"/>
              <w:rPr>
                <w:rFonts w:ascii="Calibri" w:eastAsia="Times New Roman" w:hAnsi="Calibri" w:cs="Calibri"/>
                <w:color w:val="000000"/>
                <w:sz w:val="20"/>
                <w:szCs w:val="20"/>
              </w:rPr>
            </w:pPr>
            <w:r w:rsidRPr="008F0E66">
              <w:rPr>
                <w:rFonts w:ascii="Calibri" w:eastAsia="Times New Roman" w:hAnsi="Calibri" w:cs="Calibri"/>
                <w:color w:val="000000"/>
                <w:sz w:val="20"/>
                <w:szCs w:val="20"/>
              </w:rPr>
              <w:t> </w:t>
            </w:r>
          </w:p>
        </w:tc>
        <w:tc>
          <w:tcPr>
            <w:tcW w:w="341"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Jan</w:t>
            </w:r>
          </w:p>
        </w:tc>
        <w:tc>
          <w:tcPr>
            <w:tcW w:w="351"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Feb</w:t>
            </w:r>
          </w:p>
        </w:tc>
        <w:tc>
          <w:tcPr>
            <w:tcW w:w="351"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Mar</w:t>
            </w:r>
          </w:p>
        </w:tc>
        <w:tc>
          <w:tcPr>
            <w:tcW w:w="341"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Apr</w:t>
            </w:r>
          </w:p>
        </w:tc>
        <w:tc>
          <w:tcPr>
            <w:tcW w:w="382"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May</w:t>
            </w:r>
          </w:p>
        </w:tc>
        <w:tc>
          <w:tcPr>
            <w:tcW w:w="442"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Jun</w:t>
            </w:r>
          </w:p>
        </w:tc>
        <w:tc>
          <w:tcPr>
            <w:tcW w:w="442"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Jul</w:t>
            </w:r>
          </w:p>
        </w:tc>
        <w:tc>
          <w:tcPr>
            <w:tcW w:w="442"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Aug</w:t>
            </w:r>
          </w:p>
        </w:tc>
        <w:tc>
          <w:tcPr>
            <w:tcW w:w="442"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Sep</w:t>
            </w:r>
          </w:p>
        </w:tc>
        <w:tc>
          <w:tcPr>
            <w:tcW w:w="350"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Oct</w:t>
            </w:r>
          </w:p>
        </w:tc>
        <w:tc>
          <w:tcPr>
            <w:tcW w:w="371" w:type="pct"/>
            <w:tcBorders>
              <w:top w:val="nil"/>
              <w:left w:val="nil"/>
              <w:bottom w:val="nil"/>
              <w:right w:val="single" w:sz="8" w:space="0" w:color="FFFFFF"/>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Nov</w:t>
            </w:r>
          </w:p>
        </w:tc>
        <w:tc>
          <w:tcPr>
            <w:tcW w:w="361" w:type="pct"/>
            <w:tcBorders>
              <w:top w:val="nil"/>
              <w:left w:val="nil"/>
              <w:bottom w:val="nil"/>
              <w:right w:val="single" w:sz="4" w:space="0" w:color="auto"/>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Dec</w:t>
            </w:r>
          </w:p>
        </w:tc>
      </w:tr>
      <w:tr w:rsidR="008F0E66" w:rsidRPr="008F0E66" w:rsidTr="008F0E66">
        <w:trPr>
          <w:trHeight w:val="300"/>
          <w:jc w:val="center"/>
        </w:trPr>
        <w:tc>
          <w:tcPr>
            <w:tcW w:w="385" w:type="pct"/>
            <w:vMerge/>
            <w:tcBorders>
              <w:top w:val="nil"/>
              <w:left w:val="single" w:sz="4" w:space="0" w:color="auto"/>
              <w:bottom w:val="nil"/>
              <w:right w:val="single" w:sz="8" w:space="0" w:color="FFFFFF"/>
            </w:tcBorders>
            <w:vAlign w:val="center"/>
            <w:hideMark/>
          </w:tcPr>
          <w:p w:rsidR="008F0E66" w:rsidRPr="008F0E66" w:rsidRDefault="008F0E66" w:rsidP="008F0E66">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8F0E66" w:rsidRPr="008F0E66" w:rsidRDefault="008F0E66" w:rsidP="008F0E66">
            <w:pPr>
              <w:spacing w:after="0" w:line="240" w:lineRule="auto"/>
              <w:jc w:val="center"/>
              <w:rPr>
                <w:rFonts w:ascii="Arial" w:eastAsia="Times New Roman" w:hAnsi="Arial" w:cs="Arial"/>
                <w:b/>
                <w:bCs/>
                <w:color w:val="FFFFFF"/>
                <w:sz w:val="20"/>
                <w:szCs w:val="20"/>
              </w:rPr>
            </w:pPr>
            <w:r w:rsidRPr="008F0E66">
              <w:rPr>
                <w:rFonts w:ascii="Arial" w:eastAsia="Times New Roman" w:hAnsi="Arial" w:cs="Arial"/>
                <w:b/>
                <w:bCs/>
                <w:color w:val="FFFFFF"/>
                <w:sz w:val="20"/>
                <w:szCs w:val="20"/>
              </w:rPr>
              <w:t>1 PM - 6 PM</w:t>
            </w:r>
          </w:p>
        </w:tc>
      </w:tr>
      <w:tr w:rsidR="008F0E66" w:rsidRPr="008F0E66" w:rsidTr="008F0E66">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2012</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27.5</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30.2</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30.3</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29.8</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28.5</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26.8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2012</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32.7</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35.8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36.0</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35.4</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33.7</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31.9</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2013</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38.1</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41.9</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42.2</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41.4</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39.3</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37.1</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2014</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63.4</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70.9</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85.7</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76.0</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70.9</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49.0</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2015</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79.7</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94.4</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118.6</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101.5</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94.2</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60.1</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2016</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86.0</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105.2</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132.8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113.1</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104.2</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64.9</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2017</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84.6</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102.8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129.6</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110.5</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102.0</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63.8</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2018</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85.0</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103.3</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130.4</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111.1</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102.5</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64.0</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2019</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85.4</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103.8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131.1</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111.7</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103.0</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64.2</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2020</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85.7</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104.3</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131.8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112.2</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103.5</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64.4</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r w:rsidR="008F0E66" w:rsidRPr="008F0E66" w:rsidTr="008F0E66">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8F0E66" w:rsidRPr="008F0E66" w:rsidRDefault="008F0E66" w:rsidP="008F0E66">
            <w:pPr>
              <w:spacing w:after="0" w:line="240" w:lineRule="auto"/>
              <w:jc w:val="center"/>
              <w:rPr>
                <w:rFonts w:ascii="Arial" w:eastAsia="Times New Roman" w:hAnsi="Arial" w:cs="Arial"/>
                <w:color w:val="000000"/>
                <w:sz w:val="18"/>
                <w:szCs w:val="18"/>
              </w:rPr>
            </w:pPr>
            <w:r w:rsidRPr="008F0E66">
              <w:rPr>
                <w:rFonts w:ascii="Arial" w:eastAsia="Times New Roman" w:hAnsi="Arial" w:cs="Arial"/>
                <w:color w:val="000000"/>
                <w:sz w:val="18"/>
                <w:szCs w:val="18"/>
              </w:rPr>
              <w:t>2021</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5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4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8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86.1</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104.8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132.5</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112.8</w:t>
            </w:r>
          </w:p>
        </w:tc>
        <w:tc>
          <w:tcPr>
            <w:tcW w:w="442"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104.0</w:t>
            </w:r>
          </w:p>
        </w:tc>
        <w:tc>
          <w:tcPr>
            <w:tcW w:w="350"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64.6</w:t>
            </w:r>
          </w:p>
        </w:tc>
        <w:tc>
          <w:tcPr>
            <w:tcW w:w="37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c>
          <w:tcPr>
            <w:tcW w:w="361" w:type="pct"/>
            <w:tcBorders>
              <w:top w:val="nil"/>
              <w:left w:val="nil"/>
              <w:bottom w:val="single" w:sz="4" w:space="0" w:color="auto"/>
              <w:right w:val="single" w:sz="4" w:space="0" w:color="auto"/>
            </w:tcBorders>
            <w:shd w:val="clear" w:color="auto" w:fill="auto"/>
            <w:noWrap/>
            <w:vAlign w:val="center"/>
            <w:hideMark/>
          </w:tcPr>
          <w:p w:rsidR="008F0E66" w:rsidRPr="008F0E66" w:rsidRDefault="008F0E66" w:rsidP="008F0E66">
            <w:pPr>
              <w:spacing w:after="0" w:line="240" w:lineRule="auto"/>
              <w:jc w:val="center"/>
              <w:rPr>
                <w:rFonts w:ascii="Calibri" w:eastAsia="Times New Roman" w:hAnsi="Calibri" w:cs="Calibri"/>
                <w:color w:val="000000"/>
                <w:sz w:val="20"/>
                <w:szCs w:val="20"/>
              </w:rPr>
            </w:pPr>
            <w:r w:rsidRPr="008F0E66">
              <w:rPr>
                <w:rFonts w:ascii="Calibri" w:eastAsia="Times New Roman" w:hAnsi="Calibri" w:cs="Calibri"/>
                <w:color w:val="000000"/>
                <w:sz w:val="20"/>
                <w:szCs w:val="20"/>
              </w:rPr>
              <w:t>-</w:t>
            </w:r>
          </w:p>
        </w:tc>
      </w:tr>
    </w:tbl>
    <w:p w:rsidR="00F749A3" w:rsidRDefault="008F0E66" w:rsidP="008F0E66">
      <w:pPr>
        <w:pStyle w:val="BodyParaAfterTableFigure"/>
        <w:spacing w:before="0"/>
      </w:pPr>
      <w:r>
        <w:t>*The forecasts for 2012 and 2013 reflect the historic 2 PM to 6 PM event window</w:t>
      </w:r>
    </w:p>
    <w:p w:rsidR="00F749A3" w:rsidRDefault="00F749A3" w:rsidP="00F749A3">
      <w:pPr>
        <w:pStyle w:val="TableFigureCaption"/>
      </w:pPr>
      <w:r>
        <w:t xml:space="preserve">Table </w:t>
      </w:r>
      <w:r w:rsidR="00582812">
        <w:t>H</w:t>
      </w:r>
      <w:r>
        <w:t>-2:</w:t>
      </w:r>
      <w:r w:rsidRPr="00C95498">
        <w:br/>
      </w:r>
      <w:r>
        <w:t>1-in-10 Year Weather Conditions Program Specific PG&amp;E CPP Load Impacts</w:t>
      </w:r>
    </w:p>
    <w:tbl>
      <w:tblPr>
        <w:tblW w:w="5000" w:type="pct"/>
        <w:jc w:val="center"/>
        <w:tblLook w:val="04A0"/>
      </w:tblPr>
      <w:tblGrid>
        <w:gridCol w:w="736"/>
        <w:gridCol w:w="644"/>
        <w:gridCol w:w="665"/>
        <w:gridCol w:w="665"/>
        <w:gridCol w:w="645"/>
        <w:gridCol w:w="835"/>
        <w:gridCol w:w="835"/>
        <w:gridCol w:w="835"/>
        <w:gridCol w:w="835"/>
        <w:gridCol w:w="835"/>
        <w:gridCol w:w="663"/>
        <w:gridCol w:w="701"/>
        <w:gridCol w:w="682"/>
      </w:tblGrid>
      <w:tr w:rsidR="00691832" w:rsidRPr="00691832" w:rsidTr="00691832">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Month and Resource Adequacy Window</w:t>
            </w:r>
          </w:p>
        </w:tc>
      </w:tr>
      <w:tr w:rsidR="00691832" w:rsidRPr="00691832" w:rsidTr="00691832">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 </w:t>
            </w:r>
          </w:p>
        </w:tc>
        <w:tc>
          <w:tcPr>
            <w:tcW w:w="33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Jan</w:t>
            </w:r>
          </w:p>
        </w:tc>
        <w:tc>
          <w:tcPr>
            <w:tcW w:w="347"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Feb</w:t>
            </w:r>
          </w:p>
        </w:tc>
        <w:tc>
          <w:tcPr>
            <w:tcW w:w="347"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Mar</w:t>
            </w:r>
          </w:p>
        </w:tc>
        <w:tc>
          <w:tcPr>
            <w:tcW w:w="337"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Apr</w:t>
            </w:r>
          </w:p>
        </w:tc>
        <w:tc>
          <w:tcPr>
            <w:tcW w:w="43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May</w:t>
            </w:r>
          </w:p>
        </w:tc>
        <w:tc>
          <w:tcPr>
            <w:tcW w:w="43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Jun</w:t>
            </w:r>
          </w:p>
        </w:tc>
        <w:tc>
          <w:tcPr>
            <w:tcW w:w="43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Jul</w:t>
            </w:r>
          </w:p>
        </w:tc>
        <w:tc>
          <w:tcPr>
            <w:tcW w:w="43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Aug</w:t>
            </w:r>
          </w:p>
        </w:tc>
        <w:tc>
          <w:tcPr>
            <w:tcW w:w="43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Sep</w:t>
            </w:r>
          </w:p>
        </w:tc>
        <w:tc>
          <w:tcPr>
            <w:tcW w:w="34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Oct</w:t>
            </w:r>
          </w:p>
        </w:tc>
        <w:tc>
          <w:tcPr>
            <w:tcW w:w="366"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Nov</w:t>
            </w:r>
          </w:p>
        </w:tc>
        <w:tc>
          <w:tcPr>
            <w:tcW w:w="356" w:type="pct"/>
            <w:tcBorders>
              <w:top w:val="nil"/>
              <w:left w:val="nil"/>
              <w:bottom w:val="nil"/>
              <w:right w:val="single" w:sz="4" w:space="0" w:color="auto"/>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Dec</w:t>
            </w:r>
          </w:p>
        </w:tc>
      </w:tr>
      <w:tr w:rsidR="00691832" w:rsidRPr="00691832" w:rsidTr="00691832">
        <w:trPr>
          <w:trHeight w:val="300"/>
          <w:jc w:val="center"/>
        </w:trPr>
        <w:tc>
          <w:tcPr>
            <w:tcW w:w="385" w:type="pct"/>
            <w:vMerge/>
            <w:tcBorders>
              <w:top w:val="nil"/>
              <w:left w:val="single" w:sz="4" w:space="0" w:color="auto"/>
              <w:bottom w:val="nil"/>
              <w:right w:val="single" w:sz="8" w:space="0" w:color="FFFFFF"/>
            </w:tcBorders>
            <w:vAlign w:val="center"/>
            <w:hideMark/>
          </w:tcPr>
          <w:p w:rsidR="00691832" w:rsidRPr="00691832" w:rsidRDefault="00691832" w:rsidP="00691832">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1 PM - 6 PM</w:t>
            </w:r>
          </w:p>
        </w:tc>
      </w:tr>
      <w:tr w:rsidR="00691832" w:rsidRPr="00691832" w:rsidTr="00691832">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2012</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30.1</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31.7</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32.9</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31.6</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32.5</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30.3</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2013</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35.7</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37.6</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38.9</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37.3</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38.5</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36.0</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2014</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41.8</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44.2</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45.7</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43.7</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44.9</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41.7</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2015</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78.5</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89.0</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97.8</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95.8</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81.1</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67.5</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2016</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103.8</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125.4</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137.1</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130.9</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108.8</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86.8</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2017</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115.8</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142.7</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155.6</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147.1</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122.2</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95.4</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2018</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113.2</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138.9</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151.6</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143.6</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119.3</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93.5</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2019</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113.8</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139.7</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152.5</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144.5</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119.9</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93.9</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2020</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114.4</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140.5</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153.3</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145.3</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120.5</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94.3</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2021</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115.0</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141.2</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154.2</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146.1</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121.1</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94.7</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2022</w:t>
            </w:r>
          </w:p>
        </w:tc>
        <w:tc>
          <w:tcPr>
            <w:tcW w:w="3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7"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115.5</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142.0</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155.0</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146.9</w:t>
            </w:r>
          </w:p>
        </w:tc>
        <w:tc>
          <w:tcPr>
            <w:tcW w:w="43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121.7</w:t>
            </w:r>
          </w:p>
        </w:tc>
        <w:tc>
          <w:tcPr>
            <w:tcW w:w="34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95.1</w:t>
            </w:r>
          </w:p>
        </w:tc>
        <w:tc>
          <w:tcPr>
            <w:tcW w:w="36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bl>
    <w:p w:rsidR="00F749A3" w:rsidRDefault="008F0E66" w:rsidP="008F0E66">
      <w:pPr>
        <w:pStyle w:val="BodyParaAfterTableFigure"/>
        <w:spacing w:before="0"/>
      </w:pPr>
      <w:r>
        <w:t>*The forecasts for 2012 and 2013 reflect the historic 2 PM to 6 PM event window</w:t>
      </w:r>
    </w:p>
    <w:p w:rsidR="00F749A3" w:rsidRDefault="00F749A3" w:rsidP="00F749A3">
      <w:pPr>
        <w:pStyle w:val="TableFigureCaption"/>
      </w:pPr>
      <w:r>
        <w:lastRenderedPageBreak/>
        <w:t xml:space="preserve">Table </w:t>
      </w:r>
      <w:r w:rsidR="00582812">
        <w:t>H</w:t>
      </w:r>
      <w:r>
        <w:t>-3:</w:t>
      </w:r>
      <w:r w:rsidRPr="00C95498">
        <w:br/>
      </w:r>
      <w:r>
        <w:t>1-in-2 Year Weather Conditions Portfolio PG&amp;E CPP Load Impacts</w:t>
      </w:r>
    </w:p>
    <w:tbl>
      <w:tblPr>
        <w:tblW w:w="5000" w:type="pct"/>
        <w:jc w:val="center"/>
        <w:tblLook w:val="04A0"/>
      </w:tblPr>
      <w:tblGrid>
        <w:gridCol w:w="737"/>
        <w:gridCol w:w="657"/>
        <w:gridCol w:w="676"/>
        <w:gridCol w:w="676"/>
        <w:gridCol w:w="657"/>
        <w:gridCol w:w="735"/>
        <w:gridCol w:w="843"/>
        <w:gridCol w:w="843"/>
        <w:gridCol w:w="843"/>
        <w:gridCol w:w="843"/>
        <w:gridCol w:w="666"/>
        <w:gridCol w:w="714"/>
        <w:gridCol w:w="686"/>
      </w:tblGrid>
      <w:tr w:rsidR="00691832" w:rsidRPr="00691832" w:rsidTr="00691832">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Month and Resource Adequacy Window</w:t>
            </w:r>
          </w:p>
        </w:tc>
      </w:tr>
      <w:tr w:rsidR="00691832" w:rsidRPr="00691832" w:rsidTr="00691832">
        <w:trPr>
          <w:trHeight w:val="315"/>
          <w:jc w:val="center"/>
        </w:trPr>
        <w:tc>
          <w:tcPr>
            <w:tcW w:w="385" w:type="pct"/>
            <w:vMerge w:val="restart"/>
            <w:tcBorders>
              <w:top w:val="nil"/>
              <w:left w:val="single" w:sz="4" w:space="0" w:color="auto"/>
              <w:bottom w:val="single" w:sz="4" w:space="0" w:color="000000"/>
              <w:right w:val="single" w:sz="8" w:space="0" w:color="FFFFFF"/>
            </w:tcBorders>
            <w:shd w:val="clear" w:color="000000" w:fill="1F497D"/>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 </w:t>
            </w:r>
          </w:p>
        </w:tc>
        <w:tc>
          <w:tcPr>
            <w:tcW w:w="343"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Jan</w:t>
            </w:r>
          </w:p>
        </w:tc>
        <w:tc>
          <w:tcPr>
            <w:tcW w:w="353"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Feb</w:t>
            </w:r>
          </w:p>
        </w:tc>
        <w:tc>
          <w:tcPr>
            <w:tcW w:w="353"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Mar</w:t>
            </w:r>
          </w:p>
        </w:tc>
        <w:tc>
          <w:tcPr>
            <w:tcW w:w="343"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Apr</w:t>
            </w:r>
          </w:p>
        </w:tc>
        <w:tc>
          <w:tcPr>
            <w:tcW w:w="38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May</w:t>
            </w:r>
          </w:p>
        </w:tc>
        <w:tc>
          <w:tcPr>
            <w:tcW w:w="440"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Jun</w:t>
            </w:r>
          </w:p>
        </w:tc>
        <w:tc>
          <w:tcPr>
            <w:tcW w:w="440"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Jul</w:t>
            </w:r>
          </w:p>
        </w:tc>
        <w:tc>
          <w:tcPr>
            <w:tcW w:w="440"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Aug</w:t>
            </w:r>
          </w:p>
        </w:tc>
        <w:tc>
          <w:tcPr>
            <w:tcW w:w="440"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Sep</w:t>
            </w:r>
          </w:p>
        </w:tc>
        <w:tc>
          <w:tcPr>
            <w:tcW w:w="348"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Oct</w:t>
            </w:r>
          </w:p>
        </w:tc>
        <w:tc>
          <w:tcPr>
            <w:tcW w:w="373"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Nov</w:t>
            </w:r>
          </w:p>
        </w:tc>
        <w:tc>
          <w:tcPr>
            <w:tcW w:w="363" w:type="pct"/>
            <w:tcBorders>
              <w:top w:val="nil"/>
              <w:left w:val="nil"/>
              <w:bottom w:val="nil"/>
              <w:right w:val="single" w:sz="4" w:space="0" w:color="auto"/>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Dec</w:t>
            </w:r>
          </w:p>
        </w:tc>
      </w:tr>
      <w:tr w:rsidR="00691832" w:rsidRPr="00691832" w:rsidTr="00691832">
        <w:trPr>
          <w:trHeight w:val="300"/>
          <w:jc w:val="center"/>
        </w:trPr>
        <w:tc>
          <w:tcPr>
            <w:tcW w:w="385" w:type="pct"/>
            <w:vMerge/>
            <w:tcBorders>
              <w:top w:val="nil"/>
              <w:left w:val="single" w:sz="4" w:space="0" w:color="auto"/>
              <w:bottom w:val="single" w:sz="4" w:space="0" w:color="000000"/>
              <w:right w:val="single" w:sz="8" w:space="0" w:color="FFFFFF"/>
            </w:tcBorders>
            <w:vAlign w:val="center"/>
            <w:hideMark/>
          </w:tcPr>
          <w:p w:rsidR="00691832" w:rsidRPr="00691832" w:rsidRDefault="00691832" w:rsidP="00691832">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single" w:sz="4" w:space="0" w:color="auto"/>
              <w:right w:val="single" w:sz="4" w:space="0" w:color="000000"/>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1 PM - 6 PM</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2012</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25.9</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28.5</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28.6</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28.1</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26.8</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25.3</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2013</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31.1</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34.1</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34.2</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33.7</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32.1</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30.5</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2014</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36.4</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40.1</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40.4</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39.6</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37.6</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35.5</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2015</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61.7</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69.1</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83.9</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74.2</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69.1</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47.4</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2016</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78.0</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92.6</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116.8</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99.7</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92.5</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58.5</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2017</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84.2</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103.4</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130.9</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111.3</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102.5</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63.4</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2018</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82.9</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101.0</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127.8</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108.7</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100.3</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62.2</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2019</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83.3</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101.5</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128.5</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109.3</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100.8</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62.4</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2020</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83.6</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102.0</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129.2</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109.9</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101.3</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62.7</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2021</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84.0</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102.5</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129.9</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110.4</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101.8</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62.9</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2022</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5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84.4</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103.0</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130.6</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111.0</w:t>
            </w:r>
          </w:p>
        </w:tc>
        <w:tc>
          <w:tcPr>
            <w:tcW w:w="440"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102.3</w:t>
            </w:r>
          </w:p>
        </w:tc>
        <w:tc>
          <w:tcPr>
            <w:tcW w:w="34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63.1</w:t>
            </w:r>
          </w:p>
        </w:tc>
        <w:tc>
          <w:tcPr>
            <w:tcW w:w="37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63" w:type="pct"/>
            <w:tcBorders>
              <w:top w:val="nil"/>
              <w:left w:val="nil"/>
              <w:bottom w:val="single" w:sz="4" w:space="0" w:color="auto"/>
              <w:right w:val="single" w:sz="4" w:space="0" w:color="auto"/>
            </w:tcBorders>
            <w:shd w:val="clear" w:color="auto" w:fill="auto"/>
            <w:noWrap/>
            <w:vAlign w:val="center"/>
            <w:hideMark/>
          </w:tcPr>
          <w:p w:rsidR="00691832" w:rsidRPr="00691832" w:rsidRDefault="00691832" w:rsidP="00691832">
            <w:pPr>
              <w:spacing w:after="0" w:line="240" w:lineRule="auto"/>
              <w:jc w:val="center"/>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r>
    </w:tbl>
    <w:p w:rsidR="00F749A3" w:rsidRDefault="008F0E66" w:rsidP="008F0E66">
      <w:pPr>
        <w:pStyle w:val="BodyParaAfterTableFigure"/>
        <w:spacing w:before="0"/>
      </w:pPr>
      <w:r>
        <w:t>*The forecasts for 2012 and 2013 reflect the historic 2 PM to 6 PM event window</w:t>
      </w:r>
    </w:p>
    <w:p w:rsidR="00F749A3" w:rsidRDefault="00F749A3" w:rsidP="00F749A3">
      <w:pPr>
        <w:pStyle w:val="TableFigureCaption"/>
      </w:pPr>
      <w:r>
        <w:t xml:space="preserve">Table </w:t>
      </w:r>
      <w:r w:rsidR="00582812">
        <w:t>H</w:t>
      </w:r>
      <w:r>
        <w:t>-4:</w:t>
      </w:r>
      <w:r w:rsidRPr="00C95498">
        <w:br/>
      </w:r>
      <w:r>
        <w:t>1-in-10 Year Weather Conditions Portfolio PG&amp;E CPP Load Impacts</w:t>
      </w:r>
    </w:p>
    <w:tbl>
      <w:tblPr>
        <w:tblW w:w="5000" w:type="pct"/>
        <w:jc w:val="center"/>
        <w:tblLook w:val="04A0"/>
      </w:tblPr>
      <w:tblGrid>
        <w:gridCol w:w="738"/>
        <w:gridCol w:w="648"/>
        <w:gridCol w:w="668"/>
        <w:gridCol w:w="668"/>
        <w:gridCol w:w="649"/>
        <w:gridCol w:w="831"/>
        <w:gridCol w:w="831"/>
        <w:gridCol w:w="831"/>
        <w:gridCol w:w="831"/>
        <w:gridCol w:w="831"/>
        <w:gridCol w:w="659"/>
        <w:gridCol w:w="705"/>
        <w:gridCol w:w="686"/>
      </w:tblGrid>
      <w:tr w:rsidR="00691832" w:rsidRPr="00691832" w:rsidTr="00691832">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Month and Resource Adequacy Window</w:t>
            </w:r>
          </w:p>
        </w:tc>
      </w:tr>
      <w:tr w:rsidR="00691832" w:rsidRPr="00691832" w:rsidTr="00691832">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 </w:t>
            </w:r>
          </w:p>
        </w:tc>
        <w:tc>
          <w:tcPr>
            <w:tcW w:w="338"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Jan</w:t>
            </w:r>
          </w:p>
        </w:tc>
        <w:tc>
          <w:tcPr>
            <w:tcW w:w="349"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Feb</w:t>
            </w:r>
          </w:p>
        </w:tc>
        <w:tc>
          <w:tcPr>
            <w:tcW w:w="349"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Mar</w:t>
            </w:r>
          </w:p>
        </w:tc>
        <w:tc>
          <w:tcPr>
            <w:tcW w:w="339"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Apr</w:t>
            </w:r>
          </w:p>
        </w:tc>
        <w:tc>
          <w:tcPr>
            <w:tcW w:w="43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May</w:t>
            </w:r>
          </w:p>
        </w:tc>
        <w:tc>
          <w:tcPr>
            <w:tcW w:w="43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Jun</w:t>
            </w:r>
          </w:p>
        </w:tc>
        <w:tc>
          <w:tcPr>
            <w:tcW w:w="43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Jul</w:t>
            </w:r>
          </w:p>
        </w:tc>
        <w:tc>
          <w:tcPr>
            <w:tcW w:w="43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Aug</w:t>
            </w:r>
          </w:p>
        </w:tc>
        <w:tc>
          <w:tcPr>
            <w:tcW w:w="43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Sep</w:t>
            </w:r>
          </w:p>
        </w:tc>
        <w:tc>
          <w:tcPr>
            <w:tcW w:w="344"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Oct</w:t>
            </w:r>
          </w:p>
        </w:tc>
        <w:tc>
          <w:tcPr>
            <w:tcW w:w="368" w:type="pct"/>
            <w:tcBorders>
              <w:top w:val="nil"/>
              <w:left w:val="nil"/>
              <w:bottom w:val="nil"/>
              <w:right w:val="single" w:sz="8" w:space="0" w:color="FFFFFF"/>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Nov</w:t>
            </w:r>
          </w:p>
        </w:tc>
        <w:tc>
          <w:tcPr>
            <w:tcW w:w="358" w:type="pct"/>
            <w:tcBorders>
              <w:top w:val="nil"/>
              <w:left w:val="nil"/>
              <w:bottom w:val="nil"/>
              <w:right w:val="single" w:sz="4" w:space="0" w:color="auto"/>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Dec</w:t>
            </w:r>
          </w:p>
        </w:tc>
      </w:tr>
      <w:tr w:rsidR="00691832" w:rsidRPr="00691832" w:rsidTr="00691832">
        <w:trPr>
          <w:trHeight w:val="300"/>
          <w:jc w:val="center"/>
        </w:trPr>
        <w:tc>
          <w:tcPr>
            <w:tcW w:w="385" w:type="pct"/>
            <w:vMerge/>
            <w:tcBorders>
              <w:top w:val="nil"/>
              <w:left w:val="single" w:sz="4" w:space="0" w:color="auto"/>
              <w:bottom w:val="nil"/>
              <w:right w:val="single" w:sz="8" w:space="0" w:color="FFFFFF"/>
            </w:tcBorders>
            <w:vAlign w:val="center"/>
            <w:hideMark/>
          </w:tcPr>
          <w:p w:rsidR="00691832" w:rsidRPr="00691832" w:rsidRDefault="00691832" w:rsidP="00691832">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691832" w:rsidRPr="00691832" w:rsidRDefault="00691832" w:rsidP="00691832">
            <w:pPr>
              <w:spacing w:after="0" w:line="240" w:lineRule="auto"/>
              <w:jc w:val="center"/>
              <w:rPr>
                <w:rFonts w:ascii="Arial" w:eastAsia="Times New Roman" w:hAnsi="Arial" w:cs="Arial"/>
                <w:b/>
                <w:bCs/>
                <w:color w:val="FFFFFF"/>
                <w:sz w:val="20"/>
                <w:szCs w:val="20"/>
              </w:rPr>
            </w:pPr>
            <w:r w:rsidRPr="00691832">
              <w:rPr>
                <w:rFonts w:ascii="Arial" w:eastAsia="Times New Roman" w:hAnsi="Arial" w:cs="Arial"/>
                <w:b/>
                <w:bCs/>
                <w:color w:val="FFFFFF"/>
                <w:sz w:val="20"/>
                <w:szCs w:val="20"/>
              </w:rPr>
              <w:t>1 PM - 6 PM</w:t>
            </w:r>
          </w:p>
        </w:tc>
      </w:tr>
      <w:tr w:rsidR="00691832" w:rsidRPr="00691832" w:rsidTr="00691832">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2012</w:t>
            </w: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rPr>
                <w:rFonts w:ascii="Calibri" w:eastAsia="Times New Roman" w:hAnsi="Calibri" w:cs="Calibri"/>
                <w:color w:val="000000"/>
                <w:sz w:val="20"/>
                <w:szCs w:val="20"/>
              </w:rPr>
            </w:pPr>
            <w:r w:rsidRPr="00691832">
              <w:rPr>
                <w:rFonts w:ascii="Calibri" w:eastAsia="Times New Roman" w:hAnsi="Calibri" w:cs="Calibri"/>
                <w:color w:val="000000"/>
                <w:sz w:val="20"/>
                <w:szCs w:val="20"/>
              </w:rPr>
              <w:t>-</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28.3</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30.0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31.0</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29.7</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30.6</w:t>
            </w:r>
          </w:p>
        </w:tc>
        <w:tc>
          <w:tcPr>
            <w:tcW w:w="344"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28.5</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single" w:sz="4" w:space="0" w:color="auto"/>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2013</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34.0</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35.8</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36.9</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35.4</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36.6</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34.2</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2014</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39.9</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42.4</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43.6</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41.7</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42.9</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39.8</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2015</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76.7</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87.1</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95.7</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93.8</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79.1</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65.7</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2016</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101.9</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123.5</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135.0</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128.9</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106.8</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84.9</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2017</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114.0</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140.8</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153.5</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145.1</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120.3</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93.5</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2018</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111.4</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137.0</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149.5</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141.6</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117.3</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91.6</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2019</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112.0</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137.8</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150.4</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142.5</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117.9</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92.0</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2020</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112.6</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138.6</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151.3</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143.3</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118.5</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92.4</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2021</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113.1</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139.4</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152.1</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144.1</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119.1</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92.9</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r w:rsidR="00691832" w:rsidRPr="00691832" w:rsidTr="00691832">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2022</w:t>
            </w:r>
          </w:p>
        </w:tc>
        <w:tc>
          <w:tcPr>
            <w:tcW w:w="33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4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39"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113.7</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140.1</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152.9</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144.9</w:t>
            </w:r>
          </w:p>
        </w:tc>
        <w:tc>
          <w:tcPr>
            <w:tcW w:w="43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119.7</w:t>
            </w:r>
          </w:p>
        </w:tc>
        <w:tc>
          <w:tcPr>
            <w:tcW w:w="344"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93.2</w:t>
            </w:r>
          </w:p>
        </w:tc>
        <w:tc>
          <w:tcPr>
            <w:tcW w:w="36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c>
          <w:tcPr>
            <w:tcW w:w="358" w:type="pct"/>
            <w:tcBorders>
              <w:top w:val="nil"/>
              <w:left w:val="nil"/>
              <w:bottom w:val="single" w:sz="4" w:space="0" w:color="auto"/>
              <w:right w:val="single" w:sz="4" w:space="0" w:color="auto"/>
            </w:tcBorders>
            <w:shd w:val="clear" w:color="auto" w:fill="auto"/>
            <w:noWrap/>
            <w:vAlign w:val="bottom"/>
            <w:hideMark/>
          </w:tcPr>
          <w:p w:rsidR="00691832" w:rsidRPr="00691832" w:rsidRDefault="00691832" w:rsidP="00691832">
            <w:pPr>
              <w:spacing w:after="0" w:line="240" w:lineRule="auto"/>
              <w:jc w:val="center"/>
              <w:rPr>
                <w:rFonts w:ascii="Arial" w:eastAsia="Times New Roman" w:hAnsi="Arial" w:cs="Arial"/>
                <w:color w:val="000000"/>
                <w:sz w:val="18"/>
                <w:szCs w:val="18"/>
              </w:rPr>
            </w:pPr>
            <w:r w:rsidRPr="00691832">
              <w:rPr>
                <w:rFonts w:ascii="Arial" w:eastAsia="Times New Roman" w:hAnsi="Arial" w:cs="Arial"/>
                <w:color w:val="000000"/>
                <w:sz w:val="18"/>
                <w:szCs w:val="18"/>
              </w:rPr>
              <w:t>-</w:t>
            </w:r>
          </w:p>
        </w:tc>
      </w:tr>
    </w:tbl>
    <w:p w:rsidR="008F0E66" w:rsidRPr="00563BA3" w:rsidRDefault="008F0E66" w:rsidP="008F0E66">
      <w:pPr>
        <w:pStyle w:val="BodyParaAfterTableFigure"/>
        <w:spacing w:before="0"/>
      </w:pPr>
      <w:r>
        <w:t>*The forecasts for 2012 and 2013 reflect the historic 2 PM to 6 PM event window</w:t>
      </w:r>
    </w:p>
    <w:p w:rsidR="00F749A3" w:rsidRPr="008C3CFB" w:rsidRDefault="00F749A3" w:rsidP="00F749A3">
      <w:pPr>
        <w:rPr>
          <w:highlight w:val="yellow"/>
        </w:rPr>
      </w:pPr>
    </w:p>
    <w:p w:rsidR="00F749A3" w:rsidRPr="008C3CFB" w:rsidRDefault="00F749A3" w:rsidP="00F749A3">
      <w:pPr>
        <w:rPr>
          <w:highlight w:val="yellow"/>
        </w:rPr>
      </w:pPr>
    </w:p>
    <w:p w:rsidR="00F749A3" w:rsidRPr="008C3CFB" w:rsidRDefault="00F749A3" w:rsidP="00F749A3">
      <w:pPr>
        <w:rPr>
          <w:highlight w:val="yellow"/>
        </w:rPr>
      </w:pPr>
    </w:p>
    <w:p w:rsidR="00F749A3" w:rsidRPr="008C3CFB" w:rsidRDefault="00F749A3" w:rsidP="00F749A3">
      <w:pPr>
        <w:rPr>
          <w:highlight w:val="yellow"/>
        </w:rPr>
      </w:pPr>
    </w:p>
    <w:p w:rsidR="00F749A3" w:rsidRPr="00CC420A" w:rsidRDefault="00F749A3" w:rsidP="00987D49">
      <w:pPr>
        <w:pStyle w:val="AppendixHeading"/>
        <w:ind w:left="2246" w:hanging="2246"/>
      </w:pPr>
      <w:bookmarkStart w:id="192" w:name="_Toc326072173"/>
      <w:bookmarkStart w:id="193" w:name="_Toc289178070"/>
      <w:r w:rsidRPr="00CC420A">
        <w:lastRenderedPageBreak/>
        <w:t xml:space="preserve">SCE </w:t>
      </w:r>
      <w:r w:rsidR="00987D49">
        <w:t>Large and Medium C&amp;I Ex ante Load Impacts</w:t>
      </w:r>
      <w:bookmarkEnd w:id="192"/>
      <w:r w:rsidR="00987D49">
        <w:t xml:space="preserve"> </w:t>
      </w:r>
      <w:bookmarkEnd w:id="193"/>
    </w:p>
    <w:p w:rsidR="00F749A3" w:rsidRPr="008C3CFB" w:rsidRDefault="00F749A3" w:rsidP="00F749A3">
      <w:pPr>
        <w:rPr>
          <w:highlight w:val="yellow"/>
        </w:rPr>
      </w:pPr>
    </w:p>
    <w:p w:rsidR="00F749A3" w:rsidRDefault="00582812" w:rsidP="00F749A3">
      <w:pPr>
        <w:pStyle w:val="TableFigureCaption"/>
      </w:pPr>
      <w:r>
        <w:t>Table I</w:t>
      </w:r>
      <w:r w:rsidR="00F749A3" w:rsidRPr="00C95498">
        <w:t>-1</w:t>
      </w:r>
      <w:r w:rsidR="00F749A3">
        <w:t>:</w:t>
      </w:r>
      <w:r w:rsidR="00F749A3" w:rsidRPr="00C95498">
        <w:br/>
      </w:r>
      <w:r w:rsidR="00F749A3">
        <w:t>1-in-2 Year Weather Conditions Program Specific SCE CPP Load Impacts</w:t>
      </w:r>
    </w:p>
    <w:tbl>
      <w:tblPr>
        <w:tblW w:w="5000" w:type="pct"/>
        <w:jc w:val="center"/>
        <w:tblLook w:val="04A0"/>
      </w:tblPr>
      <w:tblGrid>
        <w:gridCol w:w="733"/>
        <w:gridCol w:w="706"/>
        <w:gridCol w:w="726"/>
        <w:gridCol w:w="726"/>
        <w:gridCol w:w="707"/>
        <w:gridCol w:w="789"/>
        <w:gridCol w:w="726"/>
        <w:gridCol w:w="724"/>
        <w:gridCol w:w="787"/>
        <w:gridCol w:w="747"/>
        <w:gridCol w:w="686"/>
        <w:gridCol w:w="768"/>
        <w:gridCol w:w="751"/>
      </w:tblGrid>
      <w:tr w:rsidR="00F749A3" w:rsidRPr="002352FD" w:rsidTr="00F749A3">
        <w:trPr>
          <w:trHeight w:val="315"/>
          <w:jc w:val="center"/>
        </w:trPr>
        <w:tc>
          <w:tcPr>
            <w:tcW w:w="383"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 </w:t>
            </w:r>
          </w:p>
        </w:tc>
        <w:tc>
          <w:tcPr>
            <w:tcW w:w="4617"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Month and Resource Adequacy Window</w:t>
            </w:r>
          </w:p>
        </w:tc>
      </w:tr>
      <w:tr w:rsidR="00F749A3" w:rsidRPr="002352FD" w:rsidTr="00F749A3">
        <w:trPr>
          <w:trHeight w:val="315"/>
          <w:jc w:val="center"/>
        </w:trPr>
        <w:tc>
          <w:tcPr>
            <w:tcW w:w="383" w:type="pct"/>
            <w:vMerge w:val="restart"/>
            <w:tcBorders>
              <w:top w:val="nil"/>
              <w:left w:val="single" w:sz="4" w:space="0" w:color="auto"/>
              <w:bottom w:val="nil"/>
              <w:right w:val="single" w:sz="8" w:space="0" w:color="FFFFFF"/>
            </w:tcBorders>
            <w:shd w:val="clear" w:color="000000" w:fill="1F497D"/>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 </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Jan</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Feb</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Mar</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Apr</w:t>
            </w:r>
          </w:p>
        </w:tc>
        <w:tc>
          <w:tcPr>
            <w:tcW w:w="412"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May</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Jun</w:t>
            </w:r>
          </w:p>
        </w:tc>
        <w:tc>
          <w:tcPr>
            <w:tcW w:w="378"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Jul</w:t>
            </w:r>
          </w:p>
        </w:tc>
        <w:tc>
          <w:tcPr>
            <w:tcW w:w="411"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Aug</w:t>
            </w:r>
          </w:p>
        </w:tc>
        <w:tc>
          <w:tcPr>
            <w:tcW w:w="390"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Sep</w:t>
            </w:r>
          </w:p>
        </w:tc>
        <w:tc>
          <w:tcPr>
            <w:tcW w:w="358"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Oct</w:t>
            </w:r>
          </w:p>
        </w:tc>
        <w:tc>
          <w:tcPr>
            <w:tcW w:w="401"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Nov</w:t>
            </w:r>
          </w:p>
        </w:tc>
        <w:tc>
          <w:tcPr>
            <w:tcW w:w="391" w:type="pct"/>
            <w:tcBorders>
              <w:top w:val="nil"/>
              <w:left w:val="nil"/>
              <w:bottom w:val="nil"/>
              <w:right w:val="single" w:sz="4" w:space="0" w:color="auto"/>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Dec</w:t>
            </w:r>
          </w:p>
        </w:tc>
      </w:tr>
      <w:tr w:rsidR="00F749A3" w:rsidRPr="002352FD" w:rsidTr="00F749A3">
        <w:trPr>
          <w:trHeight w:val="300"/>
          <w:jc w:val="center"/>
        </w:trPr>
        <w:tc>
          <w:tcPr>
            <w:tcW w:w="383" w:type="pct"/>
            <w:vMerge/>
            <w:tcBorders>
              <w:top w:val="nil"/>
              <w:left w:val="single" w:sz="4" w:space="0" w:color="auto"/>
              <w:bottom w:val="nil"/>
              <w:right w:val="single" w:sz="8" w:space="0" w:color="FFFFFF"/>
            </w:tcBorders>
            <w:vAlign w:val="center"/>
            <w:hideMark/>
          </w:tcPr>
          <w:p w:rsidR="00F749A3" w:rsidRPr="002352FD" w:rsidRDefault="00F749A3" w:rsidP="00F749A3">
            <w:pPr>
              <w:spacing w:after="0" w:line="240" w:lineRule="auto"/>
              <w:rPr>
                <w:rFonts w:ascii="Calibri" w:eastAsia="Times New Roman" w:hAnsi="Calibri" w:cs="Calibri"/>
                <w:color w:val="000000"/>
                <w:sz w:val="20"/>
                <w:szCs w:val="20"/>
              </w:rPr>
            </w:pPr>
          </w:p>
        </w:tc>
        <w:tc>
          <w:tcPr>
            <w:tcW w:w="4617" w:type="pct"/>
            <w:gridSpan w:val="12"/>
            <w:tcBorders>
              <w:top w:val="single" w:sz="8" w:space="0" w:color="FFFFFF"/>
              <w:left w:val="nil"/>
              <w:bottom w:val="nil"/>
              <w:right w:val="single" w:sz="4" w:space="0" w:color="000000"/>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1 PM - 6 PM</w:t>
            </w:r>
          </w:p>
        </w:tc>
      </w:tr>
      <w:tr w:rsidR="00F749A3" w:rsidRPr="002352FD" w:rsidTr="00F749A3">
        <w:trPr>
          <w:trHeight w:val="300"/>
          <w:jc w:val="center"/>
        </w:trPr>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28.9</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28.4</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28.6</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2013</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30.3</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29.2</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2014</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30.9</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30.1</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2015</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2016</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2017</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2018</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2019</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2020</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2022</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31.2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30.4</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29.7</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30.0</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bl>
    <w:p w:rsidR="00F749A3" w:rsidRDefault="00F749A3" w:rsidP="00F749A3"/>
    <w:p w:rsidR="00F749A3" w:rsidRPr="00C95498" w:rsidRDefault="00582812" w:rsidP="00F749A3">
      <w:pPr>
        <w:pStyle w:val="TableFigureCaption"/>
      </w:pPr>
      <w:r>
        <w:t>Table I</w:t>
      </w:r>
      <w:r w:rsidR="00F749A3">
        <w:t>-2:</w:t>
      </w:r>
      <w:r w:rsidR="00F749A3" w:rsidRPr="00C95498">
        <w:br/>
      </w:r>
      <w:r w:rsidR="00F749A3">
        <w:t>1-in-10 Year Weather Conditions Program Specific SCE CPP Load Impacts</w:t>
      </w:r>
    </w:p>
    <w:tbl>
      <w:tblPr>
        <w:tblW w:w="5000" w:type="pct"/>
        <w:jc w:val="center"/>
        <w:tblLook w:val="04A0"/>
      </w:tblPr>
      <w:tblGrid>
        <w:gridCol w:w="736"/>
        <w:gridCol w:w="707"/>
        <w:gridCol w:w="726"/>
        <w:gridCol w:w="726"/>
        <w:gridCol w:w="707"/>
        <w:gridCol w:w="789"/>
        <w:gridCol w:w="726"/>
        <w:gridCol w:w="724"/>
        <w:gridCol w:w="787"/>
        <w:gridCol w:w="747"/>
        <w:gridCol w:w="686"/>
        <w:gridCol w:w="768"/>
        <w:gridCol w:w="747"/>
      </w:tblGrid>
      <w:tr w:rsidR="00F749A3" w:rsidRPr="002352FD"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Month and Resource Adequacy Window</w:t>
            </w:r>
          </w:p>
        </w:tc>
      </w:tr>
      <w:tr w:rsidR="00F749A3" w:rsidRPr="002352FD"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 </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Jan</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Feb</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Mar</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Apr</w:t>
            </w:r>
          </w:p>
        </w:tc>
        <w:tc>
          <w:tcPr>
            <w:tcW w:w="412"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May</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Jun</w:t>
            </w:r>
          </w:p>
        </w:tc>
        <w:tc>
          <w:tcPr>
            <w:tcW w:w="378"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Jul</w:t>
            </w:r>
          </w:p>
        </w:tc>
        <w:tc>
          <w:tcPr>
            <w:tcW w:w="411"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Aug</w:t>
            </w:r>
          </w:p>
        </w:tc>
        <w:tc>
          <w:tcPr>
            <w:tcW w:w="390"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Sep</w:t>
            </w:r>
          </w:p>
        </w:tc>
        <w:tc>
          <w:tcPr>
            <w:tcW w:w="358"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Oct</w:t>
            </w:r>
          </w:p>
        </w:tc>
        <w:tc>
          <w:tcPr>
            <w:tcW w:w="401"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Nov</w:t>
            </w:r>
          </w:p>
        </w:tc>
        <w:tc>
          <w:tcPr>
            <w:tcW w:w="390" w:type="pct"/>
            <w:tcBorders>
              <w:top w:val="nil"/>
              <w:left w:val="nil"/>
              <w:bottom w:val="nil"/>
              <w:right w:val="single" w:sz="4" w:space="0" w:color="auto"/>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Dec</w:t>
            </w:r>
          </w:p>
        </w:tc>
      </w:tr>
      <w:tr w:rsidR="00F749A3" w:rsidRPr="002352FD"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2352FD"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1 PM - 6 PM</w:t>
            </w:r>
          </w:p>
        </w:tc>
      </w:tr>
      <w:tr w:rsidR="00F749A3" w:rsidRPr="002352FD"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28.7</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28.1</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27.7</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28.2</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2013</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29.3</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28.7</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28.2</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2014</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29.9</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29.3</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28.8</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2015</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2016</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2017</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2018</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2019</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2020</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2022</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30.2</w:t>
            </w:r>
          </w:p>
        </w:tc>
        <w:tc>
          <w:tcPr>
            <w:tcW w:w="37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41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29.0</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29.5</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bl>
    <w:p w:rsidR="00F749A3" w:rsidRDefault="00F749A3" w:rsidP="00F749A3"/>
    <w:p w:rsidR="00F749A3" w:rsidRDefault="00F749A3" w:rsidP="00F749A3"/>
    <w:p w:rsidR="00F749A3" w:rsidRDefault="00582812" w:rsidP="00F749A3">
      <w:pPr>
        <w:pStyle w:val="TableFigureCaption"/>
      </w:pPr>
      <w:r>
        <w:lastRenderedPageBreak/>
        <w:t>Table I</w:t>
      </w:r>
      <w:r w:rsidR="00F749A3">
        <w:t>-3:</w:t>
      </w:r>
      <w:r w:rsidR="00F749A3" w:rsidRPr="00C95498">
        <w:br/>
      </w:r>
      <w:r w:rsidR="00F749A3">
        <w:t>1-in-2 Year Weather Conditions Portfolio SCE CPP Load Impacts</w:t>
      </w:r>
    </w:p>
    <w:tbl>
      <w:tblPr>
        <w:tblW w:w="5000" w:type="pct"/>
        <w:jc w:val="center"/>
        <w:tblLook w:val="04A0"/>
      </w:tblPr>
      <w:tblGrid>
        <w:gridCol w:w="736"/>
        <w:gridCol w:w="707"/>
        <w:gridCol w:w="726"/>
        <w:gridCol w:w="726"/>
        <w:gridCol w:w="707"/>
        <w:gridCol w:w="791"/>
        <w:gridCol w:w="726"/>
        <w:gridCol w:w="718"/>
        <w:gridCol w:w="789"/>
        <w:gridCol w:w="747"/>
        <w:gridCol w:w="686"/>
        <w:gridCol w:w="768"/>
        <w:gridCol w:w="749"/>
      </w:tblGrid>
      <w:tr w:rsidR="00F749A3" w:rsidRPr="002352FD"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Month and Resource Adequacy Window</w:t>
            </w:r>
          </w:p>
        </w:tc>
      </w:tr>
      <w:tr w:rsidR="00F749A3" w:rsidRPr="002352FD"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 </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Jan</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Feb</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Mar</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Apr</w:t>
            </w:r>
          </w:p>
        </w:tc>
        <w:tc>
          <w:tcPr>
            <w:tcW w:w="413"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May</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Jun</w:t>
            </w:r>
          </w:p>
        </w:tc>
        <w:tc>
          <w:tcPr>
            <w:tcW w:w="375"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Jul</w:t>
            </w:r>
          </w:p>
        </w:tc>
        <w:tc>
          <w:tcPr>
            <w:tcW w:w="412"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Aug</w:t>
            </w:r>
          </w:p>
        </w:tc>
        <w:tc>
          <w:tcPr>
            <w:tcW w:w="390"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Sep</w:t>
            </w:r>
          </w:p>
        </w:tc>
        <w:tc>
          <w:tcPr>
            <w:tcW w:w="358"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Oct</w:t>
            </w:r>
          </w:p>
        </w:tc>
        <w:tc>
          <w:tcPr>
            <w:tcW w:w="401"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Nov</w:t>
            </w:r>
          </w:p>
        </w:tc>
        <w:tc>
          <w:tcPr>
            <w:tcW w:w="390" w:type="pct"/>
            <w:tcBorders>
              <w:top w:val="nil"/>
              <w:left w:val="nil"/>
              <w:bottom w:val="nil"/>
              <w:right w:val="single" w:sz="4" w:space="0" w:color="auto"/>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Dec</w:t>
            </w:r>
          </w:p>
        </w:tc>
      </w:tr>
      <w:tr w:rsidR="00F749A3" w:rsidRPr="002352FD"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2352FD"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1 PM - 6 PM</w:t>
            </w:r>
          </w:p>
        </w:tc>
      </w:tr>
      <w:tr w:rsidR="00F749A3" w:rsidRPr="002352FD"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2012</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28.7</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27.9</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27.5</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2013</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28.5</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27.9</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28.1</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2014</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29.9</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28.7</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2015</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2016</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2017</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2018</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2019</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2020</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2021</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2022</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30.2</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29.3</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90"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r>
    </w:tbl>
    <w:p w:rsidR="00F749A3" w:rsidRDefault="00F749A3" w:rsidP="00F749A3"/>
    <w:p w:rsidR="00F749A3" w:rsidRDefault="00582812" w:rsidP="00F749A3">
      <w:pPr>
        <w:pStyle w:val="TableFigureCaption"/>
      </w:pPr>
      <w:r>
        <w:t>Table I</w:t>
      </w:r>
      <w:r w:rsidR="00F749A3">
        <w:t>-4:</w:t>
      </w:r>
      <w:r w:rsidR="00F749A3" w:rsidRPr="00C95498">
        <w:br/>
      </w:r>
      <w:r w:rsidR="00F749A3">
        <w:t>1-in-10 Year Weather Conditions Portfolio SCE CPP Load Impacts</w:t>
      </w:r>
    </w:p>
    <w:tbl>
      <w:tblPr>
        <w:tblW w:w="5000" w:type="pct"/>
        <w:jc w:val="center"/>
        <w:tblLook w:val="04A0"/>
      </w:tblPr>
      <w:tblGrid>
        <w:gridCol w:w="736"/>
        <w:gridCol w:w="707"/>
        <w:gridCol w:w="726"/>
        <w:gridCol w:w="726"/>
        <w:gridCol w:w="707"/>
        <w:gridCol w:w="791"/>
        <w:gridCol w:w="726"/>
        <w:gridCol w:w="718"/>
        <w:gridCol w:w="789"/>
        <w:gridCol w:w="747"/>
        <w:gridCol w:w="686"/>
        <w:gridCol w:w="768"/>
        <w:gridCol w:w="749"/>
      </w:tblGrid>
      <w:tr w:rsidR="00F749A3" w:rsidRPr="002352FD"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Month and Resource Adequacy Window</w:t>
            </w:r>
          </w:p>
        </w:tc>
      </w:tr>
      <w:tr w:rsidR="00F749A3" w:rsidRPr="002352FD"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 </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Jan</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Feb</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Mar</w:t>
            </w:r>
          </w:p>
        </w:tc>
        <w:tc>
          <w:tcPr>
            <w:tcW w:w="36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Apr</w:t>
            </w:r>
          </w:p>
        </w:tc>
        <w:tc>
          <w:tcPr>
            <w:tcW w:w="413"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May</w:t>
            </w:r>
          </w:p>
        </w:tc>
        <w:tc>
          <w:tcPr>
            <w:tcW w:w="379"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Jun</w:t>
            </w:r>
          </w:p>
        </w:tc>
        <w:tc>
          <w:tcPr>
            <w:tcW w:w="375"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Jul</w:t>
            </w:r>
          </w:p>
        </w:tc>
        <w:tc>
          <w:tcPr>
            <w:tcW w:w="412"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Aug</w:t>
            </w:r>
          </w:p>
        </w:tc>
        <w:tc>
          <w:tcPr>
            <w:tcW w:w="390"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Sep</w:t>
            </w:r>
          </w:p>
        </w:tc>
        <w:tc>
          <w:tcPr>
            <w:tcW w:w="358"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Oct</w:t>
            </w:r>
          </w:p>
        </w:tc>
        <w:tc>
          <w:tcPr>
            <w:tcW w:w="401" w:type="pct"/>
            <w:tcBorders>
              <w:top w:val="nil"/>
              <w:left w:val="nil"/>
              <w:bottom w:val="nil"/>
              <w:right w:val="single" w:sz="8" w:space="0" w:color="FFFFFF"/>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Nov</w:t>
            </w:r>
          </w:p>
        </w:tc>
        <w:tc>
          <w:tcPr>
            <w:tcW w:w="390" w:type="pct"/>
            <w:tcBorders>
              <w:top w:val="nil"/>
              <w:left w:val="nil"/>
              <w:bottom w:val="nil"/>
              <w:right w:val="single" w:sz="4" w:space="0" w:color="auto"/>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Dec</w:t>
            </w:r>
          </w:p>
        </w:tc>
      </w:tr>
      <w:tr w:rsidR="00F749A3" w:rsidRPr="002352FD"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2352FD"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2352FD" w:rsidRDefault="00F749A3" w:rsidP="00F749A3">
            <w:pPr>
              <w:spacing w:after="0" w:line="240" w:lineRule="auto"/>
              <w:jc w:val="center"/>
              <w:rPr>
                <w:rFonts w:ascii="Arial" w:eastAsia="Times New Roman" w:hAnsi="Arial" w:cs="Arial"/>
                <w:b/>
                <w:bCs/>
                <w:color w:val="FFFFFF"/>
                <w:sz w:val="20"/>
                <w:szCs w:val="20"/>
              </w:rPr>
            </w:pPr>
            <w:r w:rsidRPr="002352FD">
              <w:rPr>
                <w:rFonts w:ascii="Arial" w:eastAsia="Times New Roman" w:hAnsi="Arial" w:cs="Arial"/>
                <w:b/>
                <w:bCs/>
                <w:color w:val="FFFFFF"/>
                <w:sz w:val="20"/>
                <w:szCs w:val="20"/>
              </w:rPr>
              <w:t>1 PM - 6 PM</w:t>
            </w:r>
          </w:p>
        </w:tc>
      </w:tr>
      <w:tr w:rsidR="00F749A3" w:rsidRPr="002352FD"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2012</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27.7</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27.0</w:t>
            </w:r>
          </w:p>
        </w:tc>
        <w:tc>
          <w:tcPr>
            <w:tcW w:w="412"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26.5</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27.1</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2013</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28.3</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27.6</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27.1</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27.7</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2014</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28.8</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28.1</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27.6</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28.3</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2015</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2016</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2017</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2018</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2019</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2020</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2021</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r w:rsidR="00F749A3" w:rsidRPr="002352FD"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2022</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6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413"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379"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29.1</w:t>
            </w:r>
          </w:p>
        </w:tc>
        <w:tc>
          <w:tcPr>
            <w:tcW w:w="375"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41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27.8</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28.4</w:t>
            </w:r>
          </w:p>
        </w:tc>
        <w:tc>
          <w:tcPr>
            <w:tcW w:w="358" w:type="pct"/>
            <w:tcBorders>
              <w:top w:val="nil"/>
              <w:left w:val="nil"/>
              <w:bottom w:val="single" w:sz="4" w:space="0" w:color="auto"/>
              <w:right w:val="single" w:sz="4" w:space="0" w:color="auto"/>
            </w:tcBorders>
            <w:shd w:val="clear" w:color="auto" w:fill="auto"/>
            <w:noWrap/>
            <w:vAlign w:val="center"/>
            <w:hideMark/>
          </w:tcPr>
          <w:p w:rsidR="00F749A3" w:rsidRPr="002352FD" w:rsidRDefault="00F749A3" w:rsidP="00F749A3">
            <w:pPr>
              <w:spacing w:after="0" w:line="240" w:lineRule="auto"/>
              <w:jc w:val="center"/>
              <w:rPr>
                <w:rFonts w:ascii="Calibri" w:eastAsia="Times New Roman" w:hAnsi="Calibri" w:cs="Calibri"/>
                <w:color w:val="000000"/>
                <w:sz w:val="20"/>
                <w:szCs w:val="20"/>
              </w:rPr>
            </w:pPr>
            <w:r w:rsidRPr="002352FD">
              <w:rPr>
                <w:rFonts w:ascii="Calibri" w:eastAsia="Times New Roman" w:hAnsi="Calibri" w:cs="Calibri"/>
                <w:color w:val="000000"/>
                <w:sz w:val="20"/>
                <w:szCs w:val="20"/>
              </w:rPr>
              <w:t>-</w:t>
            </w:r>
          </w:p>
        </w:tc>
        <w:tc>
          <w:tcPr>
            <w:tcW w:w="40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c>
          <w:tcPr>
            <w:tcW w:w="390"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Arial" w:eastAsia="Times New Roman" w:hAnsi="Arial" w:cs="Arial"/>
                <w:color w:val="000000"/>
                <w:sz w:val="18"/>
                <w:szCs w:val="18"/>
              </w:rPr>
            </w:pPr>
            <w:r w:rsidRPr="002352FD">
              <w:rPr>
                <w:rFonts w:ascii="Arial" w:eastAsia="Times New Roman" w:hAnsi="Arial" w:cs="Arial"/>
                <w:color w:val="000000"/>
                <w:sz w:val="18"/>
                <w:szCs w:val="18"/>
              </w:rPr>
              <w:t>-</w:t>
            </w:r>
          </w:p>
        </w:tc>
      </w:tr>
    </w:tbl>
    <w:p w:rsidR="00F749A3" w:rsidRPr="008C3CFB" w:rsidRDefault="00F749A3" w:rsidP="00F749A3">
      <w:pPr>
        <w:rPr>
          <w:highlight w:val="yellow"/>
        </w:rPr>
      </w:pPr>
    </w:p>
    <w:p w:rsidR="00F749A3" w:rsidRPr="008C3CFB" w:rsidRDefault="00F749A3" w:rsidP="00F749A3">
      <w:pPr>
        <w:rPr>
          <w:highlight w:val="yellow"/>
        </w:rPr>
      </w:pPr>
    </w:p>
    <w:p w:rsidR="00F749A3" w:rsidRPr="0085735F" w:rsidRDefault="00F749A3" w:rsidP="00987D49">
      <w:pPr>
        <w:pStyle w:val="AppendixHeading"/>
        <w:ind w:left="2246" w:hanging="2246"/>
      </w:pPr>
      <w:r w:rsidRPr="008C3CFB">
        <w:rPr>
          <w:highlight w:val="yellow"/>
        </w:rPr>
        <w:br w:type="column"/>
      </w:r>
      <w:bookmarkStart w:id="194" w:name="_Toc326072174"/>
      <w:r>
        <w:lastRenderedPageBreak/>
        <w:t xml:space="preserve">SDG&amp;E </w:t>
      </w:r>
      <w:r w:rsidR="00987D49">
        <w:t>Large and Medium C&amp;I Ex ante Load Impacts</w:t>
      </w:r>
      <w:bookmarkEnd w:id="194"/>
      <w:r w:rsidR="00987D49">
        <w:t xml:space="preserve"> </w:t>
      </w:r>
    </w:p>
    <w:p w:rsidR="00F749A3" w:rsidRDefault="00582812" w:rsidP="00F749A3">
      <w:pPr>
        <w:pStyle w:val="TableFigureCaption"/>
      </w:pPr>
      <w:r>
        <w:t>Table J</w:t>
      </w:r>
      <w:r w:rsidR="00F749A3" w:rsidRPr="00C95498">
        <w:t>-1</w:t>
      </w:r>
      <w:r w:rsidR="00F749A3">
        <w:t>:</w:t>
      </w:r>
      <w:r w:rsidR="00F749A3" w:rsidRPr="00C95498">
        <w:br/>
      </w:r>
      <w:r w:rsidR="00F749A3">
        <w:t>1-in-2 Year Weather Conditions Program Specific SDG&amp;E CPP Load Impacts</w:t>
      </w:r>
    </w:p>
    <w:tbl>
      <w:tblPr>
        <w:tblW w:w="5000" w:type="pct"/>
        <w:jc w:val="center"/>
        <w:tblLook w:val="04A0"/>
      </w:tblPr>
      <w:tblGrid>
        <w:gridCol w:w="738"/>
        <w:gridCol w:w="715"/>
        <w:gridCol w:w="736"/>
        <w:gridCol w:w="735"/>
        <w:gridCol w:w="716"/>
        <w:gridCol w:w="802"/>
        <w:gridCol w:w="737"/>
        <w:gridCol w:w="609"/>
        <w:gridCol w:w="801"/>
        <w:gridCol w:w="758"/>
        <w:gridCol w:w="695"/>
        <w:gridCol w:w="779"/>
        <w:gridCol w:w="755"/>
      </w:tblGrid>
      <w:tr w:rsidR="00F749A3" w:rsidRPr="005B1A7A"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Month and Resource Adequacy Window</w:t>
            </w:r>
          </w:p>
        </w:tc>
      </w:tr>
      <w:tr w:rsidR="00F749A3" w:rsidRPr="005B1A7A"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 </w:t>
            </w:r>
          </w:p>
        </w:tc>
        <w:tc>
          <w:tcPr>
            <w:tcW w:w="37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Jan</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Feb</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Mar</w:t>
            </w:r>
          </w:p>
        </w:tc>
        <w:tc>
          <w:tcPr>
            <w:tcW w:w="37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Apr</w:t>
            </w:r>
          </w:p>
        </w:tc>
        <w:tc>
          <w:tcPr>
            <w:tcW w:w="419"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May</w:t>
            </w:r>
          </w:p>
        </w:tc>
        <w:tc>
          <w:tcPr>
            <w:tcW w:w="385"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Jun</w:t>
            </w:r>
          </w:p>
        </w:tc>
        <w:tc>
          <w:tcPr>
            <w:tcW w:w="3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Jul</w:t>
            </w:r>
          </w:p>
        </w:tc>
        <w:tc>
          <w:tcPr>
            <w:tcW w:w="4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Aug</w:t>
            </w:r>
          </w:p>
        </w:tc>
        <w:tc>
          <w:tcPr>
            <w:tcW w:w="396"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Sep</w:t>
            </w:r>
          </w:p>
        </w:tc>
        <w:tc>
          <w:tcPr>
            <w:tcW w:w="36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Oct</w:t>
            </w:r>
          </w:p>
        </w:tc>
        <w:tc>
          <w:tcPr>
            <w:tcW w:w="407"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Nov</w:t>
            </w:r>
          </w:p>
        </w:tc>
        <w:tc>
          <w:tcPr>
            <w:tcW w:w="394" w:type="pct"/>
            <w:tcBorders>
              <w:top w:val="nil"/>
              <w:left w:val="nil"/>
              <w:bottom w:val="nil"/>
              <w:right w:val="single" w:sz="4" w:space="0" w:color="auto"/>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Dec</w:t>
            </w:r>
          </w:p>
        </w:tc>
      </w:tr>
      <w:tr w:rsidR="00F749A3" w:rsidRPr="005B1A7A"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5B1A7A"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xml:space="preserve">1 </w:t>
            </w:r>
            <w:r w:rsidR="00A361E6">
              <w:rPr>
                <w:rFonts w:ascii="Arial" w:eastAsia="Times New Roman" w:hAnsi="Arial" w:cs="Arial"/>
                <w:b/>
                <w:bCs/>
                <w:color w:val="FFFFFF"/>
                <w:sz w:val="20"/>
                <w:szCs w:val="20"/>
              </w:rPr>
              <w:t xml:space="preserve">PM </w:t>
            </w:r>
            <w:r w:rsidRPr="005B1A7A">
              <w:rPr>
                <w:rFonts w:ascii="Arial" w:eastAsia="Times New Roman" w:hAnsi="Arial" w:cs="Arial"/>
                <w:b/>
                <w:bCs/>
                <w:color w:val="FFFFFF"/>
                <w:sz w:val="20"/>
                <w:szCs w:val="20"/>
              </w:rPr>
              <w:t>- 6 PM</w:t>
            </w:r>
          </w:p>
        </w:tc>
      </w:tr>
      <w:tr w:rsidR="00F749A3" w:rsidRPr="005B1A7A"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2012</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10</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12</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21</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2013</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11</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11</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22</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2014</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57</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2015</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29</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46</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2016</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27</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44</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2017</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45</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2018</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45</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2019</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38</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46</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2020</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38</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29</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46</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2021</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29</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47</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2022</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26</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29</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48</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bl>
    <w:p w:rsidR="00F749A3" w:rsidRDefault="00F749A3" w:rsidP="00F749A3"/>
    <w:p w:rsidR="00F749A3" w:rsidRPr="00C95498" w:rsidRDefault="00582812" w:rsidP="00F749A3">
      <w:pPr>
        <w:pStyle w:val="TableFigureCaption"/>
      </w:pPr>
      <w:r>
        <w:t>Table J</w:t>
      </w:r>
      <w:r w:rsidR="00F749A3">
        <w:t>-2:</w:t>
      </w:r>
      <w:r w:rsidR="00F749A3" w:rsidRPr="00C95498">
        <w:br/>
      </w:r>
      <w:r w:rsidR="00F749A3">
        <w:t>1-in-10 Year Weather Conditions Program Specific SDG&amp;E CPP Load Impacts</w:t>
      </w:r>
    </w:p>
    <w:tbl>
      <w:tblPr>
        <w:tblW w:w="5000" w:type="pct"/>
        <w:jc w:val="center"/>
        <w:tblLook w:val="04A0"/>
      </w:tblPr>
      <w:tblGrid>
        <w:gridCol w:w="738"/>
        <w:gridCol w:w="715"/>
        <w:gridCol w:w="736"/>
        <w:gridCol w:w="735"/>
        <w:gridCol w:w="716"/>
        <w:gridCol w:w="802"/>
        <w:gridCol w:w="737"/>
        <w:gridCol w:w="609"/>
        <w:gridCol w:w="801"/>
        <w:gridCol w:w="758"/>
        <w:gridCol w:w="695"/>
        <w:gridCol w:w="779"/>
        <w:gridCol w:w="755"/>
      </w:tblGrid>
      <w:tr w:rsidR="00F749A3" w:rsidRPr="005B1A7A"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Month and Resource Adequacy Window</w:t>
            </w:r>
          </w:p>
        </w:tc>
      </w:tr>
      <w:tr w:rsidR="00F749A3" w:rsidRPr="005B1A7A"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 </w:t>
            </w:r>
          </w:p>
        </w:tc>
        <w:tc>
          <w:tcPr>
            <w:tcW w:w="37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Jan</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Feb</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Mar</w:t>
            </w:r>
          </w:p>
        </w:tc>
        <w:tc>
          <w:tcPr>
            <w:tcW w:w="37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Apr</w:t>
            </w:r>
          </w:p>
        </w:tc>
        <w:tc>
          <w:tcPr>
            <w:tcW w:w="419"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May</w:t>
            </w:r>
          </w:p>
        </w:tc>
        <w:tc>
          <w:tcPr>
            <w:tcW w:w="385"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Jun</w:t>
            </w:r>
          </w:p>
        </w:tc>
        <w:tc>
          <w:tcPr>
            <w:tcW w:w="3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Jul</w:t>
            </w:r>
          </w:p>
        </w:tc>
        <w:tc>
          <w:tcPr>
            <w:tcW w:w="4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Aug</w:t>
            </w:r>
          </w:p>
        </w:tc>
        <w:tc>
          <w:tcPr>
            <w:tcW w:w="396"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Sep</w:t>
            </w:r>
          </w:p>
        </w:tc>
        <w:tc>
          <w:tcPr>
            <w:tcW w:w="36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Oct</w:t>
            </w:r>
          </w:p>
        </w:tc>
        <w:tc>
          <w:tcPr>
            <w:tcW w:w="407"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Nov</w:t>
            </w:r>
          </w:p>
        </w:tc>
        <w:tc>
          <w:tcPr>
            <w:tcW w:w="396" w:type="pct"/>
            <w:tcBorders>
              <w:top w:val="nil"/>
              <w:left w:val="nil"/>
              <w:bottom w:val="nil"/>
              <w:right w:val="single" w:sz="4" w:space="0" w:color="auto"/>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Dec</w:t>
            </w:r>
          </w:p>
        </w:tc>
      </w:tr>
      <w:tr w:rsidR="00F749A3" w:rsidRPr="005B1A7A"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5B1A7A"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xml:space="preserve">1 </w:t>
            </w:r>
            <w:r w:rsidR="00A361E6">
              <w:rPr>
                <w:rFonts w:ascii="Arial" w:eastAsia="Times New Roman" w:hAnsi="Arial" w:cs="Arial"/>
                <w:b/>
                <w:bCs/>
                <w:color w:val="FFFFFF"/>
                <w:sz w:val="20"/>
                <w:szCs w:val="20"/>
              </w:rPr>
              <w:t xml:space="preserve">PM </w:t>
            </w:r>
            <w:r w:rsidRPr="005B1A7A">
              <w:rPr>
                <w:rFonts w:ascii="Arial" w:eastAsia="Times New Roman" w:hAnsi="Arial" w:cs="Arial"/>
                <w:b/>
                <w:bCs/>
                <w:color w:val="FFFFFF"/>
                <w:sz w:val="20"/>
                <w:szCs w:val="20"/>
              </w:rPr>
              <w:t>- 6 PM</w:t>
            </w:r>
          </w:p>
        </w:tc>
      </w:tr>
      <w:tr w:rsidR="00F749A3" w:rsidRPr="005B1A7A"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2012</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18</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2013</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19</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2014</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53</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61</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2015</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51</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2016</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31</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40</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49</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2017</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41</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49</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2018</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41</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50</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2019</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50</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2020</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51</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2021</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43</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52</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2022</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36</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43</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52</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bl>
    <w:p w:rsidR="00F749A3" w:rsidRDefault="00F749A3" w:rsidP="00F749A3"/>
    <w:p w:rsidR="00F749A3" w:rsidRDefault="00F749A3" w:rsidP="00F749A3"/>
    <w:p w:rsidR="00F749A3" w:rsidRDefault="00582812" w:rsidP="00F749A3">
      <w:pPr>
        <w:pStyle w:val="TableFigureCaption"/>
      </w:pPr>
      <w:r>
        <w:t>Table J</w:t>
      </w:r>
      <w:r w:rsidR="00F749A3">
        <w:t>-3:</w:t>
      </w:r>
      <w:r w:rsidR="00F749A3" w:rsidRPr="00C95498">
        <w:br/>
      </w:r>
      <w:r w:rsidR="00F749A3">
        <w:t>1-in-2 Year Weather Conditions Portfolio SDG&amp;E CPP Load Impacts</w:t>
      </w:r>
    </w:p>
    <w:tbl>
      <w:tblPr>
        <w:tblW w:w="5000" w:type="pct"/>
        <w:jc w:val="center"/>
        <w:tblLook w:val="04A0"/>
      </w:tblPr>
      <w:tblGrid>
        <w:gridCol w:w="738"/>
        <w:gridCol w:w="715"/>
        <w:gridCol w:w="736"/>
        <w:gridCol w:w="735"/>
        <w:gridCol w:w="716"/>
        <w:gridCol w:w="802"/>
        <w:gridCol w:w="737"/>
        <w:gridCol w:w="609"/>
        <w:gridCol w:w="801"/>
        <w:gridCol w:w="758"/>
        <w:gridCol w:w="695"/>
        <w:gridCol w:w="779"/>
        <w:gridCol w:w="755"/>
      </w:tblGrid>
      <w:tr w:rsidR="00F749A3" w:rsidRPr="005B1A7A"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Month and Resource Adequacy Window</w:t>
            </w:r>
          </w:p>
        </w:tc>
      </w:tr>
      <w:tr w:rsidR="00F749A3" w:rsidRPr="005B1A7A"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lastRenderedPageBreak/>
              <w:t> </w:t>
            </w:r>
          </w:p>
        </w:tc>
        <w:tc>
          <w:tcPr>
            <w:tcW w:w="37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Jan</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Feb</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Mar</w:t>
            </w:r>
          </w:p>
        </w:tc>
        <w:tc>
          <w:tcPr>
            <w:tcW w:w="37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Apr</w:t>
            </w:r>
          </w:p>
        </w:tc>
        <w:tc>
          <w:tcPr>
            <w:tcW w:w="419"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May</w:t>
            </w:r>
          </w:p>
        </w:tc>
        <w:tc>
          <w:tcPr>
            <w:tcW w:w="385"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Jun</w:t>
            </w:r>
          </w:p>
        </w:tc>
        <w:tc>
          <w:tcPr>
            <w:tcW w:w="3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Jul</w:t>
            </w:r>
          </w:p>
        </w:tc>
        <w:tc>
          <w:tcPr>
            <w:tcW w:w="4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Aug</w:t>
            </w:r>
          </w:p>
        </w:tc>
        <w:tc>
          <w:tcPr>
            <w:tcW w:w="396"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Sep</w:t>
            </w:r>
          </w:p>
        </w:tc>
        <w:tc>
          <w:tcPr>
            <w:tcW w:w="36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Oct</w:t>
            </w:r>
          </w:p>
        </w:tc>
        <w:tc>
          <w:tcPr>
            <w:tcW w:w="407"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Nov</w:t>
            </w:r>
          </w:p>
        </w:tc>
        <w:tc>
          <w:tcPr>
            <w:tcW w:w="396" w:type="pct"/>
            <w:tcBorders>
              <w:top w:val="nil"/>
              <w:left w:val="nil"/>
              <w:bottom w:val="nil"/>
              <w:right w:val="single" w:sz="4" w:space="0" w:color="auto"/>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Dec</w:t>
            </w:r>
          </w:p>
        </w:tc>
      </w:tr>
      <w:tr w:rsidR="00F749A3" w:rsidRPr="005B1A7A"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5B1A7A"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1</w:t>
            </w:r>
            <w:r w:rsidR="00A361E6">
              <w:rPr>
                <w:rFonts w:ascii="Arial" w:eastAsia="Times New Roman" w:hAnsi="Arial" w:cs="Arial"/>
                <w:b/>
                <w:bCs/>
                <w:color w:val="FFFFFF"/>
                <w:sz w:val="20"/>
                <w:szCs w:val="20"/>
              </w:rPr>
              <w:t xml:space="preserve"> PM</w:t>
            </w:r>
            <w:r w:rsidRPr="005B1A7A">
              <w:rPr>
                <w:rFonts w:ascii="Arial" w:eastAsia="Times New Roman" w:hAnsi="Arial" w:cs="Arial"/>
                <w:b/>
                <w:bCs/>
                <w:color w:val="FFFFFF"/>
                <w:sz w:val="20"/>
                <w:szCs w:val="20"/>
              </w:rPr>
              <w:t xml:space="preserve"> - 6 PM</w:t>
            </w:r>
          </w:p>
        </w:tc>
      </w:tr>
      <w:tr w:rsidR="00F749A3" w:rsidRPr="005B1A7A"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2012</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10</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11</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21</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2013</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10</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10</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21</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2014</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31</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57</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2015</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46</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2016</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23</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36</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27</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44</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2017</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27</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44</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2018</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27</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45</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2019</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37</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45</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2020</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38</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46</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2021</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38</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46</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2022</w:t>
            </w:r>
          </w:p>
        </w:tc>
        <w:tc>
          <w:tcPr>
            <w:tcW w:w="37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25</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39</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29</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47</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r>
    </w:tbl>
    <w:p w:rsidR="00F749A3" w:rsidRDefault="00F749A3" w:rsidP="00F749A3"/>
    <w:p w:rsidR="00F749A3" w:rsidRDefault="00582812" w:rsidP="00F749A3">
      <w:pPr>
        <w:pStyle w:val="TableFigureCaption"/>
      </w:pPr>
      <w:r>
        <w:t>Table J</w:t>
      </w:r>
      <w:r w:rsidR="00F749A3">
        <w:t>-4:</w:t>
      </w:r>
      <w:r w:rsidR="00F749A3" w:rsidRPr="00C95498">
        <w:br/>
      </w:r>
      <w:r w:rsidR="00F749A3">
        <w:t>1-in-10 Year Weather Conditions Portfolio SDG&amp;E CPP Load Impacts</w:t>
      </w:r>
    </w:p>
    <w:tbl>
      <w:tblPr>
        <w:tblW w:w="5000" w:type="pct"/>
        <w:jc w:val="center"/>
        <w:tblLook w:val="04A0"/>
      </w:tblPr>
      <w:tblGrid>
        <w:gridCol w:w="738"/>
        <w:gridCol w:w="715"/>
        <w:gridCol w:w="736"/>
        <w:gridCol w:w="735"/>
        <w:gridCol w:w="716"/>
        <w:gridCol w:w="802"/>
        <w:gridCol w:w="737"/>
        <w:gridCol w:w="609"/>
        <w:gridCol w:w="801"/>
        <w:gridCol w:w="758"/>
        <w:gridCol w:w="695"/>
        <w:gridCol w:w="779"/>
        <w:gridCol w:w="755"/>
      </w:tblGrid>
      <w:tr w:rsidR="00F749A3" w:rsidRPr="005B1A7A" w:rsidTr="00F749A3">
        <w:trPr>
          <w:trHeight w:val="315"/>
          <w:jc w:val="center"/>
        </w:trPr>
        <w:tc>
          <w:tcPr>
            <w:tcW w:w="385" w:type="pct"/>
            <w:tcBorders>
              <w:top w:val="single" w:sz="4" w:space="0" w:color="auto"/>
              <w:left w:val="single" w:sz="4" w:space="0" w:color="auto"/>
              <w:bottom w:val="single" w:sz="8" w:space="0" w:color="FFFFFF"/>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w:t>
            </w:r>
          </w:p>
        </w:tc>
        <w:tc>
          <w:tcPr>
            <w:tcW w:w="4615" w:type="pct"/>
            <w:gridSpan w:val="12"/>
            <w:tcBorders>
              <w:top w:val="single" w:sz="4" w:space="0" w:color="auto"/>
              <w:left w:val="nil"/>
              <w:bottom w:val="single" w:sz="8" w:space="0" w:color="FFFFFF"/>
              <w:right w:val="single" w:sz="4" w:space="0" w:color="000000"/>
            </w:tcBorders>
            <w:shd w:val="clear" w:color="000000" w:fill="1F497D"/>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Month and Resource Adequacy Window</w:t>
            </w:r>
          </w:p>
        </w:tc>
      </w:tr>
      <w:tr w:rsidR="00F749A3" w:rsidRPr="005B1A7A" w:rsidTr="00F749A3">
        <w:trPr>
          <w:trHeight w:val="315"/>
          <w:jc w:val="center"/>
        </w:trPr>
        <w:tc>
          <w:tcPr>
            <w:tcW w:w="385" w:type="pct"/>
            <w:vMerge w:val="restart"/>
            <w:tcBorders>
              <w:top w:val="nil"/>
              <w:left w:val="single" w:sz="4" w:space="0" w:color="auto"/>
              <w:bottom w:val="nil"/>
              <w:right w:val="single" w:sz="8" w:space="0" w:color="FFFFFF"/>
            </w:tcBorders>
            <w:shd w:val="clear" w:color="000000" w:fill="1F497D"/>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 </w:t>
            </w:r>
          </w:p>
        </w:tc>
        <w:tc>
          <w:tcPr>
            <w:tcW w:w="37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Jan</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Feb</w:t>
            </w:r>
          </w:p>
        </w:tc>
        <w:tc>
          <w:tcPr>
            <w:tcW w:w="38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Mar</w:t>
            </w:r>
          </w:p>
        </w:tc>
        <w:tc>
          <w:tcPr>
            <w:tcW w:w="374"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Apr</w:t>
            </w:r>
          </w:p>
        </w:tc>
        <w:tc>
          <w:tcPr>
            <w:tcW w:w="419"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May</w:t>
            </w:r>
          </w:p>
        </w:tc>
        <w:tc>
          <w:tcPr>
            <w:tcW w:w="385"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Jun</w:t>
            </w:r>
          </w:p>
        </w:tc>
        <w:tc>
          <w:tcPr>
            <w:tcW w:w="3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Jul</w:t>
            </w:r>
          </w:p>
        </w:tc>
        <w:tc>
          <w:tcPr>
            <w:tcW w:w="418"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Aug</w:t>
            </w:r>
          </w:p>
        </w:tc>
        <w:tc>
          <w:tcPr>
            <w:tcW w:w="396"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Sep</w:t>
            </w:r>
          </w:p>
        </w:tc>
        <w:tc>
          <w:tcPr>
            <w:tcW w:w="363"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Oct</w:t>
            </w:r>
          </w:p>
        </w:tc>
        <w:tc>
          <w:tcPr>
            <w:tcW w:w="407" w:type="pct"/>
            <w:tcBorders>
              <w:top w:val="nil"/>
              <w:left w:val="nil"/>
              <w:bottom w:val="nil"/>
              <w:right w:val="single" w:sz="8" w:space="0" w:color="FFFFFF"/>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Nov</w:t>
            </w:r>
          </w:p>
        </w:tc>
        <w:tc>
          <w:tcPr>
            <w:tcW w:w="396" w:type="pct"/>
            <w:tcBorders>
              <w:top w:val="nil"/>
              <w:left w:val="nil"/>
              <w:bottom w:val="nil"/>
              <w:right w:val="single" w:sz="4" w:space="0" w:color="auto"/>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Dec</w:t>
            </w:r>
          </w:p>
        </w:tc>
      </w:tr>
      <w:tr w:rsidR="00F749A3" w:rsidRPr="005B1A7A" w:rsidTr="00F749A3">
        <w:trPr>
          <w:trHeight w:val="300"/>
          <w:jc w:val="center"/>
        </w:trPr>
        <w:tc>
          <w:tcPr>
            <w:tcW w:w="385" w:type="pct"/>
            <w:vMerge/>
            <w:tcBorders>
              <w:top w:val="nil"/>
              <w:left w:val="single" w:sz="4" w:space="0" w:color="auto"/>
              <w:bottom w:val="nil"/>
              <w:right w:val="single" w:sz="8" w:space="0" w:color="FFFFFF"/>
            </w:tcBorders>
            <w:vAlign w:val="center"/>
            <w:hideMark/>
          </w:tcPr>
          <w:p w:rsidR="00F749A3" w:rsidRPr="005B1A7A" w:rsidRDefault="00F749A3" w:rsidP="00F749A3">
            <w:pPr>
              <w:spacing w:after="0" w:line="240" w:lineRule="auto"/>
              <w:rPr>
                <w:rFonts w:ascii="Calibri" w:eastAsia="Times New Roman" w:hAnsi="Calibri" w:cs="Calibri"/>
                <w:color w:val="000000"/>
                <w:sz w:val="20"/>
                <w:szCs w:val="20"/>
              </w:rPr>
            </w:pPr>
          </w:p>
        </w:tc>
        <w:tc>
          <w:tcPr>
            <w:tcW w:w="4615" w:type="pct"/>
            <w:gridSpan w:val="12"/>
            <w:tcBorders>
              <w:top w:val="single" w:sz="8" w:space="0" w:color="FFFFFF"/>
              <w:left w:val="nil"/>
              <w:bottom w:val="nil"/>
              <w:right w:val="single" w:sz="4" w:space="0" w:color="000000"/>
            </w:tcBorders>
            <w:shd w:val="clear" w:color="000000" w:fill="1F497D"/>
            <w:noWrap/>
            <w:vAlign w:val="bottom"/>
            <w:hideMark/>
          </w:tcPr>
          <w:p w:rsidR="00F749A3" w:rsidRPr="005B1A7A" w:rsidRDefault="00F749A3" w:rsidP="00F749A3">
            <w:pPr>
              <w:spacing w:after="0" w:line="240" w:lineRule="auto"/>
              <w:jc w:val="center"/>
              <w:rPr>
                <w:rFonts w:ascii="Arial" w:eastAsia="Times New Roman" w:hAnsi="Arial" w:cs="Arial"/>
                <w:b/>
                <w:bCs/>
                <w:color w:val="FFFFFF"/>
                <w:sz w:val="20"/>
                <w:szCs w:val="20"/>
              </w:rPr>
            </w:pPr>
            <w:r w:rsidRPr="005B1A7A">
              <w:rPr>
                <w:rFonts w:ascii="Arial" w:eastAsia="Times New Roman" w:hAnsi="Arial" w:cs="Arial"/>
                <w:b/>
                <w:bCs/>
                <w:color w:val="FFFFFF"/>
                <w:sz w:val="20"/>
                <w:szCs w:val="20"/>
              </w:rPr>
              <w:t xml:space="preserve">1 </w:t>
            </w:r>
            <w:r w:rsidR="00A361E6">
              <w:rPr>
                <w:rFonts w:ascii="Arial" w:eastAsia="Times New Roman" w:hAnsi="Arial" w:cs="Arial"/>
                <w:b/>
                <w:bCs/>
                <w:color w:val="FFFFFF"/>
                <w:sz w:val="20"/>
                <w:szCs w:val="20"/>
              </w:rPr>
              <w:t xml:space="preserve">PM </w:t>
            </w:r>
            <w:r w:rsidRPr="005B1A7A">
              <w:rPr>
                <w:rFonts w:ascii="Arial" w:eastAsia="Times New Roman" w:hAnsi="Arial" w:cs="Arial"/>
                <w:b/>
                <w:bCs/>
                <w:color w:val="FFFFFF"/>
                <w:sz w:val="20"/>
                <w:szCs w:val="20"/>
              </w:rPr>
              <w:t>- 6 PM</w:t>
            </w:r>
          </w:p>
        </w:tc>
      </w:tr>
      <w:tr w:rsidR="00F749A3" w:rsidRPr="005B1A7A" w:rsidTr="00F749A3">
        <w:trPr>
          <w:trHeight w:val="300"/>
          <w:jc w:val="center"/>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2012</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17</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26</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2013</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13</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18</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28</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2014</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41</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60</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2015</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50</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2016</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31</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31</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40</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48</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2017</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31</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40</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48</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2018</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41</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49</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2019</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41</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50</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2020</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32</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50</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2021</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42</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51</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r w:rsidR="00F749A3" w:rsidRPr="005B1A7A" w:rsidTr="00F749A3">
        <w:trPr>
          <w:trHeight w:val="300"/>
          <w:jc w:val="center"/>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2022</w:t>
            </w:r>
          </w:p>
        </w:tc>
        <w:tc>
          <w:tcPr>
            <w:tcW w:w="373"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8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74"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419"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35</w:t>
            </w:r>
          </w:p>
        </w:tc>
        <w:tc>
          <w:tcPr>
            <w:tcW w:w="385"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33</w:t>
            </w:r>
          </w:p>
        </w:tc>
        <w:tc>
          <w:tcPr>
            <w:tcW w:w="3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34</w:t>
            </w:r>
          </w:p>
        </w:tc>
        <w:tc>
          <w:tcPr>
            <w:tcW w:w="418"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43</w:t>
            </w:r>
          </w:p>
        </w:tc>
        <w:tc>
          <w:tcPr>
            <w:tcW w:w="396"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52</w:t>
            </w:r>
          </w:p>
        </w:tc>
        <w:tc>
          <w:tcPr>
            <w:tcW w:w="363" w:type="pct"/>
            <w:tcBorders>
              <w:top w:val="nil"/>
              <w:left w:val="nil"/>
              <w:bottom w:val="single" w:sz="4" w:space="0" w:color="auto"/>
              <w:right w:val="single" w:sz="4" w:space="0" w:color="auto"/>
            </w:tcBorders>
            <w:shd w:val="clear" w:color="auto" w:fill="auto"/>
            <w:noWrap/>
            <w:vAlign w:val="center"/>
            <w:hideMark/>
          </w:tcPr>
          <w:p w:rsidR="00F749A3" w:rsidRPr="005B1A7A" w:rsidRDefault="00F749A3" w:rsidP="00F749A3">
            <w:pPr>
              <w:spacing w:after="0" w:line="240" w:lineRule="auto"/>
              <w:jc w:val="center"/>
              <w:rPr>
                <w:rFonts w:ascii="Calibri" w:eastAsia="Times New Roman" w:hAnsi="Calibri" w:cs="Calibri"/>
                <w:color w:val="000000"/>
                <w:sz w:val="20"/>
                <w:szCs w:val="20"/>
              </w:rPr>
            </w:pPr>
            <w:r w:rsidRPr="005B1A7A">
              <w:rPr>
                <w:rFonts w:ascii="Calibri" w:eastAsia="Times New Roman" w:hAnsi="Calibri" w:cs="Calibri"/>
                <w:color w:val="000000"/>
                <w:sz w:val="20"/>
                <w:szCs w:val="20"/>
              </w:rPr>
              <w:t>-</w:t>
            </w:r>
          </w:p>
        </w:tc>
        <w:tc>
          <w:tcPr>
            <w:tcW w:w="407"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c>
          <w:tcPr>
            <w:tcW w:w="396" w:type="pct"/>
            <w:tcBorders>
              <w:top w:val="nil"/>
              <w:left w:val="nil"/>
              <w:bottom w:val="single" w:sz="4" w:space="0" w:color="auto"/>
              <w:right w:val="single" w:sz="4" w:space="0" w:color="auto"/>
            </w:tcBorders>
            <w:shd w:val="clear" w:color="auto" w:fill="auto"/>
            <w:noWrap/>
            <w:vAlign w:val="bottom"/>
            <w:hideMark/>
          </w:tcPr>
          <w:p w:rsidR="00F749A3" w:rsidRPr="005B1A7A" w:rsidRDefault="00F749A3" w:rsidP="00F749A3">
            <w:pPr>
              <w:spacing w:after="0" w:line="240" w:lineRule="auto"/>
              <w:jc w:val="center"/>
              <w:rPr>
                <w:rFonts w:ascii="Arial" w:eastAsia="Times New Roman" w:hAnsi="Arial" w:cs="Arial"/>
                <w:color w:val="000000"/>
                <w:sz w:val="18"/>
                <w:szCs w:val="18"/>
              </w:rPr>
            </w:pPr>
            <w:r w:rsidRPr="005B1A7A">
              <w:rPr>
                <w:rFonts w:ascii="Arial" w:eastAsia="Times New Roman" w:hAnsi="Arial" w:cs="Arial"/>
                <w:color w:val="000000"/>
                <w:sz w:val="18"/>
                <w:szCs w:val="18"/>
              </w:rPr>
              <w:t>-</w:t>
            </w:r>
          </w:p>
        </w:tc>
      </w:tr>
    </w:tbl>
    <w:p w:rsidR="00F749A3" w:rsidRPr="00E4215F" w:rsidRDefault="00F749A3" w:rsidP="00F749A3">
      <w:pPr>
        <w:pStyle w:val="AppendixHeading"/>
        <w:ind w:left="2246" w:hanging="2246"/>
        <w:sectPr w:rsidR="00F749A3" w:rsidRPr="00E4215F" w:rsidSect="004433C4">
          <w:headerReference w:type="default" r:id="rId59"/>
          <w:pgSz w:w="12240" w:h="15840"/>
          <w:pgMar w:top="1440" w:right="1440" w:bottom="1440" w:left="1440" w:header="720" w:footer="720" w:gutter="0"/>
          <w:cols w:space="720"/>
          <w:docGrid w:linePitch="360"/>
        </w:sectPr>
      </w:pPr>
    </w:p>
    <w:p w:rsidR="00F749A3" w:rsidRDefault="00F749A3" w:rsidP="00F749A3">
      <w:pPr>
        <w:pStyle w:val="AppendixHeading"/>
      </w:pPr>
      <w:bookmarkStart w:id="195" w:name="_Toc326072175"/>
      <w:r>
        <w:lastRenderedPageBreak/>
        <w:t>PG&amp;E Program Specific Ex Ante Impacts for Annual Peak Days</w:t>
      </w:r>
      <w:bookmarkEnd w:id="195"/>
    </w:p>
    <w:p w:rsidR="00F749A3" w:rsidRDefault="00F749A3" w:rsidP="00F749A3">
      <w:pPr>
        <w:pStyle w:val="TableFigureCaption"/>
      </w:pPr>
      <w:r>
        <w:t>Table K-1</w:t>
      </w:r>
      <w:proofErr w:type="gramStart"/>
      <w:r>
        <w:t>:</w:t>
      </w:r>
      <w:proofErr w:type="gramEnd"/>
      <w:r>
        <w:br/>
        <w:t xml:space="preserve">Program Annual Peak Day Load Impacts for Large PG&amp;E CPP Customers </w:t>
      </w:r>
      <w:r>
        <w:br/>
        <w:t>(Hourly Average Reduction in MW Over Event Day Period - 1 PM to 6 PM)</w:t>
      </w:r>
    </w:p>
    <w:tbl>
      <w:tblPr>
        <w:tblW w:w="5000" w:type="pct"/>
        <w:jc w:val="center"/>
        <w:tblLook w:val="04A0"/>
      </w:tblPr>
      <w:tblGrid>
        <w:gridCol w:w="1096"/>
        <w:gridCol w:w="1050"/>
        <w:gridCol w:w="1335"/>
        <w:gridCol w:w="1291"/>
        <w:gridCol w:w="1291"/>
        <w:gridCol w:w="1094"/>
        <w:gridCol w:w="1230"/>
        <w:gridCol w:w="1189"/>
      </w:tblGrid>
      <w:tr w:rsidR="00A361E6" w:rsidRPr="00A361E6" w:rsidTr="00A361E6">
        <w:trPr>
          <w:trHeight w:val="900"/>
          <w:jc w:val="center"/>
        </w:trPr>
        <w:tc>
          <w:tcPr>
            <w:tcW w:w="573"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Weather Year</w:t>
            </w:r>
          </w:p>
        </w:tc>
        <w:tc>
          <w:tcPr>
            <w:tcW w:w="54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Year</w:t>
            </w:r>
          </w:p>
        </w:tc>
        <w:tc>
          <w:tcPr>
            <w:tcW w:w="697"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Enrolled Accts (Forecast)</w:t>
            </w:r>
          </w:p>
        </w:tc>
        <w:tc>
          <w:tcPr>
            <w:tcW w:w="674"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Avg. Reference Load</w:t>
            </w:r>
          </w:p>
        </w:tc>
        <w:tc>
          <w:tcPr>
            <w:tcW w:w="674"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Avg. Estimated Load w DR</w:t>
            </w:r>
          </w:p>
        </w:tc>
        <w:tc>
          <w:tcPr>
            <w:tcW w:w="571"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Avg. Load impact</w:t>
            </w:r>
          </w:p>
        </w:tc>
        <w:tc>
          <w:tcPr>
            <w:tcW w:w="642"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 Load Reduction</w:t>
            </w:r>
          </w:p>
        </w:tc>
        <w:tc>
          <w:tcPr>
            <w:tcW w:w="622" w:type="pct"/>
            <w:tcBorders>
              <w:top w:val="single" w:sz="4" w:space="0" w:color="auto"/>
              <w:left w:val="nil"/>
              <w:bottom w:val="single" w:sz="4" w:space="0" w:color="FFFFFF"/>
              <w:right w:val="single" w:sz="4" w:space="0" w:color="auto"/>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Weighted Temp</w:t>
            </w:r>
          </w:p>
        </w:tc>
      </w:tr>
      <w:tr w:rsidR="00A361E6" w:rsidRPr="00A361E6" w:rsidTr="00A361E6">
        <w:trPr>
          <w:trHeight w:val="450"/>
          <w:jc w:val="center"/>
        </w:trPr>
        <w:tc>
          <w:tcPr>
            <w:tcW w:w="573" w:type="pct"/>
            <w:vMerge/>
            <w:tcBorders>
              <w:top w:val="single" w:sz="4" w:space="0" w:color="auto"/>
              <w:left w:val="single" w:sz="4" w:space="0" w:color="auto"/>
              <w:bottom w:val="single" w:sz="4" w:space="0" w:color="000000"/>
              <w:right w:val="single" w:sz="4" w:space="0" w:color="FFFFFF"/>
            </w:tcBorders>
            <w:vAlign w:val="center"/>
            <w:hideMark/>
          </w:tcPr>
          <w:p w:rsidR="00A361E6" w:rsidRPr="00A361E6" w:rsidRDefault="00A361E6" w:rsidP="00A361E6">
            <w:pPr>
              <w:spacing w:after="0" w:line="240" w:lineRule="auto"/>
              <w:rPr>
                <w:rFonts w:ascii="Calibri" w:eastAsia="Times New Roman" w:hAnsi="Calibri" w:cs="Calibri"/>
                <w:color w:val="FFFFFF"/>
              </w:rPr>
            </w:pPr>
          </w:p>
        </w:tc>
        <w:tc>
          <w:tcPr>
            <w:tcW w:w="548" w:type="pct"/>
            <w:vMerge/>
            <w:tcBorders>
              <w:top w:val="single" w:sz="4" w:space="0" w:color="auto"/>
              <w:left w:val="single" w:sz="4" w:space="0" w:color="FFFFFF"/>
              <w:bottom w:val="single" w:sz="4" w:space="0" w:color="000000"/>
              <w:right w:val="single" w:sz="4" w:space="0" w:color="FFFFFF"/>
            </w:tcBorders>
            <w:vAlign w:val="center"/>
            <w:hideMark/>
          </w:tcPr>
          <w:p w:rsidR="00A361E6" w:rsidRPr="00A361E6" w:rsidRDefault="00A361E6" w:rsidP="00A361E6">
            <w:pPr>
              <w:spacing w:after="0" w:line="240" w:lineRule="auto"/>
              <w:rPr>
                <w:rFonts w:ascii="Calibri" w:eastAsia="Times New Roman" w:hAnsi="Calibri" w:cs="Calibri"/>
                <w:color w:val="FFFFFF"/>
              </w:rPr>
            </w:pPr>
          </w:p>
        </w:tc>
        <w:tc>
          <w:tcPr>
            <w:tcW w:w="697" w:type="pct"/>
            <w:vMerge/>
            <w:tcBorders>
              <w:top w:val="single" w:sz="4" w:space="0" w:color="auto"/>
              <w:left w:val="single" w:sz="4" w:space="0" w:color="FFFFFF"/>
              <w:bottom w:val="single" w:sz="4" w:space="0" w:color="000000"/>
              <w:right w:val="single" w:sz="4" w:space="0" w:color="FFFFFF"/>
            </w:tcBorders>
            <w:vAlign w:val="center"/>
            <w:hideMark/>
          </w:tcPr>
          <w:p w:rsidR="00A361E6" w:rsidRPr="00A361E6" w:rsidRDefault="00A361E6" w:rsidP="00A361E6">
            <w:pPr>
              <w:spacing w:after="0" w:line="240" w:lineRule="auto"/>
              <w:rPr>
                <w:rFonts w:ascii="Calibri" w:eastAsia="Times New Roman" w:hAnsi="Calibri" w:cs="Calibri"/>
                <w:color w:val="FFFFFF"/>
              </w:rPr>
            </w:pPr>
          </w:p>
        </w:tc>
        <w:tc>
          <w:tcPr>
            <w:tcW w:w="674"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(MW  1-6 pm)</w:t>
            </w:r>
          </w:p>
        </w:tc>
        <w:tc>
          <w:tcPr>
            <w:tcW w:w="674"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(MW  1-6 pm)</w:t>
            </w:r>
          </w:p>
        </w:tc>
        <w:tc>
          <w:tcPr>
            <w:tcW w:w="571"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(MW  1-6 pm)</w:t>
            </w:r>
          </w:p>
        </w:tc>
        <w:tc>
          <w:tcPr>
            <w:tcW w:w="642"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(1-6 pm)</w:t>
            </w:r>
          </w:p>
        </w:tc>
        <w:tc>
          <w:tcPr>
            <w:tcW w:w="622" w:type="pct"/>
            <w:tcBorders>
              <w:top w:val="nil"/>
              <w:left w:val="nil"/>
              <w:bottom w:val="single" w:sz="4" w:space="0" w:color="auto"/>
              <w:right w:val="single" w:sz="4" w:space="0" w:color="auto"/>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(°F)</w:t>
            </w:r>
          </w:p>
        </w:tc>
      </w:tr>
      <w:tr w:rsidR="00A361E6" w:rsidRPr="00A361E6" w:rsidTr="00A361E6">
        <w:trPr>
          <w:trHeight w:val="300"/>
          <w:jc w:val="center"/>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1-in-10 August System Peak Day</w:t>
            </w: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1,453</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470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440</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94.9</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2013</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1,727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560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524</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37</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95.0</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2014</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634</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591</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2015</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593</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2016</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1,926</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635</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592</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2017</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1,924</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634</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591</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2018</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633</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590</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2019</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589</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2020</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589</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2021</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631</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588</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94.7</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631</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588</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6.8%</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94.8</w:t>
            </w:r>
          </w:p>
        </w:tc>
      </w:tr>
      <w:tr w:rsidR="00A361E6" w:rsidRPr="00A361E6" w:rsidTr="00A361E6">
        <w:trPr>
          <w:trHeight w:val="300"/>
          <w:jc w:val="center"/>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1-in-2 August System Peak Day</w:t>
            </w: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1,453</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468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438</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94.1</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2013</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1,727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557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522</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35</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94.2</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2014</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589</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2015</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633</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592</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2016</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1,926</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631</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590</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2017</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1,924</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630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589</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2018</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588</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2019</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1,920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2020</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2021</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1,918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586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bl>
    <w:p w:rsidR="00A361E6" w:rsidRPr="00563BA3" w:rsidRDefault="00A361E6" w:rsidP="00A361E6">
      <w:pPr>
        <w:pStyle w:val="BodyParaAfterTableFigure"/>
        <w:spacing w:before="0"/>
      </w:pPr>
      <w:r>
        <w:t>*The forecasts for 2012 and 2013 reflect the historic 2 PM to 6 PM event window</w:t>
      </w:r>
    </w:p>
    <w:p w:rsidR="00F749A3" w:rsidRPr="00345228" w:rsidRDefault="00F749A3" w:rsidP="00F749A3">
      <w:pPr>
        <w:pStyle w:val="BodyParaAfterTableFigure"/>
      </w:pPr>
    </w:p>
    <w:p w:rsidR="00F749A3" w:rsidRDefault="00F749A3" w:rsidP="00F749A3">
      <w:pPr>
        <w:pStyle w:val="TableFigureCaption"/>
      </w:pPr>
      <w:r>
        <w:lastRenderedPageBreak/>
        <w:t>Table K-2</w:t>
      </w:r>
      <w:proofErr w:type="gramStart"/>
      <w:r>
        <w:t>:</w:t>
      </w:r>
      <w:proofErr w:type="gramEnd"/>
      <w:r>
        <w:br/>
        <w:t xml:space="preserve">Program Annual Peak Day Load Impacts for Medium PG&amp;E CPP Customers </w:t>
      </w:r>
      <w:r>
        <w:br/>
        <w:t>(Hourly Average Reduction in MW Over Event Day Period - 1 PM to 6 PM)</w:t>
      </w:r>
    </w:p>
    <w:tbl>
      <w:tblPr>
        <w:tblW w:w="5000" w:type="pct"/>
        <w:jc w:val="center"/>
        <w:tblLook w:val="04A0"/>
      </w:tblPr>
      <w:tblGrid>
        <w:gridCol w:w="1096"/>
        <w:gridCol w:w="1050"/>
        <w:gridCol w:w="1335"/>
        <w:gridCol w:w="1291"/>
        <w:gridCol w:w="1291"/>
        <w:gridCol w:w="1094"/>
        <w:gridCol w:w="1230"/>
        <w:gridCol w:w="1189"/>
      </w:tblGrid>
      <w:tr w:rsidR="00A361E6" w:rsidRPr="00A361E6" w:rsidTr="00A361E6">
        <w:trPr>
          <w:trHeight w:val="1215"/>
          <w:jc w:val="center"/>
        </w:trPr>
        <w:tc>
          <w:tcPr>
            <w:tcW w:w="573"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Weather Year</w:t>
            </w:r>
          </w:p>
        </w:tc>
        <w:tc>
          <w:tcPr>
            <w:tcW w:w="54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Year</w:t>
            </w:r>
          </w:p>
        </w:tc>
        <w:tc>
          <w:tcPr>
            <w:tcW w:w="697"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Enrolled Accts (Forecast)</w:t>
            </w:r>
          </w:p>
        </w:tc>
        <w:tc>
          <w:tcPr>
            <w:tcW w:w="674"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Avg. Reference Load</w:t>
            </w:r>
          </w:p>
        </w:tc>
        <w:tc>
          <w:tcPr>
            <w:tcW w:w="674"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Avg. Estimated Load w DR</w:t>
            </w:r>
          </w:p>
        </w:tc>
        <w:tc>
          <w:tcPr>
            <w:tcW w:w="571"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Avg. Load impact</w:t>
            </w:r>
          </w:p>
        </w:tc>
        <w:tc>
          <w:tcPr>
            <w:tcW w:w="642" w:type="pct"/>
            <w:tcBorders>
              <w:top w:val="single" w:sz="4" w:space="0" w:color="auto"/>
              <w:left w:val="nil"/>
              <w:bottom w:val="single" w:sz="4" w:space="0" w:color="FFFFFF"/>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 Load Reduction</w:t>
            </w:r>
          </w:p>
        </w:tc>
        <w:tc>
          <w:tcPr>
            <w:tcW w:w="622" w:type="pct"/>
            <w:tcBorders>
              <w:top w:val="single" w:sz="4" w:space="0" w:color="auto"/>
              <w:left w:val="nil"/>
              <w:bottom w:val="single" w:sz="4" w:space="0" w:color="FFFFFF"/>
              <w:right w:val="single" w:sz="4" w:space="0" w:color="auto"/>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Weighted Temp</w:t>
            </w:r>
          </w:p>
        </w:tc>
      </w:tr>
      <w:tr w:rsidR="00A361E6" w:rsidRPr="00A361E6" w:rsidTr="00A361E6">
        <w:trPr>
          <w:trHeight w:val="450"/>
          <w:jc w:val="center"/>
        </w:trPr>
        <w:tc>
          <w:tcPr>
            <w:tcW w:w="573" w:type="pct"/>
            <w:vMerge/>
            <w:tcBorders>
              <w:top w:val="single" w:sz="4" w:space="0" w:color="auto"/>
              <w:left w:val="single" w:sz="4" w:space="0" w:color="auto"/>
              <w:bottom w:val="single" w:sz="4" w:space="0" w:color="000000"/>
              <w:right w:val="single" w:sz="4" w:space="0" w:color="FFFFFF"/>
            </w:tcBorders>
            <w:vAlign w:val="center"/>
            <w:hideMark/>
          </w:tcPr>
          <w:p w:rsidR="00A361E6" w:rsidRPr="00A361E6" w:rsidRDefault="00A361E6" w:rsidP="00A361E6">
            <w:pPr>
              <w:spacing w:after="0" w:line="240" w:lineRule="auto"/>
              <w:rPr>
                <w:rFonts w:ascii="Calibri" w:eastAsia="Times New Roman" w:hAnsi="Calibri" w:cs="Calibri"/>
                <w:color w:val="FFFFFF"/>
              </w:rPr>
            </w:pPr>
          </w:p>
        </w:tc>
        <w:tc>
          <w:tcPr>
            <w:tcW w:w="548" w:type="pct"/>
            <w:vMerge/>
            <w:tcBorders>
              <w:top w:val="single" w:sz="4" w:space="0" w:color="auto"/>
              <w:left w:val="single" w:sz="4" w:space="0" w:color="FFFFFF"/>
              <w:bottom w:val="single" w:sz="4" w:space="0" w:color="000000"/>
              <w:right w:val="single" w:sz="4" w:space="0" w:color="FFFFFF"/>
            </w:tcBorders>
            <w:vAlign w:val="center"/>
            <w:hideMark/>
          </w:tcPr>
          <w:p w:rsidR="00A361E6" w:rsidRPr="00A361E6" w:rsidRDefault="00A361E6" w:rsidP="00A361E6">
            <w:pPr>
              <w:spacing w:after="0" w:line="240" w:lineRule="auto"/>
              <w:rPr>
                <w:rFonts w:ascii="Calibri" w:eastAsia="Times New Roman" w:hAnsi="Calibri" w:cs="Calibri"/>
                <w:color w:val="FFFFFF"/>
              </w:rPr>
            </w:pPr>
          </w:p>
        </w:tc>
        <w:tc>
          <w:tcPr>
            <w:tcW w:w="697" w:type="pct"/>
            <w:vMerge/>
            <w:tcBorders>
              <w:top w:val="single" w:sz="4" w:space="0" w:color="auto"/>
              <w:left w:val="single" w:sz="4" w:space="0" w:color="FFFFFF"/>
              <w:bottom w:val="single" w:sz="4" w:space="0" w:color="000000"/>
              <w:right w:val="single" w:sz="4" w:space="0" w:color="FFFFFF"/>
            </w:tcBorders>
            <w:vAlign w:val="center"/>
            <w:hideMark/>
          </w:tcPr>
          <w:p w:rsidR="00A361E6" w:rsidRPr="00A361E6" w:rsidRDefault="00A361E6" w:rsidP="00A361E6">
            <w:pPr>
              <w:spacing w:after="0" w:line="240" w:lineRule="auto"/>
              <w:rPr>
                <w:rFonts w:ascii="Calibri" w:eastAsia="Times New Roman" w:hAnsi="Calibri" w:cs="Calibri"/>
                <w:color w:val="FFFFFF"/>
              </w:rPr>
            </w:pPr>
          </w:p>
        </w:tc>
        <w:tc>
          <w:tcPr>
            <w:tcW w:w="674"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(MW  1-6 pm)</w:t>
            </w:r>
          </w:p>
        </w:tc>
        <w:tc>
          <w:tcPr>
            <w:tcW w:w="674"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(MW  1-6 pm)</w:t>
            </w:r>
          </w:p>
        </w:tc>
        <w:tc>
          <w:tcPr>
            <w:tcW w:w="571"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(MW  1-6 pm)</w:t>
            </w:r>
          </w:p>
        </w:tc>
        <w:tc>
          <w:tcPr>
            <w:tcW w:w="642" w:type="pct"/>
            <w:tcBorders>
              <w:top w:val="nil"/>
              <w:left w:val="nil"/>
              <w:bottom w:val="single" w:sz="4" w:space="0" w:color="auto"/>
              <w:right w:val="single" w:sz="4" w:space="0" w:color="FFFFFF"/>
            </w:tcBorders>
            <w:shd w:val="clear" w:color="000000" w:fill="1F497D"/>
            <w:vAlign w:val="center"/>
            <w:hideMark/>
          </w:tcPr>
          <w:p w:rsidR="00A361E6" w:rsidRPr="00A361E6" w:rsidRDefault="00A361E6" w:rsidP="00A361E6">
            <w:pPr>
              <w:spacing w:after="0" w:line="240" w:lineRule="auto"/>
              <w:jc w:val="center"/>
              <w:rPr>
                <w:rFonts w:ascii="Arial" w:eastAsia="Times New Roman" w:hAnsi="Arial" w:cs="Arial"/>
                <w:b/>
                <w:bCs/>
                <w:color w:val="FFFFFF"/>
                <w:sz w:val="16"/>
                <w:szCs w:val="16"/>
              </w:rPr>
            </w:pPr>
            <w:r w:rsidRPr="00A361E6">
              <w:rPr>
                <w:rFonts w:ascii="Arial" w:eastAsia="Times New Roman" w:hAnsi="Arial" w:cs="Arial"/>
                <w:b/>
                <w:bCs/>
                <w:color w:val="FFFFFF"/>
                <w:sz w:val="16"/>
                <w:szCs w:val="16"/>
              </w:rPr>
              <w:t>(1-6 pm)</w:t>
            </w:r>
          </w:p>
        </w:tc>
        <w:tc>
          <w:tcPr>
            <w:tcW w:w="622" w:type="pct"/>
            <w:tcBorders>
              <w:top w:val="nil"/>
              <w:left w:val="nil"/>
              <w:bottom w:val="single" w:sz="4" w:space="0" w:color="auto"/>
              <w:right w:val="single" w:sz="4" w:space="0" w:color="auto"/>
            </w:tcBorders>
            <w:shd w:val="clear" w:color="000000" w:fill="1F497D"/>
            <w:vAlign w:val="center"/>
            <w:hideMark/>
          </w:tcPr>
          <w:p w:rsidR="00A361E6" w:rsidRPr="00A361E6" w:rsidRDefault="00A361E6" w:rsidP="00A361E6">
            <w:pPr>
              <w:spacing w:after="0" w:line="240" w:lineRule="auto"/>
              <w:jc w:val="center"/>
              <w:rPr>
                <w:rFonts w:ascii="Calibri" w:eastAsia="Times New Roman" w:hAnsi="Calibri" w:cs="Calibri"/>
                <w:color w:val="FFFFFF"/>
              </w:rPr>
            </w:pPr>
            <w:r w:rsidRPr="00A361E6">
              <w:rPr>
                <w:rFonts w:ascii="Calibri" w:eastAsia="Times New Roman" w:hAnsi="Calibri" w:cs="Calibri"/>
                <w:color w:val="FFFFFF"/>
              </w:rPr>
              <w:t>(°F)</w:t>
            </w:r>
          </w:p>
        </w:tc>
      </w:tr>
      <w:tr w:rsidR="00A361E6" w:rsidRPr="00A361E6" w:rsidTr="00A361E6">
        <w:trPr>
          <w:trHeight w:val="315"/>
          <w:jc w:val="center"/>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1-in-10 August System Peak Day</w:t>
            </w: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94.3</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2013</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10.3%</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94.5</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2014</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2015</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12295</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465</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413</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53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11.3%</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2016</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24941</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982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894</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88</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8.9%</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2017</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30630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1221</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1117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104</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2018</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29339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1167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1067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2019</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29589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1177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1076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2020</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29836</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1187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1085</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102</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2021</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30078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1197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1094</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103</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30309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1206</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1102</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104</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8.6%</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94.6</w:t>
            </w:r>
          </w:p>
        </w:tc>
      </w:tr>
      <w:tr w:rsidR="00A361E6" w:rsidRPr="00A361E6" w:rsidTr="00A361E6">
        <w:trPr>
          <w:trHeight w:val="315"/>
          <w:jc w:val="center"/>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1-in-2 August System Peak Day</w:t>
            </w: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198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7.4%</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93.5</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2013</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2014</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7.4%</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2015</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12295</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442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407</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35</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7.9%</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2016</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24941</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937</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876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6.5%</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2017</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30630</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1168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1096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72</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2018</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29339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1116</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1046</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70</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2019</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29589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1125</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1055</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70</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2020</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29836</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1135</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1064</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2021</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30078</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1144</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1072</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71</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r w:rsidR="00A361E6" w:rsidRPr="00A361E6" w:rsidTr="00A361E6">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A361E6" w:rsidRPr="00A361E6" w:rsidRDefault="00A361E6" w:rsidP="00A361E6">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2022</w:t>
            </w:r>
          </w:p>
        </w:tc>
        <w:tc>
          <w:tcPr>
            <w:tcW w:w="697"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30309</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1152</w:t>
            </w:r>
          </w:p>
        </w:tc>
        <w:tc>
          <w:tcPr>
            <w:tcW w:w="674"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1081</w:t>
            </w:r>
          </w:p>
        </w:tc>
        <w:tc>
          <w:tcPr>
            <w:tcW w:w="571"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72</w:t>
            </w:r>
          </w:p>
        </w:tc>
        <w:tc>
          <w:tcPr>
            <w:tcW w:w="64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6.2%</w:t>
            </w:r>
          </w:p>
        </w:tc>
        <w:tc>
          <w:tcPr>
            <w:tcW w:w="622" w:type="pct"/>
            <w:tcBorders>
              <w:top w:val="nil"/>
              <w:left w:val="nil"/>
              <w:bottom w:val="single" w:sz="4" w:space="0" w:color="auto"/>
              <w:right w:val="single" w:sz="4" w:space="0" w:color="auto"/>
            </w:tcBorders>
            <w:shd w:val="clear" w:color="auto" w:fill="auto"/>
            <w:noWrap/>
            <w:vAlign w:val="bottom"/>
            <w:hideMark/>
          </w:tcPr>
          <w:p w:rsidR="00A361E6" w:rsidRPr="00A361E6" w:rsidRDefault="00A361E6" w:rsidP="00A361E6">
            <w:pPr>
              <w:spacing w:after="0" w:line="240" w:lineRule="auto"/>
              <w:jc w:val="center"/>
              <w:rPr>
                <w:rFonts w:ascii="Calibri" w:eastAsia="Times New Roman" w:hAnsi="Calibri" w:cs="Calibri"/>
                <w:color w:val="000000"/>
              </w:rPr>
            </w:pPr>
            <w:r w:rsidRPr="00A361E6">
              <w:rPr>
                <w:rFonts w:ascii="Calibri" w:eastAsia="Times New Roman" w:hAnsi="Calibri" w:cs="Calibri"/>
                <w:color w:val="000000"/>
              </w:rPr>
              <w:t>93.6</w:t>
            </w:r>
          </w:p>
        </w:tc>
      </w:tr>
    </w:tbl>
    <w:p w:rsidR="00A361E6" w:rsidRPr="00563BA3" w:rsidRDefault="00A361E6" w:rsidP="00A361E6">
      <w:pPr>
        <w:pStyle w:val="BodyParaAfterTableFigure"/>
        <w:spacing w:before="0"/>
      </w:pPr>
      <w:r>
        <w:t>*The forecasts for 2012 and 2013 reflect the historic 2 PM to 6 PM event window</w:t>
      </w:r>
    </w:p>
    <w:p w:rsidR="00F749A3" w:rsidRPr="00345228" w:rsidRDefault="00F749A3" w:rsidP="00F749A3">
      <w:pPr>
        <w:pStyle w:val="BodyParaAfterTableFigure"/>
      </w:pPr>
    </w:p>
    <w:p w:rsidR="00F749A3" w:rsidRDefault="00F749A3" w:rsidP="00F749A3">
      <w:pPr>
        <w:pStyle w:val="BodyParagraph"/>
      </w:pPr>
    </w:p>
    <w:p w:rsidR="00F749A3" w:rsidRDefault="00F749A3" w:rsidP="00F749A3">
      <w:pPr>
        <w:pStyle w:val="BodyParagraph"/>
        <w:sectPr w:rsidR="00F749A3" w:rsidSect="004433C4">
          <w:pgSz w:w="12240" w:h="15840"/>
          <w:pgMar w:top="1440" w:right="1440" w:bottom="1440" w:left="1440" w:header="720" w:footer="720" w:gutter="0"/>
          <w:cols w:space="720"/>
          <w:docGrid w:linePitch="360"/>
        </w:sectPr>
      </w:pPr>
    </w:p>
    <w:p w:rsidR="00F749A3" w:rsidRDefault="00F749A3" w:rsidP="00F749A3">
      <w:pPr>
        <w:pStyle w:val="AppendixHeading"/>
      </w:pPr>
      <w:bookmarkStart w:id="196" w:name="_Toc326072176"/>
      <w:r>
        <w:lastRenderedPageBreak/>
        <w:t>SCE Program Specific Ex Ante Impacts for Annual Peak Days</w:t>
      </w:r>
      <w:bookmarkEnd w:id="196"/>
    </w:p>
    <w:p w:rsidR="00F749A3" w:rsidRDefault="00F749A3" w:rsidP="00F749A3">
      <w:pPr>
        <w:pStyle w:val="TableFigureCaption"/>
      </w:pPr>
      <w:r>
        <w:t>Table L-1</w:t>
      </w:r>
      <w:proofErr w:type="gramStart"/>
      <w:r>
        <w:t>:</w:t>
      </w:r>
      <w:proofErr w:type="gramEnd"/>
      <w:r>
        <w:br/>
        <w:t xml:space="preserve">Program Annual Peak Day Load Impacts for Large SCE CPP Customers </w:t>
      </w:r>
      <w:r>
        <w:br/>
        <w:t>(Hourly Average Reduction in MW Over Event Day Period - 1 PM to 6 PM)</w:t>
      </w:r>
    </w:p>
    <w:tbl>
      <w:tblPr>
        <w:tblW w:w="5000" w:type="pct"/>
        <w:jc w:val="center"/>
        <w:tblLook w:val="04A0"/>
      </w:tblPr>
      <w:tblGrid>
        <w:gridCol w:w="1096"/>
        <w:gridCol w:w="1050"/>
        <w:gridCol w:w="1335"/>
        <w:gridCol w:w="1291"/>
        <w:gridCol w:w="1291"/>
        <w:gridCol w:w="1094"/>
        <w:gridCol w:w="1230"/>
        <w:gridCol w:w="1189"/>
      </w:tblGrid>
      <w:tr w:rsidR="00F749A3" w:rsidRPr="002352FD" w:rsidTr="00F749A3">
        <w:trPr>
          <w:trHeight w:val="900"/>
          <w:jc w:val="center"/>
        </w:trPr>
        <w:tc>
          <w:tcPr>
            <w:tcW w:w="573"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Weather Year</w:t>
            </w:r>
          </w:p>
        </w:tc>
        <w:tc>
          <w:tcPr>
            <w:tcW w:w="548"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Year</w:t>
            </w:r>
          </w:p>
        </w:tc>
        <w:tc>
          <w:tcPr>
            <w:tcW w:w="697"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Enrolled Accts (Forecast)</w:t>
            </w:r>
          </w:p>
        </w:tc>
        <w:tc>
          <w:tcPr>
            <w:tcW w:w="674" w:type="pct"/>
            <w:tcBorders>
              <w:top w:val="single" w:sz="4" w:space="0" w:color="auto"/>
              <w:left w:val="nil"/>
              <w:bottom w:val="single" w:sz="4" w:space="0" w:color="FFFFFF"/>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Avg. Reference Load</w:t>
            </w:r>
          </w:p>
        </w:tc>
        <w:tc>
          <w:tcPr>
            <w:tcW w:w="674" w:type="pct"/>
            <w:tcBorders>
              <w:top w:val="single" w:sz="4" w:space="0" w:color="auto"/>
              <w:left w:val="nil"/>
              <w:bottom w:val="single" w:sz="4" w:space="0" w:color="FFFFFF"/>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Avg. Estimated Load w DR</w:t>
            </w:r>
          </w:p>
        </w:tc>
        <w:tc>
          <w:tcPr>
            <w:tcW w:w="571" w:type="pct"/>
            <w:tcBorders>
              <w:top w:val="single" w:sz="4" w:space="0" w:color="auto"/>
              <w:left w:val="nil"/>
              <w:bottom w:val="single" w:sz="4" w:space="0" w:color="FFFFFF"/>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Avg. Load impact</w:t>
            </w:r>
          </w:p>
        </w:tc>
        <w:tc>
          <w:tcPr>
            <w:tcW w:w="642" w:type="pct"/>
            <w:tcBorders>
              <w:top w:val="single" w:sz="4" w:space="0" w:color="auto"/>
              <w:left w:val="nil"/>
              <w:bottom w:val="single" w:sz="4" w:space="0" w:color="FFFFFF"/>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 Load Reduction</w:t>
            </w:r>
          </w:p>
        </w:tc>
        <w:tc>
          <w:tcPr>
            <w:tcW w:w="622" w:type="pct"/>
            <w:tcBorders>
              <w:top w:val="single" w:sz="4" w:space="0" w:color="auto"/>
              <w:left w:val="nil"/>
              <w:bottom w:val="single" w:sz="4" w:space="0" w:color="FFFFFF"/>
              <w:right w:val="single" w:sz="4" w:space="0" w:color="auto"/>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Weighted Temp</w:t>
            </w:r>
          </w:p>
        </w:tc>
      </w:tr>
      <w:tr w:rsidR="00F749A3" w:rsidRPr="002352FD" w:rsidTr="00F749A3">
        <w:trPr>
          <w:trHeight w:val="450"/>
          <w:jc w:val="center"/>
        </w:trPr>
        <w:tc>
          <w:tcPr>
            <w:tcW w:w="573" w:type="pct"/>
            <w:vMerge/>
            <w:tcBorders>
              <w:top w:val="single" w:sz="4" w:space="0" w:color="auto"/>
              <w:left w:val="single" w:sz="4" w:space="0" w:color="auto"/>
              <w:bottom w:val="single" w:sz="4" w:space="0" w:color="000000"/>
              <w:right w:val="single" w:sz="4" w:space="0" w:color="FFFFFF"/>
            </w:tcBorders>
            <w:vAlign w:val="center"/>
            <w:hideMark/>
          </w:tcPr>
          <w:p w:rsidR="00F749A3" w:rsidRPr="002352FD" w:rsidRDefault="00F749A3" w:rsidP="00F749A3">
            <w:pPr>
              <w:spacing w:after="0" w:line="240" w:lineRule="auto"/>
              <w:rPr>
                <w:rFonts w:ascii="Calibri" w:eastAsia="Times New Roman" w:hAnsi="Calibri" w:cs="Calibri"/>
                <w:color w:val="FFFFFF"/>
              </w:rPr>
            </w:pPr>
          </w:p>
        </w:tc>
        <w:tc>
          <w:tcPr>
            <w:tcW w:w="548" w:type="pct"/>
            <w:vMerge/>
            <w:tcBorders>
              <w:top w:val="single" w:sz="4" w:space="0" w:color="auto"/>
              <w:left w:val="single" w:sz="4" w:space="0" w:color="FFFFFF"/>
              <w:bottom w:val="single" w:sz="4" w:space="0" w:color="000000"/>
              <w:right w:val="single" w:sz="4" w:space="0" w:color="FFFFFF"/>
            </w:tcBorders>
            <w:vAlign w:val="center"/>
            <w:hideMark/>
          </w:tcPr>
          <w:p w:rsidR="00F749A3" w:rsidRPr="002352FD" w:rsidRDefault="00F749A3" w:rsidP="00F749A3">
            <w:pPr>
              <w:spacing w:after="0" w:line="240" w:lineRule="auto"/>
              <w:rPr>
                <w:rFonts w:ascii="Calibri" w:eastAsia="Times New Roman" w:hAnsi="Calibri" w:cs="Calibri"/>
                <w:color w:val="FFFFFF"/>
              </w:rPr>
            </w:pPr>
          </w:p>
        </w:tc>
        <w:tc>
          <w:tcPr>
            <w:tcW w:w="697" w:type="pct"/>
            <w:vMerge/>
            <w:tcBorders>
              <w:top w:val="single" w:sz="4" w:space="0" w:color="auto"/>
              <w:left w:val="single" w:sz="4" w:space="0" w:color="FFFFFF"/>
              <w:bottom w:val="single" w:sz="4" w:space="0" w:color="000000"/>
              <w:right w:val="single" w:sz="4" w:space="0" w:color="FFFFFF"/>
            </w:tcBorders>
            <w:vAlign w:val="center"/>
            <w:hideMark/>
          </w:tcPr>
          <w:p w:rsidR="00F749A3" w:rsidRPr="002352FD" w:rsidRDefault="00F749A3" w:rsidP="00F749A3">
            <w:pPr>
              <w:spacing w:after="0" w:line="240" w:lineRule="auto"/>
              <w:rPr>
                <w:rFonts w:ascii="Calibri" w:eastAsia="Times New Roman" w:hAnsi="Calibri" w:cs="Calibri"/>
                <w:color w:val="FFFFFF"/>
              </w:rPr>
            </w:pPr>
          </w:p>
        </w:tc>
        <w:tc>
          <w:tcPr>
            <w:tcW w:w="674" w:type="pct"/>
            <w:tcBorders>
              <w:top w:val="nil"/>
              <w:left w:val="nil"/>
              <w:bottom w:val="single" w:sz="4" w:space="0" w:color="auto"/>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Arial" w:eastAsia="Times New Roman" w:hAnsi="Arial" w:cs="Arial"/>
                <w:b/>
                <w:bCs/>
                <w:color w:val="FFFFFF"/>
                <w:sz w:val="16"/>
                <w:szCs w:val="16"/>
              </w:rPr>
            </w:pPr>
            <w:r w:rsidRPr="002352FD">
              <w:rPr>
                <w:rFonts w:ascii="Arial" w:eastAsia="Times New Roman" w:hAnsi="Arial" w:cs="Arial"/>
                <w:b/>
                <w:bCs/>
                <w:color w:val="FFFFFF"/>
                <w:sz w:val="16"/>
                <w:szCs w:val="16"/>
              </w:rPr>
              <w:t>(MW  1-6 pm)</w:t>
            </w:r>
          </w:p>
        </w:tc>
        <w:tc>
          <w:tcPr>
            <w:tcW w:w="674" w:type="pct"/>
            <w:tcBorders>
              <w:top w:val="nil"/>
              <w:left w:val="nil"/>
              <w:bottom w:val="single" w:sz="4" w:space="0" w:color="auto"/>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Arial" w:eastAsia="Times New Roman" w:hAnsi="Arial" w:cs="Arial"/>
                <w:b/>
                <w:bCs/>
                <w:color w:val="FFFFFF"/>
                <w:sz w:val="16"/>
                <w:szCs w:val="16"/>
              </w:rPr>
            </w:pPr>
            <w:r w:rsidRPr="002352FD">
              <w:rPr>
                <w:rFonts w:ascii="Arial" w:eastAsia="Times New Roman" w:hAnsi="Arial" w:cs="Arial"/>
                <w:b/>
                <w:bCs/>
                <w:color w:val="FFFFFF"/>
                <w:sz w:val="16"/>
                <w:szCs w:val="16"/>
              </w:rPr>
              <w:t>(MW  1-6 pm)</w:t>
            </w:r>
          </w:p>
        </w:tc>
        <w:tc>
          <w:tcPr>
            <w:tcW w:w="571" w:type="pct"/>
            <w:tcBorders>
              <w:top w:val="nil"/>
              <w:left w:val="nil"/>
              <w:bottom w:val="single" w:sz="4" w:space="0" w:color="auto"/>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Arial" w:eastAsia="Times New Roman" w:hAnsi="Arial" w:cs="Arial"/>
                <w:b/>
                <w:bCs/>
                <w:color w:val="FFFFFF"/>
                <w:sz w:val="16"/>
                <w:szCs w:val="16"/>
              </w:rPr>
            </w:pPr>
            <w:r w:rsidRPr="002352FD">
              <w:rPr>
                <w:rFonts w:ascii="Arial" w:eastAsia="Times New Roman" w:hAnsi="Arial" w:cs="Arial"/>
                <w:b/>
                <w:bCs/>
                <w:color w:val="FFFFFF"/>
                <w:sz w:val="16"/>
                <w:szCs w:val="16"/>
              </w:rPr>
              <w:t>(MW  1-6 pm)</w:t>
            </w:r>
          </w:p>
        </w:tc>
        <w:tc>
          <w:tcPr>
            <w:tcW w:w="642" w:type="pct"/>
            <w:tcBorders>
              <w:top w:val="nil"/>
              <w:left w:val="nil"/>
              <w:bottom w:val="single" w:sz="4" w:space="0" w:color="auto"/>
              <w:right w:val="single" w:sz="4" w:space="0" w:color="FFFFFF"/>
            </w:tcBorders>
            <w:shd w:val="clear" w:color="000000" w:fill="1F497D"/>
            <w:vAlign w:val="center"/>
            <w:hideMark/>
          </w:tcPr>
          <w:p w:rsidR="00F749A3" w:rsidRPr="002352FD" w:rsidRDefault="00F749A3" w:rsidP="00F749A3">
            <w:pPr>
              <w:spacing w:after="0" w:line="240" w:lineRule="auto"/>
              <w:jc w:val="center"/>
              <w:rPr>
                <w:rFonts w:ascii="Arial" w:eastAsia="Times New Roman" w:hAnsi="Arial" w:cs="Arial"/>
                <w:b/>
                <w:bCs/>
                <w:color w:val="FFFFFF"/>
                <w:sz w:val="16"/>
                <w:szCs w:val="16"/>
              </w:rPr>
            </w:pPr>
            <w:r w:rsidRPr="002352FD">
              <w:rPr>
                <w:rFonts w:ascii="Arial" w:eastAsia="Times New Roman" w:hAnsi="Arial" w:cs="Arial"/>
                <w:b/>
                <w:bCs/>
                <w:color w:val="FFFFFF"/>
                <w:sz w:val="16"/>
                <w:szCs w:val="16"/>
              </w:rPr>
              <w:t>(1-6 pm)</w:t>
            </w:r>
          </w:p>
        </w:tc>
        <w:tc>
          <w:tcPr>
            <w:tcW w:w="622" w:type="pct"/>
            <w:tcBorders>
              <w:top w:val="nil"/>
              <w:left w:val="nil"/>
              <w:bottom w:val="single" w:sz="4" w:space="0" w:color="auto"/>
              <w:right w:val="single" w:sz="4" w:space="0" w:color="auto"/>
            </w:tcBorders>
            <w:shd w:val="clear" w:color="000000" w:fill="1F497D"/>
            <w:vAlign w:val="center"/>
            <w:hideMark/>
          </w:tcPr>
          <w:p w:rsidR="00F749A3" w:rsidRPr="002352FD" w:rsidRDefault="00F749A3" w:rsidP="00F749A3">
            <w:pPr>
              <w:spacing w:after="0" w:line="240" w:lineRule="auto"/>
              <w:jc w:val="center"/>
              <w:rPr>
                <w:rFonts w:ascii="Calibri" w:eastAsia="Times New Roman" w:hAnsi="Calibri" w:cs="Calibri"/>
                <w:color w:val="FFFFFF"/>
              </w:rPr>
            </w:pPr>
            <w:r w:rsidRPr="002352FD">
              <w:rPr>
                <w:rFonts w:ascii="Calibri" w:eastAsia="Times New Roman" w:hAnsi="Calibri" w:cs="Calibri"/>
                <w:color w:val="FFFFFF"/>
              </w:rPr>
              <w:t>(°F)</w:t>
            </w:r>
          </w:p>
        </w:tc>
      </w:tr>
      <w:tr w:rsidR="00F749A3" w:rsidRPr="002352FD" w:rsidTr="00F749A3">
        <w:trPr>
          <w:trHeight w:val="300"/>
          <w:jc w:val="center"/>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1-in-10 August System Peak Day</w:t>
            </w: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2012</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3,294</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2013</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3,361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2014</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3,429</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2015</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2016</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2017</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2018</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2019</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2020</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2021</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2022</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216</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207</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8</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3.9%</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96.0</w:t>
            </w:r>
          </w:p>
        </w:tc>
      </w:tr>
      <w:tr w:rsidR="00F749A3" w:rsidRPr="002352FD" w:rsidTr="00F749A3">
        <w:trPr>
          <w:trHeight w:val="300"/>
          <w:jc w:val="center"/>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1-in-2 August System Peak Day</w:t>
            </w: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2012</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3,294</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2013</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3,361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2014</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3,429</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2015</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2016</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2017</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2018</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2019</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2020</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2021</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r w:rsidR="00F749A3" w:rsidRPr="002352FD" w:rsidTr="00F749A3">
        <w:trPr>
          <w:trHeight w:val="300"/>
          <w:jc w:val="center"/>
        </w:trPr>
        <w:tc>
          <w:tcPr>
            <w:tcW w:w="573" w:type="pct"/>
            <w:vMerge/>
            <w:tcBorders>
              <w:top w:val="nil"/>
              <w:left w:val="single" w:sz="4" w:space="0" w:color="auto"/>
              <w:bottom w:val="single" w:sz="4" w:space="0" w:color="auto"/>
              <w:right w:val="single" w:sz="4" w:space="0" w:color="auto"/>
            </w:tcBorders>
            <w:vAlign w:val="center"/>
            <w:hideMark/>
          </w:tcPr>
          <w:p w:rsidR="00F749A3" w:rsidRPr="002352FD" w:rsidRDefault="00F749A3" w:rsidP="00F749A3">
            <w:pPr>
              <w:spacing w:after="0" w:line="240" w:lineRule="auto"/>
              <w:rPr>
                <w:rFonts w:ascii="Calibri" w:eastAsia="Times New Roman" w:hAnsi="Calibri" w:cs="Calibri"/>
                <w:color w:val="000000"/>
              </w:rPr>
            </w:pPr>
          </w:p>
        </w:tc>
        <w:tc>
          <w:tcPr>
            <w:tcW w:w="548"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2022</w:t>
            </w:r>
          </w:p>
        </w:tc>
        <w:tc>
          <w:tcPr>
            <w:tcW w:w="697"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3,452</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211</w:t>
            </w:r>
          </w:p>
        </w:tc>
        <w:tc>
          <w:tcPr>
            <w:tcW w:w="674"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202</w:t>
            </w:r>
          </w:p>
        </w:tc>
        <w:tc>
          <w:tcPr>
            <w:tcW w:w="571"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w:t>
            </w:r>
          </w:p>
        </w:tc>
        <w:tc>
          <w:tcPr>
            <w:tcW w:w="64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4.1%</w:t>
            </w:r>
          </w:p>
        </w:tc>
        <w:tc>
          <w:tcPr>
            <w:tcW w:w="622" w:type="pct"/>
            <w:tcBorders>
              <w:top w:val="nil"/>
              <w:left w:val="nil"/>
              <w:bottom w:val="single" w:sz="4" w:space="0" w:color="auto"/>
              <w:right w:val="single" w:sz="4" w:space="0" w:color="auto"/>
            </w:tcBorders>
            <w:shd w:val="clear" w:color="auto" w:fill="auto"/>
            <w:noWrap/>
            <w:vAlign w:val="bottom"/>
            <w:hideMark/>
          </w:tcPr>
          <w:p w:rsidR="00F749A3" w:rsidRPr="002352FD" w:rsidRDefault="00F749A3" w:rsidP="00F749A3">
            <w:pPr>
              <w:spacing w:after="0" w:line="240" w:lineRule="auto"/>
              <w:jc w:val="center"/>
              <w:rPr>
                <w:rFonts w:ascii="Calibri" w:eastAsia="Times New Roman" w:hAnsi="Calibri" w:cs="Calibri"/>
                <w:color w:val="000000"/>
              </w:rPr>
            </w:pPr>
            <w:r w:rsidRPr="002352FD">
              <w:rPr>
                <w:rFonts w:ascii="Calibri" w:eastAsia="Times New Roman" w:hAnsi="Calibri" w:cs="Calibri"/>
                <w:color w:val="000000"/>
              </w:rPr>
              <w:t>93.5</w:t>
            </w:r>
          </w:p>
        </w:tc>
      </w:tr>
    </w:tbl>
    <w:p w:rsidR="00F749A3" w:rsidRDefault="00F749A3" w:rsidP="00F749A3">
      <w:pPr>
        <w:pStyle w:val="AppendixHeading"/>
      </w:pPr>
      <w:r>
        <w:br w:type="column"/>
      </w:r>
      <w:bookmarkStart w:id="197" w:name="_Toc326072177"/>
      <w:r>
        <w:lastRenderedPageBreak/>
        <w:t>SDG&amp;E Program Specific Ex Ante Impacts for Annual Peak Days</w:t>
      </w:r>
      <w:bookmarkEnd w:id="197"/>
    </w:p>
    <w:p w:rsidR="00F749A3" w:rsidRDefault="00F749A3" w:rsidP="00F749A3">
      <w:pPr>
        <w:pStyle w:val="TableFigureCaption"/>
      </w:pPr>
      <w:r>
        <w:t>Table M-1</w:t>
      </w:r>
      <w:proofErr w:type="gramStart"/>
      <w:r>
        <w:t>:</w:t>
      </w:r>
      <w:proofErr w:type="gramEnd"/>
      <w:r>
        <w:br/>
        <w:t xml:space="preserve">Program Annual Peak Day Load Impacts for Large SDG&amp;E CPP Customers </w:t>
      </w:r>
      <w:r>
        <w:br/>
        <w:t>(Hourly Average Reduction in MW Over Historic Event Day Period – 11 AM to 6 PM)</w:t>
      </w:r>
    </w:p>
    <w:tbl>
      <w:tblPr>
        <w:tblW w:w="5000" w:type="pct"/>
        <w:jc w:val="center"/>
        <w:tblLook w:val="04A0"/>
      </w:tblPr>
      <w:tblGrid>
        <w:gridCol w:w="1089"/>
        <w:gridCol w:w="1044"/>
        <w:gridCol w:w="1379"/>
        <w:gridCol w:w="1283"/>
        <w:gridCol w:w="1283"/>
        <w:gridCol w:w="1088"/>
        <w:gridCol w:w="1224"/>
        <w:gridCol w:w="1186"/>
      </w:tblGrid>
      <w:tr w:rsidR="00F749A3" w:rsidRPr="00615C27" w:rsidTr="00F749A3">
        <w:trPr>
          <w:trHeight w:val="900"/>
          <w:jc w:val="center"/>
        </w:trPr>
        <w:tc>
          <w:tcPr>
            <w:tcW w:w="569"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Weather Year</w:t>
            </w:r>
          </w:p>
        </w:tc>
        <w:tc>
          <w:tcPr>
            <w:tcW w:w="545"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Year</w:t>
            </w:r>
          </w:p>
        </w:tc>
        <w:tc>
          <w:tcPr>
            <w:tcW w:w="720"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Enrolled Accts (Forecast)</w:t>
            </w:r>
          </w:p>
        </w:tc>
        <w:tc>
          <w:tcPr>
            <w:tcW w:w="670"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Avg. Reference Load</w:t>
            </w:r>
          </w:p>
        </w:tc>
        <w:tc>
          <w:tcPr>
            <w:tcW w:w="670"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Avg. Estimated Load w DR</w:t>
            </w:r>
          </w:p>
        </w:tc>
        <w:tc>
          <w:tcPr>
            <w:tcW w:w="568"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Avg. Load impact</w:t>
            </w:r>
          </w:p>
        </w:tc>
        <w:tc>
          <w:tcPr>
            <w:tcW w:w="639"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 Load Reduction</w:t>
            </w:r>
          </w:p>
        </w:tc>
        <w:tc>
          <w:tcPr>
            <w:tcW w:w="619" w:type="pct"/>
            <w:tcBorders>
              <w:top w:val="single" w:sz="4" w:space="0" w:color="auto"/>
              <w:left w:val="nil"/>
              <w:bottom w:val="single" w:sz="4" w:space="0" w:color="FFFFFF"/>
              <w:right w:val="single" w:sz="4" w:space="0" w:color="auto"/>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Weighted Temp</w:t>
            </w:r>
          </w:p>
        </w:tc>
      </w:tr>
      <w:tr w:rsidR="00F749A3" w:rsidRPr="00615C27" w:rsidTr="00F749A3">
        <w:trPr>
          <w:trHeight w:val="450"/>
          <w:jc w:val="center"/>
        </w:trPr>
        <w:tc>
          <w:tcPr>
            <w:tcW w:w="569" w:type="pct"/>
            <w:vMerge/>
            <w:tcBorders>
              <w:top w:val="single" w:sz="4" w:space="0" w:color="auto"/>
              <w:left w:val="single" w:sz="4" w:space="0" w:color="auto"/>
              <w:bottom w:val="single" w:sz="4" w:space="0" w:color="000000"/>
              <w:right w:val="single" w:sz="4" w:space="0" w:color="FFFFFF"/>
            </w:tcBorders>
            <w:vAlign w:val="center"/>
            <w:hideMark/>
          </w:tcPr>
          <w:p w:rsidR="00F749A3" w:rsidRPr="00615C27" w:rsidRDefault="00F749A3" w:rsidP="00F749A3">
            <w:pPr>
              <w:spacing w:after="0" w:line="240" w:lineRule="auto"/>
              <w:rPr>
                <w:rFonts w:ascii="Calibri" w:eastAsia="Times New Roman" w:hAnsi="Calibri" w:cs="Calibri"/>
                <w:color w:val="FFFFFF"/>
              </w:rPr>
            </w:pPr>
          </w:p>
        </w:tc>
        <w:tc>
          <w:tcPr>
            <w:tcW w:w="545" w:type="pct"/>
            <w:vMerge/>
            <w:tcBorders>
              <w:top w:val="single" w:sz="4" w:space="0" w:color="auto"/>
              <w:left w:val="single" w:sz="4" w:space="0" w:color="FFFFFF"/>
              <w:bottom w:val="single" w:sz="4" w:space="0" w:color="000000"/>
              <w:right w:val="single" w:sz="4" w:space="0" w:color="FFFFFF"/>
            </w:tcBorders>
            <w:vAlign w:val="center"/>
            <w:hideMark/>
          </w:tcPr>
          <w:p w:rsidR="00F749A3" w:rsidRPr="00615C27" w:rsidRDefault="00F749A3" w:rsidP="00F749A3">
            <w:pPr>
              <w:spacing w:after="0" w:line="240" w:lineRule="auto"/>
              <w:rPr>
                <w:rFonts w:ascii="Calibri" w:eastAsia="Times New Roman" w:hAnsi="Calibri" w:cs="Calibri"/>
                <w:color w:val="FFFFFF"/>
              </w:rPr>
            </w:pPr>
          </w:p>
        </w:tc>
        <w:tc>
          <w:tcPr>
            <w:tcW w:w="720" w:type="pct"/>
            <w:vMerge/>
            <w:tcBorders>
              <w:top w:val="single" w:sz="4" w:space="0" w:color="auto"/>
              <w:left w:val="single" w:sz="4" w:space="0" w:color="FFFFFF"/>
              <w:bottom w:val="single" w:sz="4" w:space="0" w:color="000000"/>
              <w:right w:val="single" w:sz="4" w:space="0" w:color="FFFFFF"/>
            </w:tcBorders>
            <w:vAlign w:val="center"/>
            <w:hideMark/>
          </w:tcPr>
          <w:p w:rsidR="00F749A3" w:rsidRPr="00615C27" w:rsidRDefault="00F749A3" w:rsidP="00F749A3">
            <w:pPr>
              <w:spacing w:after="0" w:line="240" w:lineRule="auto"/>
              <w:rPr>
                <w:rFonts w:ascii="Calibri" w:eastAsia="Times New Roman" w:hAnsi="Calibri" w:cs="Calibri"/>
                <w:color w:val="FFFFFF"/>
              </w:rPr>
            </w:pPr>
          </w:p>
        </w:tc>
        <w:tc>
          <w:tcPr>
            <w:tcW w:w="670"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(MW  11 am-6 pm)</w:t>
            </w:r>
          </w:p>
        </w:tc>
        <w:tc>
          <w:tcPr>
            <w:tcW w:w="670"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(MW  11 am-6 pm)</w:t>
            </w:r>
          </w:p>
        </w:tc>
        <w:tc>
          <w:tcPr>
            <w:tcW w:w="568"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(MW  11 am-6 pm)</w:t>
            </w:r>
          </w:p>
        </w:tc>
        <w:tc>
          <w:tcPr>
            <w:tcW w:w="639"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(11 am-6 pm)</w:t>
            </w:r>
          </w:p>
        </w:tc>
        <w:tc>
          <w:tcPr>
            <w:tcW w:w="619" w:type="pct"/>
            <w:tcBorders>
              <w:top w:val="nil"/>
              <w:left w:val="nil"/>
              <w:bottom w:val="single" w:sz="4" w:space="0" w:color="auto"/>
              <w:right w:val="single" w:sz="4" w:space="0" w:color="auto"/>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(°F)</w:t>
            </w:r>
          </w:p>
        </w:tc>
      </w:tr>
      <w:tr w:rsidR="00F749A3" w:rsidRPr="00615C27" w:rsidTr="00F749A3">
        <w:trPr>
          <w:trHeight w:val="300"/>
          <w:jc w:val="center"/>
        </w:trPr>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1-in-10 August System Peak Day</w:t>
            </w: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1,165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379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18</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4.5%</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84.3</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2013</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1,181</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405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386</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19</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4.6%</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84.3</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2014</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1,197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393</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2015</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1,213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419</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4.8%</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2016</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1,230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425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404</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4.8%</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2017</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1,247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410</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4.8%</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2018</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1,264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415</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4.8%</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2019</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1,282</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442</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421</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2020</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1,300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448</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427</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2021</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1,318</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454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432</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1,336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460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438</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84.2</w:t>
            </w:r>
          </w:p>
        </w:tc>
      </w:tr>
      <w:tr w:rsidR="00F749A3" w:rsidRPr="00615C27" w:rsidTr="00F749A3">
        <w:trPr>
          <w:trHeight w:val="300"/>
          <w:jc w:val="center"/>
        </w:trPr>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1-in-2 August System Peak Day</w:t>
            </w: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1,165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384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372</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3.1%</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2013</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1,181</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391</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379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3.2%</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2014</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1,197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399</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386</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2015</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1,213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405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391</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2016</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1,230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397</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2017</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1,247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402</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2018</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1,264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421</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407</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2019</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1,282</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427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413</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2020</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1,300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419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2021</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1,318</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439</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424</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1,336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444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430</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15</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81.8</w:t>
            </w:r>
          </w:p>
        </w:tc>
      </w:tr>
    </w:tbl>
    <w:p w:rsidR="00F749A3" w:rsidRDefault="00F749A3" w:rsidP="00F749A3">
      <w:pPr>
        <w:pStyle w:val="BodyParaAfterTableFigure"/>
      </w:pPr>
    </w:p>
    <w:p w:rsidR="00F749A3" w:rsidRDefault="00F749A3" w:rsidP="00F749A3">
      <w:pPr>
        <w:pStyle w:val="BodyParagraph"/>
      </w:pPr>
    </w:p>
    <w:p w:rsidR="00F749A3" w:rsidRDefault="00F749A3" w:rsidP="00F749A3">
      <w:pPr>
        <w:pStyle w:val="BodyParagraph"/>
      </w:pPr>
    </w:p>
    <w:p w:rsidR="00F749A3" w:rsidRPr="00615C27" w:rsidRDefault="00F749A3" w:rsidP="00F749A3">
      <w:pPr>
        <w:pStyle w:val="BodyParagraph"/>
      </w:pPr>
    </w:p>
    <w:p w:rsidR="00F749A3" w:rsidRDefault="00F749A3" w:rsidP="00F749A3">
      <w:pPr>
        <w:pStyle w:val="TableFigureCaption"/>
      </w:pPr>
      <w:r>
        <w:lastRenderedPageBreak/>
        <w:t>Table M-2</w:t>
      </w:r>
      <w:proofErr w:type="gramStart"/>
      <w:r>
        <w:t>:</w:t>
      </w:r>
      <w:proofErr w:type="gramEnd"/>
      <w:r>
        <w:br/>
        <w:t xml:space="preserve">Program Annual Peak Day Load Impacts for Medium SDG&amp;E CPP Customers </w:t>
      </w:r>
      <w:r>
        <w:br/>
        <w:t>(Hourly Average Reduction in MW Over Historic Event Day Period – 11 AM to 6 PM)</w:t>
      </w:r>
    </w:p>
    <w:tbl>
      <w:tblPr>
        <w:tblW w:w="5000" w:type="pct"/>
        <w:jc w:val="center"/>
        <w:tblLook w:val="04A0"/>
      </w:tblPr>
      <w:tblGrid>
        <w:gridCol w:w="1089"/>
        <w:gridCol w:w="1044"/>
        <w:gridCol w:w="1379"/>
        <w:gridCol w:w="1283"/>
        <w:gridCol w:w="1283"/>
        <w:gridCol w:w="1088"/>
        <w:gridCol w:w="1224"/>
        <w:gridCol w:w="1186"/>
      </w:tblGrid>
      <w:tr w:rsidR="00F749A3" w:rsidRPr="00615C27" w:rsidTr="00F749A3">
        <w:trPr>
          <w:trHeight w:val="1215"/>
          <w:jc w:val="center"/>
        </w:trPr>
        <w:tc>
          <w:tcPr>
            <w:tcW w:w="569" w:type="pct"/>
            <w:vMerge w:val="restart"/>
            <w:tcBorders>
              <w:top w:val="single" w:sz="4" w:space="0" w:color="auto"/>
              <w:left w:val="single" w:sz="4" w:space="0" w:color="auto"/>
              <w:bottom w:val="single" w:sz="4" w:space="0" w:color="000000"/>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Weather Year</w:t>
            </w:r>
          </w:p>
        </w:tc>
        <w:tc>
          <w:tcPr>
            <w:tcW w:w="545"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Year</w:t>
            </w:r>
          </w:p>
        </w:tc>
        <w:tc>
          <w:tcPr>
            <w:tcW w:w="720" w:type="pct"/>
            <w:vMerge w:val="restart"/>
            <w:tcBorders>
              <w:top w:val="single" w:sz="4" w:space="0" w:color="auto"/>
              <w:left w:val="single" w:sz="4" w:space="0" w:color="FFFFFF"/>
              <w:bottom w:val="single" w:sz="4" w:space="0" w:color="000000"/>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Enrolled Accts (Forecast)</w:t>
            </w:r>
          </w:p>
        </w:tc>
        <w:tc>
          <w:tcPr>
            <w:tcW w:w="670"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Avg. Reference Load</w:t>
            </w:r>
          </w:p>
        </w:tc>
        <w:tc>
          <w:tcPr>
            <w:tcW w:w="670"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Avg. Estimated Load w DR</w:t>
            </w:r>
          </w:p>
        </w:tc>
        <w:tc>
          <w:tcPr>
            <w:tcW w:w="568"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Avg. Load impact</w:t>
            </w:r>
          </w:p>
        </w:tc>
        <w:tc>
          <w:tcPr>
            <w:tcW w:w="639" w:type="pct"/>
            <w:tcBorders>
              <w:top w:val="single" w:sz="4" w:space="0" w:color="auto"/>
              <w:left w:val="nil"/>
              <w:bottom w:val="single" w:sz="4" w:space="0" w:color="FFFFFF"/>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 Load Reduction</w:t>
            </w:r>
          </w:p>
        </w:tc>
        <w:tc>
          <w:tcPr>
            <w:tcW w:w="619" w:type="pct"/>
            <w:tcBorders>
              <w:top w:val="single" w:sz="4" w:space="0" w:color="auto"/>
              <w:left w:val="nil"/>
              <w:bottom w:val="single" w:sz="4" w:space="0" w:color="FFFFFF"/>
              <w:right w:val="single" w:sz="4" w:space="0" w:color="auto"/>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Weighted Temp</w:t>
            </w:r>
          </w:p>
        </w:tc>
      </w:tr>
      <w:tr w:rsidR="00F749A3" w:rsidRPr="00615C27" w:rsidTr="00F749A3">
        <w:trPr>
          <w:trHeight w:val="450"/>
          <w:jc w:val="center"/>
        </w:trPr>
        <w:tc>
          <w:tcPr>
            <w:tcW w:w="569" w:type="pct"/>
            <w:vMerge/>
            <w:tcBorders>
              <w:top w:val="single" w:sz="4" w:space="0" w:color="auto"/>
              <w:left w:val="single" w:sz="4" w:space="0" w:color="auto"/>
              <w:bottom w:val="single" w:sz="4" w:space="0" w:color="000000"/>
              <w:right w:val="single" w:sz="4" w:space="0" w:color="FFFFFF"/>
            </w:tcBorders>
            <w:vAlign w:val="center"/>
            <w:hideMark/>
          </w:tcPr>
          <w:p w:rsidR="00F749A3" w:rsidRPr="00615C27" w:rsidRDefault="00F749A3" w:rsidP="00F749A3">
            <w:pPr>
              <w:spacing w:after="0" w:line="240" w:lineRule="auto"/>
              <w:rPr>
                <w:rFonts w:ascii="Calibri" w:eastAsia="Times New Roman" w:hAnsi="Calibri" w:cs="Calibri"/>
                <w:color w:val="FFFFFF"/>
              </w:rPr>
            </w:pPr>
          </w:p>
        </w:tc>
        <w:tc>
          <w:tcPr>
            <w:tcW w:w="545" w:type="pct"/>
            <w:vMerge/>
            <w:tcBorders>
              <w:top w:val="single" w:sz="4" w:space="0" w:color="auto"/>
              <w:left w:val="single" w:sz="4" w:space="0" w:color="FFFFFF"/>
              <w:bottom w:val="single" w:sz="4" w:space="0" w:color="000000"/>
              <w:right w:val="single" w:sz="4" w:space="0" w:color="FFFFFF"/>
            </w:tcBorders>
            <w:vAlign w:val="center"/>
            <w:hideMark/>
          </w:tcPr>
          <w:p w:rsidR="00F749A3" w:rsidRPr="00615C27" w:rsidRDefault="00F749A3" w:rsidP="00F749A3">
            <w:pPr>
              <w:spacing w:after="0" w:line="240" w:lineRule="auto"/>
              <w:rPr>
                <w:rFonts w:ascii="Calibri" w:eastAsia="Times New Roman" w:hAnsi="Calibri" w:cs="Calibri"/>
                <w:color w:val="FFFFFF"/>
              </w:rPr>
            </w:pPr>
          </w:p>
        </w:tc>
        <w:tc>
          <w:tcPr>
            <w:tcW w:w="720" w:type="pct"/>
            <w:vMerge/>
            <w:tcBorders>
              <w:top w:val="single" w:sz="4" w:space="0" w:color="auto"/>
              <w:left w:val="single" w:sz="4" w:space="0" w:color="FFFFFF"/>
              <w:bottom w:val="single" w:sz="4" w:space="0" w:color="000000"/>
              <w:right w:val="single" w:sz="4" w:space="0" w:color="FFFFFF"/>
            </w:tcBorders>
            <w:vAlign w:val="center"/>
            <w:hideMark/>
          </w:tcPr>
          <w:p w:rsidR="00F749A3" w:rsidRPr="00615C27" w:rsidRDefault="00F749A3" w:rsidP="00F749A3">
            <w:pPr>
              <w:spacing w:after="0" w:line="240" w:lineRule="auto"/>
              <w:rPr>
                <w:rFonts w:ascii="Calibri" w:eastAsia="Times New Roman" w:hAnsi="Calibri" w:cs="Calibri"/>
                <w:color w:val="FFFFFF"/>
              </w:rPr>
            </w:pPr>
          </w:p>
        </w:tc>
        <w:tc>
          <w:tcPr>
            <w:tcW w:w="670"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(MW  11 am-6 pm)</w:t>
            </w:r>
          </w:p>
        </w:tc>
        <w:tc>
          <w:tcPr>
            <w:tcW w:w="670"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(MW  11 am-6 pm)</w:t>
            </w:r>
          </w:p>
        </w:tc>
        <w:tc>
          <w:tcPr>
            <w:tcW w:w="568"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(MW  11 am-6 pm)</w:t>
            </w:r>
          </w:p>
        </w:tc>
        <w:tc>
          <w:tcPr>
            <w:tcW w:w="639" w:type="pct"/>
            <w:tcBorders>
              <w:top w:val="nil"/>
              <w:left w:val="nil"/>
              <w:bottom w:val="single" w:sz="4" w:space="0" w:color="auto"/>
              <w:right w:val="single" w:sz="4" w:space="0" w:color="FFFFFF"/>
            </w:tcBorders>
            <w:shd w:val="clear" w:color="000000" w:fill="1F497D"/>
            <w:vAlign w:val="center"/>
            <w:hideMark/>
          </w:tcPr>
          <w:p w:rsidR="00F749A3" w:rsidRPr="00615C27" w:rsidRDefault="00F749A3" w:rsidP="00F749A3">
            <w:pPr>
              <w:spacing w:after="0" w:line="240" w:lineRule="auto"/>
              <w:jc w:val="center"/>
              <w:rPr>
                <w:rFonts w:ascii="Arial" w:eastAsia="Times New Roman" w:hAnsi="Arial" w:cs="Arial"/>
                <w:b/>
                <w:bCs/>
                <w:color w:val="FFFFFF"/>
                <w:sz w:val="16"/>
                <w:szCs w:val="16"/>
              </w:rPr>
            </w:pPr>
            <w:r w:rsidRPr="00615C27">
              <w:rPr>
                <w:rFonts w:ascii="Arial" w:eastAsia="Times New Roman" w:hAnsi="Arial" w:cs="Arial"/>
                <w:b/>
                <w:bCs/>
                <w:color w:val="FFFFFF"/>
                <w:sz w:val="16"/>
                <w:szCs w:val="16"/>
              </w:rPr>
              <w:t>(11 am-6 pm)</w:t>
            </w:r>
          </w:p>
        </w:tc>
        <w:tc>
          <w:tcPr>
            <w:tcW w:w="619" w:type="pct"/>
            <w:tcBorders>
              <w:top w:val="nil"/>
              <w:left w:val="nil"/>
              <w:bottom w:val="single" w:sz="4" w:space="0" w:color="auto"/>
              <w:right w:val="single" w:sz="4" w:space="0" w:color="auto"/>
            </w:tcBorders>
            <w:shd w:val="clear" w:color="000000" w:fill="1F497D"/>
            <w:vAlign w:val="center"/>
            <w:hideMark/>
          </w:tcPr>
          <w:p w:rsidR="00F749A3" w:rsidRPr="00615C27" w:rsidRDefault="00F749A3" w:rsidP="00F749A3">
            <w:pPr>
              <w:spacing w:after="0" w:line="240" w:lineRule="auto"/>
              <w:jc w:val="center"/>
              <w:rPr>
                <w:rFonts w:ascii="Calibri" w:eastAsia="Times New Roman" w:hAnsi="Calibri" w:cs="Calibri"/>
                <w:color w:val="FFFFFF"/>
              </w:rPr>
            </w:pPr>
            <w:r w:rsidRPr="00615C27">
              <w:rPr>
                <w:rFonts w:ascii="Calibri" w:eastAsia="Times New Roman" w:hAnsi="Calibri" w:cs="Calibri"/>
                <w:color w:val="FFFFFF"/>
              </w:rPr>
              <w:t>(°F)</w:t>
            </w:r>
          </w:p>
        </w:tc>
      </w:tr>
      <w:tr w:rsidR="00F749A3" w:rsidRPr="00615C27" w:rsidTr="00F749A3">
        <w:trPr>
          <w:trHeight w:val="315"/>
          <w:jc w:val="center"/>
        </w:trPr>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1-in-10 August System Peak Day</w:t>
            </w: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2013</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2014</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9513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353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322</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32</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8.9%</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2015</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7096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265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244</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2016</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6317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217</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19</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2017</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6403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239</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19</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2018</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6493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242</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223</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19</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2019</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6581</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245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226</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2020</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6674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249</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2021</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6765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252</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232</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6856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255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235</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8.0%</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94.6</w:t>
            </w:r>
          </w:p>
        </w:tc>
      </w:tr>
      <w:tr w:rsidR="00F749A3" w:rsidRPr="00615C27" w:rsidTr="00F749A3">
        <w:trPr>
          <w:trHeight w:val="315"/>
          <w:jc w:val="center"/>
        </w:trPr>
        <w:tc>
          <w:tcPr>
            <w:tcW w:w="569" w:type="pct"/>
            <w:vMerge w:val="restart"/>
            <w:tcBorders>
              <w:top w:val="nil"/>
              <w:left w:val="single" w:sz="4" w:space="0" w:color="auto"/>
              <w:bottom w:val="single" w:sz="4" w:space="0" w:color="auto"/>
              <w:right w:val="single" w:sz="4" w:space="0" w:color="auto"/>
            </w:tcBorders>
            <w:shd w:val="clear" w:color="auto" w:fill="auto"/>
            <w:vAlign w:val="center"/>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1-in-2 August System Peak Day</w:t>
            </w: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2013</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2014</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9513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336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313</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6.9%</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2015</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7096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252</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238</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2016</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6317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211</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2017</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6403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214</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2018</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6493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217</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2019</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6581</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220</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13</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2020</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6674</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237</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223</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2021</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6765</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240</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226</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r w:rsidR="00F749A3" w:rsidRPr="00615C27" w:rsidTr="00F749A3">
        <w:trPr>
          <w:trHeight w:val="300"/>
          <w:jc w:val="center"/>
        </w:trPr>
        <w:tc>
          <w:tcPr>
            <w:tcW w:w="569" w:type="pct"/>
            <w:vMerge/>
            <w:tcBorders>
              <w:top w:val="nil"/>
              <w:left w:val="single" w:sz="4" w:space="0" w:color="auto"/>
              <w:bottom w:val="single" w:sz="4" w:space="0" w:color="auto"/>
              <w:right w:val="single" w:sz="4" w:space="0" w:color="auto"/>
            </w:tcBorders>
            <w:vAlign w:val="center"/>
            <w:hideMark/>
          </w:tcPr>
          <w:p w:rsidR="00F749A3" w:rsidRPr="00615C27" w:rsidRDefault="00F749A3" w:rsidP="00F749A3">
            <w:pPr>
              <w:spacing w:after="0" w:line="240" w:lineRule="auto"/>
              <w:rPr>
                <w:rFonts w:ascii="Calibri" w:eastAsia="Times New Roman" w:hAnsi="Calibri" w:cs="Calibri"/>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2022</w:t>
            </w:r>
          </w:p>
        </w:tc>
        <w:tc>
          <w:tcPr>
            <w:tcW w:w="72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6856</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243</w:t>
            </w:r>
          </w:p>
        </w:tc>
        <w:tc>
          <w:tcPr>
            <w:tcW w:w="670"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229</w:t>
            </w:r>
          </w:p>
        </w:tc>
        <w:tc>
          <w:tcPr>
            <w:tcW w:w="568"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14</w:t>
            </w:r>
          </w:p>
        </w:tc>
        <w:tc>
          <w:tcPr>
            <w:tcW w:w="63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5.7%</w:t>
            </w:r>
          </w:p>
        </w:tc>
        <w:tc>
          <w:tcPr>
            <w:tcW w:w="619" w:type="pct"/>
            <w:tcBorders>
              <w:top w:val="nil"/>
              <w:left w:val="nil"/>
              <w:bottom w:val="single" w:sz="4" w:space="0" w:color="auto"/>
              <w:right w:val="single" w:sz="4" w:space="0" w:color="auto"/>
            </w:tcBorders>
            <w:shd w:val="clear" w:color="auto" w:fill="auto"/>
            <w:noWrap/>
            <w:vAlign w:val="bottom"/>
            <w:hideMark/>
          </w:tcPr>
          <w:p w:rsidR="00F749A3" w:rsidRPr="00615C27" w:rsidRDefault="00F749A3" w:rsidP="00F749A3">
            <w:pPr>
              <w:spacing w:after="0" w:line="240" w:lineRule="auto"/>
              <w:jc w:val="center"/>
              <w:rPr>
                <w:rFonts w:ascii="Calibri" w:eastAsia="Times New Roman" w:hAnsi="Calibri" w:cs="Calibri"/>
                <w:color w:val="000000"/>
              </w:rPr>
            </w:pPr>
            <w:r w:rsidRPr="00615C27">
              <w:rPr>
                <w:rFonts w:ascii="Calibri" w:eastAsia="Times New Roman" w:hAnsi="Calibri" w:cs="Calibri"/>
                <w:color w:val="000000"/>
              </w:rPr>
              <w:t>93.6</w:t>
            </w:r>
          </w:p>
        </w:tc>
      </w:tr>
    </w:tbl>
    <w:p w:rsidR="00205DAB" w:rsidRPr="00205DAB" w:rsidRDefault="00205DAB" w:rsidP="00205DAB">
      <w:pPr>
        <w:pStyle w:val="BodyParagraph"/>
      </w:pPr>
    </w:p>
    <w:p w:rsidR="008C3CFB" w:rsidRPr="00B3235F" w:rsidRDefault="008C3CFB" w:rsidP="004B3CAC">
      <w:pPr>
        <w:pStyle w:val="AppendixHeading"/>
        <w:numPr>
          <w:ilvl w:val="0"/>
          <w:numId w:val="0"/>
        </w:numPr>
        <w:ind w:left="2246"/>
      </w:pPr>
    </w:p>
    <w:sectPr w:rsidR="008C3CFB" w:rsidRPr="00B3235F" w:rsidSect="004433C4">
      <w:headerReference w:type="default" r:id="rId6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05B" w:rsidRDefault="005F105B" w:rsidP="00DB35F9">
      <w:pPr>
        <w:spacing w:after="0" w:line="240" w:lineRule="auto"/>
      </w:pPr>
      <w:r>
        <w:separator/>
      </w:r>
    </w:p>
  </w:endnote>
  <w:endnote w:type="continuationSeparator" w:id="0">
    <w:p w:rsidR="005F105B" w:rsidRDefault="005F105B" w:rsidP="00DB35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tilliumText22L Rg">
    <w:altName w:val="Arial"/>
    <w:panose1 w:val="00000000000000000000"/>
    <w:charset w:val="00"/>
    <w:family w:val="modern"/>
    <w:notTrueType/>
    <w:pitch w:val="variable"/>
    <w:sig w:usb0="00000001" w:usb1="0000004B" w:usb2="00000000" w:usb3="00000000" w:csb0="00000193" w:csb1="00000000"/>
  </w:font>
  <w:font w:name="Calibri">
    <w:panose1 w:val="020F0502020204030204"/>
    <w:charset w:val="00"/>
    <w:family w:val="swiss"/>
    <w:pitch w:val="variable"/>
    <w:sig w:usb0="A00002EF" w:usb1="4000207B" w:usb2="00000000" w:usb3="00000000" w:csb0="0000009F" w:csb1="00000000"/>
  </w:font>
  <w:font w:name="TitilliumText22L Xb">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318"/>
      <w:docPartObj>
        <w:docPartGallery w:val="Page Numbers (Bottom of Page)"/>
        <w:docPartUnique/>
      </w:docPartObj>
    </w:sdtPr>
    <w:sdtContent>
      <w:p w:rsidR="005F105B" w:rsidRDefault="00A73155" w:rsidP="00DB35F9">
        <w:pPr>
          <w:pStyle w:val="Footer"/>
          <w:jc w:val="right"/>
        </w:pPr>
      </w:p>
    </w:sdtContent>
  </w:sdt>
  <w:p w:rsidR="005F105B" w:rsidRDefault="005F10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Pr="00321715" w:rsidRDefault="005F105B" w:rsidP="00B50663">
    <w:pPr>
      <w:pStyle w:val="Footer"/>
      <w:jc w:val="right"/>
      <w:rPr>
        <w:sz w:val="20"/>
        <w:szCs w:val="20"/>
      </w:rPr>
    </w:pPr>
  </w:p>
  <w:p w:rsidR="005F105B" w:rsidRDefault="005F105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049807"/>
      <w:docPartObj>
        <w:docPartGallery w:val="Page Numbers (Bottom of Page)"/>
        <w:docPartUnique/>
      </w:docPartObj>
    </w:sdtPr>
    <w:sdtContent>
      <w:p w:rsidR="005F105B" w:rsidRDefault="005F105B" w:rsidP="00DB35F9">
        <w:pPr>
          <w:pStyle w:val="Footer"/>
          <w:jc w:val="right"/>
        </w:pPr>
        <w:r w:rsidRPr="007715BA">
          <w:rPr>
            <w:noProof/>
            <w:color w:val="808080" w:themeColor="background1" w:themeShade="80"/>
          </w:rPr>
          <w:drawing>
            <wp:anchor distT="0" distB="0" distL="114300" distR="114300" simplePos="0" relativeHeight="251660288" behindDoc="0" locked="0" layoutInCell="1" allowOverlap="1">
              <wp:simplePos x="0" y="0"/>
              <wp:positionH relativeFrom="column">
                <wp:posOffset>-133350</wp:posOffset>
              </wp:positionH>
              <wp:positionV relativeFrom="paragraph">
                <wp:posOffset>-97790</wp:posOffset>
              </wp:positionV>
              <wp:extent cx="2052320" cy="419100"/>
              <wp:effectExtent l="19050" t="0" r="5080" b="0"/>
              <wp:wrapNone/>
              <wp:docPr id="7" name="Picture 3"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 Logo NEW PURPLE 2007"/>
                      <pic:cNvPicPr>
                        <a:picLocks noChangeAspect="1" noChangeArrowheads="1"/>
                      </pic:cNvPicPr>
                    </pic:nvPicPr>
                    <pic:blipFill>
                      <a:blip r:embed="rId1"/>
                      <a:srcRect/>
                      <a:stretch>
                        <a:fillRect/>
                      </a:stretch>
                    </pic:blipFill>
                    <pic:spPr bwMode="auto">
                      <a:xfrm>
                        <a:off x="0" y="0"/>
                        <a:ext cx="2052320" cy="419100"/>
                      </a:xfrm>
                      <a:prstGeom prst="rect">
                        <a:avLst/>
                      </a:prstGeom>
                      <a:noFill/>
                    </pic:spPr>
                  </pic:pic>
                </a:graphicData>
              </a:graphic>
            </wp:anchor>
          </w:drawing>
        </w:r>
        <w:r w:rsidR="00A73155" w:rsidRPr="007715BA">
          <w:rPr>
            <w:color w:val="808080" w:themeColor="background1" w:themeShade="80"/>
          </w:rPr>
          <w:fldChar w:fldCharType="begin"/>
        </w:r>
        <w:r w:rsidRPr="007715BA">
          <w:rPr>
            <w:color w:val="808080" w:themeColor="background1" w:themeShade="80"/>
          </w:rPr>
          <w:instrText xml:space="preserve"> PAGE   \* MERGEFORMAT </w:instrText>
        </w:r>
        <w:r w:rsidR="00A73155" w:rsidRPr="007715BA">
          <w:rPr>
            <w:color w:val="808080" w:themeColor="background1" w:themeShade="80"/>
          </w:rPr>
          <w:fldChar w:fldCharType="separate"/>
        </w:r>
        <w:r w:rsidR="001D1E17">
          <w:rPr>
            <w:noProof/>
            <w:color w:val="808080" w:themeColor="background1" w:themeShade="80"/>
          </w:rPr>
          <w:t>i</w:t>
        </w:r>
        <w:r w:rsidR="00A73155" w:rsidRPr="007715BA">
          <w:rPr>
            <w:color w:val="808080" w:themeColor="background1" w:themeShade="80"/>
          </w:rPr>
          <w:fldChar w:fldCharType="end"/>
        </w:r>
      </w:p>
    </w:sdtContent>
  </w:sdt>
  <w:p w:rsidR="005F105B" w:rsidRDefault="005F105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Pr="00321715" w:rsidRDefault="00A73155" w:rsidP="00B50663">
    <w:pPr>
      <w:pStyle w:val="Footer"/>
      <w:jc w:val="right"/>
      <w:rPr>
        <w:sz w:val="20"/>
        <w:szCs w:val="20"/>
      </w:rPr>
    </w:pPr>
    <w:r w:rsidRPr="009D111C">
      <w:rPr>
        <w:rStyle w:val="PageNumber"/>
        <w:sz w:val="20"/>
        <w:szCs w:val="20"/>
      </w:rPr>
      <w:fldChar w:fldCharType="begin"/>
    </w:r>
    <w:r w:rsidR="005F105B" w:rsidRPr="009D111C">
      <w:rPr>
        <w:rStyle w:val="PageNumber"/>
        <w:sz w:val="20"/>
        <w:szCs w:val="20"/>
      </w:rPr>
      <w:instrText xml:space="preserve">PAGE  </w:instrText>
    </w:r>
    <w:r w:rsidRPr="009D111C">
      <w:rPr>
        <w:rStyle w:val="PageNumber"/>
        <w:sz w:val="20"/>
        <w:szCs w:val="20"/>
      </w:rPr>
      <w:fldChar w:fldCharType="separate"/>
    </w:r>
    <w:r w:rsidR="005F105B">
      <w:rPr>
        <w:rStyle w:val="PageNumber"/>
        <w:noProof/>
        <w:sz w:val="20"/>
        <w:szCs w:val="20"/>
      </w:rPr>
      <w:t>58</w:t>
    </w:r>
    <w:r w:rsidRPr="009D111C">
      <w:rPr>
        <w:rStyle w:val="PageNumber"/>
        <w:sz w:val="20"/>
        <w:szCs w:val="20"/>
      </w:rPr>
      <w:fldChar w:fldCharType="end"/>
    </w:r>
  </w:p>
  <w:p w:rsidR="005F105B" w:rsidRDefault="005F10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05B" w:rsidRDefault="005F105B" w:rsidP="00DB35F9">
      <w:pPr>
        <w:spacing w:after="0" w:line="240" w:lineRule="auto"/>
      </w:pPr>
      <w:r>
        <w:separator/>
      </w:r>
    </w:p>
  </w:footnote>
  <w:footnote w:type="continuationSeparator" w:id="0">
    <w:p w:rsidR="005F105B" w:rsidRDefault="005F105B" w:rsidP="00DB35F9">
      <w:pPr>
        <w:spacing w:after="0" w:line="240" w:lineRule="auto"/>
      </w:pPr>
      <w:r>
        <w:continuationSeparator/>
      </w:r>
    </w:p>
  </w:footnote>
  <w:footnote w:id="1">
    <w:p w:rsidR="005F105B" w:rsidRDefault="005F105B">
      <w:pPr>
        <w:pStyle w:val="Footnote"/>
      </w:pPr>
      <w:r>
        <w:rPr>
          <w:rStyle w:val="FootnoteReference"/>
        </w:rPr>
        <w:footnoteRef/>
      </w:r>
      <w:r>
        <w:t xml:space="preserve"> </w:t>
      </w:r>
      <w:r w:rsidRPr="00BA0CB8">
        <w:t xml:space="preserve">Although PG&amp;E refers to </w:t>
      </w:r>
      <w:r>
        <w:t>its</w:t>
      </w:r>
      <w:r w:rsidRPr="00BA0CB8">
        <w:t xml:space="preserve"> tariffs as Peak Day Pricing (PDP), for simplicity, the relevant tariffs from all three utilities are referred to as CPP throughout the report.  </w:t>
      </w:r>
    </w:p>
  </w:footnote>
  <w:footnote w:id="2">
    <w:p w:rsidR="005F105B" w:rsidRDefault="005F105B" w:rsidP="00856B7A">
      <w:pPr>
        <w:pStyle w:val="Footnote"/>
      </w:pPr>
      <w:r>
        <w:rPr>
          <w:rStyle w:val="FootnoteReference"/>
        </w:rPr>
        <w:footnoteRef/>
      </w:r>
      <w:r>
        <w:t xml:space="preserve"> </w:t>
      </w:r>
      <w:r w:rsidRPr="00052A56">
        <w:t>Throughout</w:t>
      </w:r>
      <w:r>
        <w:t xml:space="preserve"> this report, we use definitions of large, medium and small customers consistent with DR reporting to the CPUC.   Accounts with annual peak demand of 200 kW or more are considered large while accounts between 20 kW and 200 kW are referred to as medium.  Small businesses include all accounts with annual peak demands under 20 kW.  In practice, the PG&amp;E and SCE rate schedules define customers with annual peak demand above 500 kW as large and those between 200 kW to 500 kW as medium or general service customers.  </w:t>
      </w:r>
    </w:p>
  </w:footnote>
  <w:footnote w:id="3">
    <w:p w:rsidR="005F105B" w:rsidRDefault="005F105B">
      <w:pPr>
        <w:pStyle w:val="Footnote"/>
      </w:pPr>
      <w:r>
        <w:rPr>
          <w:rStyle w:val="FootnoteReference"/>
        </w:rPr>
        <w:footnoteRef/>
      </w:r>
      <w:r>
        <w:t xml:space="preserve"> </w:t>
      </w:r>
      <w:r w:rsidRPr="00052A56">
        <w:t>Throughout</w:t>
      </w:r>
      <w:r w:rsidRPr="0036386C">
        <w:t xml:space="preserve"> this report, any reference to CPP refers to what is actually the CPP/TOU tariff being implemented by each</w:t>
      </w:r>
      <w:r>
        <w:t> </w:t>
      </w:r>
      <w:r w:rsidRPr="0036386C">
        <w:t>utility.</w:t>
      </w:r>
      <w:r>
        <w:t xml:space="preserve">   </w:t>
      </w:r>
    </w:p>
  </w:footnote>
  <w:footnote w:id="4">
    <w:p w:rsidR="005F105B" w:rsidRDefault="005F105B">
      <w:pPr>
        <w:pStyle w:val="Footnote"/>
      </w:pPr>
      <w:r>
        <w:rPr>
          <w:rStyle w:val="FootnoteReference"/>
        </w:rPr>
        <w:footnoteRef/>
      </w:r>
      <w:r>
        <w:t xml:space="preserve"> </w:t>
      </w:r>
      <w:r w:rsidRPr="00052A56">
        <w:t>Throughout</w:t>
      </w:r>
      <w:r>
        <w:t xml:space="preserve"> this report the word "customer" is used synonymously with "service account."  </w:t>
      </w:r>
    </w:p>
  </w:footnote>
  <w:footnote w:id="5">
    <w:p w:rsidR="005F105B" w:rsidRDefault="005F105B" w:rsidP="00292B1C">
      <w:pPr>
        <w:pStyle w:val="Footnote"/>
      </w:pPr>
      <w:r>
        <w:rPr>
          <w:rStyle w:val="FootnoteReference"/>
        </w:rPr>
        <w:footnoteRef/>
      </w:r>
      <w:r>
        <w:t xml:space="preserve"> The “average event load reduction” is the arithmetic average of all of the individual load reductions for the year.</w:t>
      </w:r>
    </w:p>
  </w:footnote>
  <w:footnote w:id="6">
    <w:p w:rsidR="005F105B" w:rsidRDefault="005F105B" w:rsidP="00FB5727">
      <w:pPr>
        <w:pStyle w:val="Footnote"/>
      </w:pPr>
      <w:r w:rsidRPr="00234E59">
        <w:rPr>
          <w:rStyle w:val="FootnoteReference"/>
          <w:szCs w:val="18"/>
        </w:rPr>
        <w:footnoteRef/>
      </w:r>
      <w:r>
        <w:rPr>
          <w:vertAlign w:val="superscript"/>
        </w:rPr>
        <w:t xml:space="preserve"> </w:t>
      </w:r>
      <w:r>
        <w:t>T</w:t>
      </w:r>
      <w:r w:rsidRPr="00292B1C">
        <w:t xml:space="preserve">hese </w:t>
      </w:r>
      <w:r w:rsidRPr="00FB5727">
        <w:t>rates</w:t>
      </w:r>
      <w:r w:rsidRPr="00292B1C">
        <w:t xml:space="preserve"> are for illustrative purposes.  Rates vary by time, customer size and service voltage level.  The rates shown are for customers at the secondary voltage level and assignment of customers varies by utility. </w:t>
      </w:r>
      <w:r>
        <w:t xml:space="preserve">  </w:t>
      </w:r>
      <w:r w:rsidRPr="00292B1C">
        <w:t>E-19 is mandatory for PG&amp;E customers who fail to meet the requirements of E-20, but have monthly maximum billing demand above 499 kW and is voluntary for PG&amp;E customers with maximum billing demand greater than 200 kW and less than 500 kW; TOU-GS-3 is mandatory for SCE customers with maximum demand greater than 200 kW and less than 500 kW; and AL-TOU applies to all SDG&amp;E customers whose monthly maximum demand equals, exceeds, or is expected to equal or exceed 20 kW.  The example PG&amp;E E-19 rate was filed February 29, 2012; the SCE TOU-GS-3 rate was filed December 27, 2011; the SDG&amp;E AL-TOU demand charges were filed February 17, 2012 and energy charges were filed December 29, 2011; the SDG&amp;E EECC AL-TOU commodity rates were filed December 29, 2011 and the SDG&amp;E EECC-CPP-D commodity rates were filed December 29, 2011.  The table does not include all CPP rates at each utility.  Please consult the websites of each utility to obtain the CPP rates that were in effect for specific time</w:t>
      </w:r>
      <w:r>
        <w:t xml:space="preserve"> </w:t>
      </w:r>
      <w:r w:rsidRPr="00292B1C">
        <w:t>periods.</w:t>
      </w:r>
    </w:p>
  </w:footnote>
  <w:footnote w:id="7">
    <w:p w:rsidR="005F105B" w:rsidRDefault="005F105B" w:rsidP="006720A1">
      <w:pPr>
        <w:pStyle w:val="Footnote"/>
      </w:pPr>
      <w:r>
        <w:rPr>
          <w:rStyle w:val="FootnoteReference"/>
        </w:rPr>
        <w:footnoteRef/>
      </w:r>
      <w:r>
        <w:t xml:space="preserve"> A-10 </w:t>
      </w:r>
      <w:r w:rsidRPr="006720A1">
        <w:t>customers</w:t>
      </w:r>
      <w:r>
        <w:t xml:space="preserve"> are not eligible for CR, but they are offered other risk-shifting options to compensate: the every-other-event option and the six-hour-event-period option.</w:t>
      </w:r>
    </w:p>
  </w:footnote>
  <w:footnote w:id="8">
    <w:p w:rsidR="005F105B" w:rsidRDefault="005F105B" w:rsidP="006720A1">
      <w:pPr>
        <w:pStyle w:val="Footnote"/>
      </w:pPr>
      <w:r>
        <w:rPr>
          <w:rStyle w:val="FootnoteReference"/>
        </w:rPr>
        <w:footnoteRef/>
      </w:r>
      <w:r>
        <w:t xml:space="preserve"> Individual customer regressions have certain limitations, especially when few events are called.  See Appendix E for a detailed discussion of some of these limitations.</w:t>
      </w:r>
    </w:p>
  </w:footnote>
  <w:footnote w:id="9">
    <w:p w:rsidR="005F105B" w:rsidRDefault="005F105B" w:rsidP="00292B1C">
      <w:pPr>
        <w:pStyle w:val="Footnote"/>
      </w:pPr>
      <w:r>
        <w:rPr>
          <w:rStyle w:val="FootnoteReference"/>
        </w:rPr>
        <w:footnoteRef/>
      </w:r>
      <w:r>
        <w:t xml:space="preserve"> Running separate models each hour – 24 models – with robust standard errors using OLS produced similar standard errors as time series techniques including Feasible GLS and </w:t>
      </w:r>
      <w:proofErr w:type="spellStart"/>
      <w:r>
        <w:t>Newey</w:t>
      </w:r>
      <w:proofErr w:type="spellEnd"/>
      <w:r>
        <w:t>-West correction for auto-correlation.</w:t>
      </w:r>
    </w:p>
  </w:footnote>
  <w:footnote w:id="10">
    <w:p w:rsidR="005F105B" w:rsidRPr="00227B1B" w:rsidRDefault="005F105B" w:rsidP="00292B1C">
      <w:pPr>
        <w:pStyle w:val="Footnote"/>
      </w:pPr>
      <w:r w:rsidRPr="00227B1B">
        <w:rPr>
          <w:rStyle w:val="FootnoteReference"/>
          <w:szCs w:val="18"/>
        </w:rPr>
        <w:footnoteRef/>
      </w:r>
      <w:r w:rsidRPr="00227B1B">
        <w:t xml:space="preserve"> The prices that SDG&amp;E CPP customers experience in winter are actually slightly lower than the prices they would </w:t>
      </w:r>
      <w:r w:rsidRPr="00292B1C">
        <w:t>experience</w:t>
      </w:r>
      <w:r w:rsidRPr="00227B1B">
        <w:t xml:space="preserve"> on the opt-out TOU rate, but the difference in prices is nominal compared with the price differential in the summer season.</w:t>
      </w:r>
    </w:p>
  </w:footnote>
  <w:footnote w:id="11">
    <w:p w:rsidR="005F105B" w:rsidRDefault="005F105B" w:rsidP="00292B1C">
      <w:pPr>
        <w:pStyle w:val="Footnote"/>
      </w:pPr>
      <w:r>
        <w:rPr>
          <w:rStyle w:val="FootnoteReference"/>
        </w:rPr>
        <w:footnoteRef/>
      </w:r>
      <w:r>
        <w:t xml:space="preserve"> While the effect of rate discounts can, in theory, be estimated using pre-enrollment data for participating customers – an interrupted time series design – we elected not to do so.  In addition to the control group evidence, a key factor in our decision was that the more distant the pre-enrollment data becomes, the harder it becomes to isolate the effect of the rate discount from other factors using an interrupted time series analysis design.  </w:t>
      </w:r>
      <w:r>
        <w:rPr>
          <w:rFonts w:eastAsia="Times New Roman" w:cs="Arial"/>
          <w:color w:val="000000"/>
        </w:rPr>
        <w:t xml:space="preserve">  </w:t>
      </w:r>
    </w:p>
    <w:p w:rsidR="005F105B" w:rsidRDefault="005F105B">
      <w:pPr>
        <w:pStyle w:val="FootnoteText"/>
      </w:pPr>
    </w:p>
  </w:footnote>
  <w:footnote w:id="12">
    <w:p w:rsidR="005F105B" w:rsidRDefault="005F105B" w:rsidP="006720A1">
      <w:pPr>
        <w:pStyle w:val="Footnote"/>
      </w:pPr>
      <w:r>
        <w:rPr>
          <w:rStyle w:val="FootnoteReference"/>
        </w:rPr>
        <w:footnoteRef/>
      </w:r>
      <w:r>
        <w:t xml:space="preserve"> Although the term “event-like days” is used throughout this report to refer to the set of days used for the out-of-sample tests, these days are more extreme in temperature than the actual event days observed in a milder year like 2011.  Holding back five of the seven hottest days creates a more stringent out-of-sample test than picking days that match the actual event days and more closely simulates the ex ante conditions over which the model will have to predict accurately. </w:t>
      </w:r>
    </w:p>
  </w:footnote>
  <w:footnote w:id="13">
    <w:p w:rsidR="005F105B" w:rsidRDefault="005F105B" w:rsidP="006720A1">
      <w:pPr>
        <w:pStyle w:val="Footnote"/>
      </w:pPr>
      <w:r>
        <w:rPr>
          <w:rStyle w:val="FootnoteReference"/>
        </w:rPr>
        <w:footnoteRef/>
      </w:r>
      <w:r>
        <w:t xml:space="preserve"> </w:t>
      </w:r>
      <w:r w:rsidRPr="006720A1">
        <w:t>Statistical</w:t>
      </w:r>
      <w:r>
        <w:t xml:space="preserve"> power is a function of the amount of data.  With a large volume of data even small differences are significant.  </w:t>
      </w:r>
      <w:proofErr w:type="gramStart"/>
      <w:r>
        <w:t>For each customer, almost three years of interval data were used – roughly 16,000 observations.</w:t>
      </w:r>
      <w:proofErr w:type="gramEnd"/>
      <w:r>
        <w:t xml:space="preserve">  For each utility, tens of millions of observations were used in estimating aggregate impacts. </w:t>
      </w:r>
    </w:p>
  </w:footnote>
  <w:footnote w:id="14">
    <w:p w:rsidR="005F105B" w:rsidRPr="0075616D" w:rsidRDefault="005F105B" w:rsidP="00815830">
      <w:pPr>
        <w:pStyle w:val="Footnote"/>
        <w:tabs>
          <w:tab w:val="left" w:pos="8190"/>
        </w:tabs>
      </w:pPr>
      <w:r w:rsidRPr="0075616D">
        <w:rPr>
          <w:rStyle w:val="FootnoteReference"/>
          <w:szCs w:val="18"/>
        </w:rPr>
        <w:footnoteRef/>
      </w:r>
      <w:r w:rsidRPr="0075616D">
        <w:t xml:space="preserve"> The R-Squared value of 0.48 for the Wholesale, Transport and Other Utilities industry segment at SCE is unusually low.  However, this R-Squared value is calculated based on all of the regression predictions across all of the available data for all customers in this segment.  The out</w:t>
      </w:r>
      <w:r>
        <w:t>-</w:t>
      </w:r>
      <w:r w:rsidRPr="0075616D">
        <w:t>of</w:t>
      </w:r>
      <w:r>
        <w:t>-</w:t>
      </w:r>
      <w:r w:rsidRPr="0075616D">
        <w:t xml:space="preserve">sample tests show that the reference load predictions for this segment are biased by </w:t>
      </w:r>
      <w:r>
        <w:t>-1.7%</w:t>
      </w:r>
      <w:r w:rsidRPr="0075616D">
        <w:t xml:space="preserve"> on event-like days.  Most likely, a single large customer </w:t>
      </w:r>
      <w:r>
        <w:t xml:space="preserve">with erratic loads </w:t>
      </w:r>
      <w:r w:rsidRPr="0075616D">
        <w:t>is driving the low</w:t>
      </w:r>
      <w:r>
        <w:t>er than average</w:t>
      </w:r>
      <w:r w:rsidRPr="0075616D">
        <w:t xml:space="preserve"> overall predictive capability for this segment.  The out</w:t>
      </w:r>
      <w:r>
        <w:t>-</w:t>
      </w:r>
      <w:r w:rsidRPr="0075616D">
        <w:t>of</w:t>
      </w:r>
      <w:r>
        <w:t>-</w:t>
      </w:r>
      <w:r w:rsidRPr="0075616D">
        <w:t xml:space="preserve">sample test results </w:t>
      </w:r>
      <w:r>
        <w:t>indicate the regression produce relatively accurate estimates of the reference loads</w:t>
      </w:r>
      <w:r w:rsidRPr="0075616D">
        <w:t>.</w:t>
      </w:r>
    </w:p>
  </w:footnote>
  <w:footnote w:id="15">
    <w:p w:rsidR="005F105B" w:rsidRDefault="005F105B" w:rsidP="00B02F37">
      <w:pPr>
        <w:pStyle w:val="Footnote"/>
      </w:pPr>
      <w:r>
        <w:rPr>
          <w:rStyle w:val="FootnoteReference"/>
        </w:rPr>
        <w:footnoteRef/>
      </w:r>
      <w:r>
        <w:t xml:space="preserve"> We are looking further into the SCE Wholesale and Transport value.  It may be due to a large customer that </w:t>
      </w:r>
      <w:proofErr w:type="gramStart"/>
      <w:r>
        <w:t>drives  the</w:t>
      </w:r>
      <w:proofErr w:type="gramEnd"/>
      <w:r>
        <w:t xml:space="preserve"> overall results for the segment.</w:t>
      </w:r>
    </w:p>
  </w:footnote>
  <w:footnote w:id="16">
    <w:p w:rsidR="005F105B" w:rsidRDefault="005F105B" w:rsidP="001D37BD">
      <w:pPr>
        <w:pStyle w:val="Footnote"/>
      </w:pPr>
      <w:r>
        <w:rPr>
          <w:rStyle w:val="FootnoteReference"/>
        </w:rPr>
        <w:footnoteRef/>
      </w:r>
      <w:r>
        <w:t xml:space="preserve"> Customers are classified as small, medium and large based on maximum demand levels rather than average demand levels.  As a result, many customers with average demand of 100 kW and below may look more like medium customers.  In addition, some customers that met the definition of large customers, at the time, were defaulted onto CPP, but no longer meet the definition of large customers. Many of these customers remain on CPP rates.</w:t>
      </w:r>
    </w:p>
  </w:footnote>
  <w:footnote w:id="17">
    <w:p w:rsidR="005F105B" w:rsidRDefault="005F105B">
      <w:pPr>
        <w:pStyle w:val="Footnote"/>
      </w:pPr>
      <w:r>
        <w:rPr>
          <w:rStyle w:val="FootnoteReference"/>
        </w:rPr>
        <w:footnoteRef/>
      </w:r>
      <w:r>
        <w:t xml:space="preserve"> See Appendix F for an illustration of the relationship between temperature and load impacts.  </w:t>
      </w:r>
    </w:p>
  </w:footnote>
  <w:footnote w:id="18">
    <w:p w:rsidR="005F105B" w:rsidRDefault="005F105B" w:rsidP="002A5ABE">
      <w:pPr>
        <w:pStyle w:val="Footnote"/>
      </w:pPr>
      <w:r>
        <w:rPr>
          <w:rStyle w:val="FootnoteReference"/>
        </w:rPr>
        <w:footnoteRef/>
      </w:r>
      <w:r>
        <w:t xml:space="preserve"> As </w:t>
      </w:r>
      <w:r w:rsidRPr="004433C4">
        <w:t>noted</w:t>
      </w:r>
      <w:r>
        <w:t xml:space="preserve"> in Section 2, we conducted out-of-sample tests for each customer using eight models that varied in how weather variables were defined (including no weather sensitivity), and the inclusion of monthly or seasonal effect were tested for each customers.  The model that produced the most accurate out-of-sample predictions was selected for each customer.  In 2010, all </w:t>
      </w:r>
      <w:proofErr w:type="gramStart"/>
      <w:r>
        <w:t>customers</w:t>
      </w:r>
      <w:proofErr w:type="gramEnd"/>
      <w:r>
        <w:t xml:space="preserve"> results were based on the same regression model.</w:t>
      </w:r>
    </w:p>
  </w:footnote>
  <w:footnote w:id="19">
    <w:p w:rsidR="005F105B" w:rsidRDefault="005F105B" w:rsidP="00F749A3">
      <w:pPr>
        <w:pStyle w:val="FootnoteText"/>
      </w:pPr>
      <w:r>
        <w:rPr>
          <w:rStyle w:val="FootnoteReference"/>
        </w:rPr>
        <w:footnoteRef/>
      </w:r>
      <w:r>
        <w:t xml:space="preserve"> A customer is defined as large if their summer max demand equals or exceeds 200 kW.</w:t>
      </w:r>
    </w:p>
  </w:footnote>
  <w:footnote w:id="20">
    <w:p w:rsidR="005F105B" w:rsidRDefault="005F105B" w:rsidP="00F749A3">
      <w:pPr>
        <w:pStyle w:val="Footnote"/>
      </w:pPr>
      <w:r>
        <w:rPr>
          <w:rStyle w:val="FootnoteReference"/>
        </w:rPr>
        <w:footnoteRef/>
      </w:r>
      <w:r>
        <w:t xml:space="preserve"> Customers are classified as small, medium and large based on maximum demand levels rather than average demand levels.  As a result, customers with average demand of 100 kW include many customers that would normally be classified as large.</w:t>
      </w:r>
    </w:p>
  </w:footnote>
  <w:footnote w:id="21">
    <w:p w:rsidR="005F105B" w:rsidRDefault="005F105B" w:rsidP="00D13343">
      <w:pPr>
        <w:pStyle w:val="Footnote"/>
      </w:pPr>
      <w:r>
        <w:rPr>
          <w:rStyle w:val="FootnoteReference"/>
        </w:rPr>
        <w:footnoteRef/>
      </w:r>
      <w:r>
        <w:t xml:space="preserve"> Though the term “event-like days” is used throughout these appendices to refer to the set of days used for the out-of-sample tests, these days are more extreme in temperature than the actual event days observed in a milder year like 2011.  Holding back 5 of the 7 hottest days creates a more stringent out-of-sample test than picking days that match the actual event days and more closely simulates the ex ante conditions over which the model will have to predict accurately.</w:t>
      </w:r>
    </w:p>
  </w:footnote>
  <w:footnote w:id="22">
    <w:p w:rsidR="005F105B" w:rsidRDefault="005F105B" w:rsidP="00D13343">
      <w:pPr>
        <w:pStyle w:val="Footnote"/>
      </w:pPr>
      <w:r>
        <w:rPr>
          <w:rStyle w:val="FootnoteReference"/>
        </w:rPr>
        <w:footnoteRef/>
      </w:r>
      <w:r>
        <w:t xml:space="preserve"> FSC has used this strategy in various forms in several recent evaluations, such as the 2010 PG&amp;E </w:t>
      </w:r>
      <w:proofErr w:type="spellStart"/>
      <w:r>
        <w:t>SmartAC</w:t>
      </w:r>
      <w:proofErr w:type="spellEnd"/>
      <w:r>
        <w:t xml:space="preserve"> evaluation, the 2010 PG&amp;E </w:t>
      </w:r>
      <w:proofErr w:type="spellStart"/>
      <w:r>
        <w:t>SmartRate</w:t>
      </w:r>
      <w:proofErr w:type="spellEnd"/>
      <w:r>
        <w:t xml:space="preserve"> evaluation, the 2010 Statewide CPP evaluation and the 2010 evaluation of PG&amp;E’s Customer Web Presentment and Energy Alerts Programs.  FSC also used a randomly-drawn (rather than matched) control group in the 2010 SDG&amp;E Summer Saver Program.</w:t>
      </w:r>
    </w:p>
  </w:footnote>
  <w:footnote w:id="23">
    <w:p w:rsidR="005F105B" w:rsidRPr="00CD5CFC" w:rsidRDefault="005F105B" w:rsidP="001D6767">
      <w:pPr>
        <w:pStyle w:val="Footnote"/>
      </w:pPr>
      <w:r w:rsidRPr="00CD5CFC">
        <w:rPr>
          <w:rStyle w:val="FootnoteReference"/>
          <w:szCs w:val="18"/>
        </w:rPr>
        <w:footnoteRef/>
      </w:r>
      <w:r w:rsidRPr="00CD5CFC">
        <w:t xml:space="preserve"> As mentioned earlier, the prices that SDG&amp;E CPP customers experience in winter are actually slightly lower than the prices they would experience on the opt-out TOU rate, but the difference in prices is nominal compared with the price differential in the summer season.</w:t>
      </w:r>
    </w:p>
  </w:footnote>
  <w:footnote w:id="24">
    <w:p w:rsidR="005F105B" w:rsidRDefault="005F105B" w:rsidP="003F11E9">
      <w:pPr>
        <w:pStyle w:val="Footnote"/>
      </w:pPr>
      <w:r>
        <w:rPr>
          <w:rStyle w:val="FootnoteReference"/>
        </w:rPr>
        <w:footnoteRef/>
      </w:r>
      <w:r>
        <w:t xml:space="preserve"> To adjust the opt-out TOU group loads on the actual event days, the following formula was used:</w:t>
      </w:r>
    </w:p>
    <w:p w:rsidR="005F105B" w:rsidRDefault="005F105B" w:rsidP="003F11E9">
      <w:pPr>
        <w:pStyle w:val="Footnote"/>
      </w:pPr>
      <m:oMathPara>
        <m:oMathParaPr>
          <m:jc m:val="left"/>
        </m:oMathParaPr>
        <m:oMath>
          <m:r>
            <w:rPr>
              <w:rFonts w:ascii="Cambria Math" w:hAnsi="Cambria Math"/>
            </w:rPr>
            <m:t>kWh_TOU_adj=kWh_TOU-(cntrldays_kWh_TOU-cntrldays_kWh_CPP).</m:t>
          </m:r>
        </m:oMath>
      </m:oMathPara>
    </w:p>
    <w:p w:rsidR="005F105B" w:rsidRDefault="005F105B">
      <w:pPr>
        <w:pStyle w:val="FootnoteText"/>
      </w:pPr>
    </w:p>
  </w:footnote>
  <w:footnote w:id="25">
    <w:p w:rsidR="005F105B" w:rsidRDefault="005F105B" w:rsidP="007E0558">
      <w:pPr>
        <w:pStyle w:val="Footnote"/>
      </w:pPr>
      <w:r>
        <w:rPr>
          <w:rStyle w:val="FootnoteReference"/>
        </w:rPr>
        <w:footnoteRef/>
      </w:r>
      <w:r>
        <w:t xml:space="preserve"> The alternative, specifying a variable for each event hour for each customer, leads the event variables to absorb all prediction errors since the regression lacks information to able to distinguish what is different about that particular hour from error in the prediction of electricity use. </w:t>
      </w:r>
    </w:p>
  </w:footnote>
  <w:footnote w:id="26">
    <w:p w:rsidR="005F105B" w:rsidRDefault="005F105B" w:rsidP="0022593D">
      <w:pPr>
        <w:pStyle w:val="Footnote"/>
      </w:pPr>
      <w:r>
        <w:rPr>
          <w:rStyle w:val="FootnoteReference"/>
        </w:rPr>
        <w:footnoteRef/>
      </w:r>
      <w:r>
        <w:t xml:space="preserve"> The alternative, specifying a variable for each event hour for each customer, leads the event variables to absorb all prediction errors since the regression lacks information to able to distinguish what is different about that particular hour from error in the prediction of electricity use.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5F105B" w:rsidP="00DB35F9">
    <w:pPr>
      <w:pStyle w:val="Header"/>
      <w:tabs>
        <w:tab w:val="left" w:pos="360"/>
        <w:tab w:val="left" w:pos="8910"/>
        <w:tab w:val="left" w:pos="9000"/>
      </w:tabs>
    </w:pPr>
    <w:r w:rsidRPr="00EB2941">
      <w:rPr>
        <w:noProof/>
      </w:rPr>
      <w:drawing>
        <wp:inline distT="0" distB="0" distL="0" distR="0">
          <wp:extent cx="4274185" cy="690880"/>
          <wp:effectExtent l="19050" t="0" r="0" b="0"/>
          <wp:docPr id="8"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74185" cy="690880"/>
                  </a:xfrm>
                  <a:prstGeom prst="rect">
                    <a:avLst/>
                  </a:prstGeom>
                  <a:noFill/>
                  <a:ln w="9525">
                    <a:noFill/>
                    <a:miter lim="800000"/>
                    <a:headEnd/>
                    <a:tailEnd/>
                  </a:ln>
                </pic:spPr>
              </pic:pic>
            </a:graphicData>
          </a:graphic>
        </wp:inline>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4433C4">
    <w:pPr>
      <w:pStyle w:val="Header"/>
      <w:tabs>
        <w:tab w:val="left" w:pos="360"/>
        <w:tab w:val="left" w:pos="8910"/>
        <w:tab w:val="left" w:pos="9000"/>
        <w:tab w:val="left" w:pos="10080"/>
      </w:tabs>
    </w:pPr>
    <w:r>
      <w:rPr>
        <w:noProof/>
      </w:rPr>
    </w:r>
    <w:r>
      <w:rPr>
        <w:noProof/>
      </w:rPr>
      <w:pict>
        <v:shapetype id="_x0000_t32" coordsize="21600,21600" o:spt="32" o:oned="t" path="m,l21600,21600e" filled="f">
          <v:path arrowok="t" fillok="f" o:connecttype="none"/>
          <o:lock v:ext="edit" shapetype="t"/>
        </v:shapetype>
        <v:shape id="AutoShape 5" o:spid="_x0000_s6150" type="#_x0000_t32" style="width:473.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" strokecolor="#5f497a [2407]">
          <w10:wrap type="none"/>
          <w10:anchorlock/>
        </v:shape>
      </w:pict>
    </w:r>
    <w:r w:rsidR="005F105B">
      <w:rPr>
        <w:noProof/>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4433C4">
    <w:pPr>
      <w:pStyle w:val="Header"/>
      <w:tabs>
        <w:tab w:val="left" w:pos="360"/>
        <w:tab w:val="left" w:pos="8910"/>
        <w:tab w:val="left" w:pos="9000"/>
        <w:tab w:val="left" w:pos="10080"/>
      </w:tabs>
    </w:pPr>
    <w:r>
      <w:rPr>
        <w:noProof/>
      </w:rPr>
    </w:r>
    <w:r>
      <w:rPr>
        <w:noProof/>
      </w:rPr>
      <w:pict>
        <v:shapetype id="_x0000_t32" coordsize="21600,21600" o:spt="32" o:oned="t" path="m,l21600,21600e" filled="f">
          <v:path arrowok="t" fillok="f" o:connecttype="none"/>
          <o:lock v:ext="edit" shapetype="t"/>
        </v:shapetype>
        <v:shape id="AutoShape 4" o:spid="_x0000_s6149" type="#_x0000_t32" style="width:650.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" strokecolor="#5f497a [2407]">
          <w10:wrap type="none"/>
          <w10:anchorlock/>
        </v:shape>
      </w:pict>
    </w:r>
    <w:r w:rsidR="005F105B">
      <w:rPr>
        <w:noProof/>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6148" type="#_x0000_t34" style="width:49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" strokecolor="#5f497a [2407]">
          <w10:wrap type="none"/>
          <w10:anchorlock/>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6147" type="#_x0000_t34" style="width:656.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" adj="10799" strokecolor="#5f497a [2407]">
          <w10:wrap type="none"/>
          <w10:anchorlock/>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6146" type="#_x0000_t34" style="width:49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" strokecolor="#5f497a [2407]">
          <w10:wrap type="none"/>
          <w10:anchorlock/>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145" type="#_x0000_t34" style="width:498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" strokecolor="#5f497a [2407]">
          <w10:wrap type="none"/>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5F105B">
    <w:pPr>
      <w:pStyle w:val="Header"/>
    </w:pPr>
    <w:r w:rsidRPr="007A2A2A">
      <w:rPr>
        <w:noProof/>
      </w:rPr>
      <w:drawing>
        <wp:anchor distT="0" distB="0" distL="114300" distR="114300" simplePos="0" relativeHeight="251663360" behindDoc="0" locked="0" layoutInCell="1" allowOverlap="1">
          <wp:simplePos x="0" y="0"/>
          <wp:positionH relativeFrom="column">
            <wp:posOffset>-733806</wp:posOffset>
          </wp:positionH>
          <wp:positionV relativeFrom="paragraph">
            <wp:posOffset>-67056</wp:posOffset>
          </wp:positionV>
          <wp:extent cx="4272534" cy="694944"/>
          <wp:effectExtent l="19050" t="0" r="0" b="0"/>
          <wp:wrapNone/>
          <wp:docPr id="17"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67835" cy="68834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_x0000_s6156" type="#_x0000_t32" style="width:473.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" strokecolor="#5f497a [2407]">
          <w10:wrap type="non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5F105B" w:rsidP="00B50663">
    <w:pPr>
      <w:pStyle w:val="Header"/>
      <w:jc w:val="center"/>
    </w:pPr>
    <w:r w:rsidRPr="00E92F4E">
      <w:rPr>
        <w:noProof/>
      </w:rPr>
      <w:drawing>
        <wp:inline distT="0" distB="0" distL="0" distR="0">
          <wp:extent cx="2243455" cy="999490"/>
          <wp:effectExtent l="1905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43455" cy="99949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10" o:spid="_x0000_s6155" type="#_x0000_t32" style="width:675.9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" strokecolor="#5f497a [2407]">
          <w10:wrap type="none"/>
          <w10:anchorlock/>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_x0000_s6154" type="#_x0000_t32" style="width:473.8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" strokecolor="#5f497a [2407]">
          <w10:wrap type="none"/>
          <w10:anchorlock/>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6153" type="#_x0000_t34" style="width:655.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" strokecolor="#5f497a [2407]">
          <w10:wrap type="none"/>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_x0000_s6152" type="#_x0000_t32" style="width:503.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" strokecolor="#5f497a [2407]">
          <w10:wrap type="none"/>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05B" w:rsidRDefault="00A73155" w:rsidP="00DB35F9">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AutoShape 6" o:spid="_x0000_s6151" type="#_x0000_t32" style="width:651.9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" strokecolor="#5f497a [2407]">
          <w10:wrap type="non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E39"/>
    <w:multiLevelType w:val="hybridMultilevel"/>
    <w:tmpl w:val="F9ACE4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2FFC"/>
    <w:multiLevelType w:val="hybridMultilevel"/>
    <w:tmpl w:val="8F147BEA"/>
    <w:lvl w:ilvl="0" w:tplc="04090011">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2">
    <w:nsid w:val="033F33D8"/>
    <w:multiLevelType w:val="hybridMultilevel"/>
    <w:tmpl w:val="61346B64"/>
    <w:lvl w:ilvl="0" w:tplc="FFFFFFFF">
      <w:start w:val="1"/>
      <w:numFmt w:val="bullet"/>
      <w:pStyle w:val="Bullet"/>
      <w:lvlText w:val=""/>
      <w:lvlJc w:val="left"/>
      <w:pPr>
        <w:tabs>
          <w:tab w:val="num" w:pos="720"/>
        </w:tabs>
        <w:ind w:left="720" w:hanging="360"/>
      </w:pPr>
      <w:rPr>
        <w:rFonts w:ascii="Wingdings" w:hAnsi="Wingdings" w:hint="default"/>
        <w:color w:val="433B6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2F5674"/>
    <w:multiLevelType w:val="hybridMultilevel"/>
    <w:tmpl w:val="652A9A1E"/>
    <w:lvl w:ilvl="0" w:tplc="F5241B0E">
      <w:start w:val="6"/>
      <w:numFmt w:val="decimal"/>
      <w:pStyle w:val="NumbersLa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A593E"/>
    <w:multiLevelType w:val="hybridMultilevel"/>
    <w:tmpl w:val="B2783E60"/>
    <w:lvl w:ilvl="0" w:tplc="63981C66">
      <w:start w:val="1"/>
      <w:numFmt w:val="bullet"/>
      <w:pStyle w:val="Bullets"/>
      <w:lvlText w:val=""/>
      <w:lvlJc w:val="left"/>
      <w:pPr>
        <w:tabs>
          <w:tab w:val="num" w:pos="720"/>
        </w:tabs>
        <w:ind w:left="720" w:hanging="360"/>
      </w:pPr>
      <w:rPr>
        <w:rFonts w:ascii="Wingdings" w:hAnsi="Wingding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7561E2"/>
    <w:multiLevelType w:val="hybridMultilevel"/>
    <w:tmpl w:val="6F6C1304"/>
    <w:lvl w:ilvl="0" w:tplc="FB1E35EA">
      <w:start w:val="1"/>
      <w:numFmt w:val="decimal"/>
      <w:pStyle w:val="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90431"/>
    <w:multiLevelType w:val="multilevel"/>
    <w:tmpl w:val="E47C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76130C"/>
    <w:multiLevelType w:val="multilevel"/>
    <w:tmpl w:val="B7DCE0FE"/>
    <w:lvl w:ilvl="0">
      <w:start w:val="4"/>
      <w:numFmt w:val="decimal"/>
      <w:lvlText w:val="%1"/>
      <w:lvlJc w:val="left"/>
      <w:pPr>
        <w:ind w:left="360" w:hanging="360"/>
      </w:pPr>
      <w:rPr>
        <w:rFonts w:hint="default"/>
      </w:rPr>
    </w:lvl>
    <w:lvl w:ilvl="1">
      <w:start w:val="5"/>
      <w:numFmt w:val="decimal"/>
      <w:lvlText w:val="%1.%2"/>
      <w:lvlJc w:val="left"/>
      <w:pPr>
        <w:ind w:left="1447" w:hanging="720"/>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6162" w:hanging="180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976" w:hanging="2160"/>
      </w:pPr>
      <w:rPr>
        <w:rFonts w:hint="default"/>
      </w:rPr>
    </w:lvl>
  </w:abstractNum>
  <w:abstractNum w:abstractNumId="8">
    <w:nsid w:val="16932CB6"/>
    <w:multiLevelType w:val="hybridMultilevel"/>
    <w:tmpl w:val="04D023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EE0883"/>
    <w:multiLevelType w:val="hybridMultilevel"/>
    <w:tmpl w:val="87BE1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D1F5F"/>
    <w:multiLevelType w:val="hybridMultilevel"/>
    <w:tmpl w:val="7E946DA4"/>
    <w:lvl w:ilvl="0" w:tplc="0409000F">
      <w:start w:val="1"/>
      <w:numFmt w:val="decimal"/>
      <w:lvlText w:val="%1."/>
      <w:lvlJc w:val="left"/>
      <w:pPr>
        <w:tabs>
          <w:tab w:val="num" w:pos="720"/>
        </w:tabs>
        <w:ind w:left="720" w:hanging="360"/>
      </w:pPr>
      <w:rPr>
        <w:rFont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0E263D"/>
    <w:multiLevelType w:val="multilevel"/>
    <w:tmpl w:val="89EEFE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C643E37"/>
    <w:multiLevelType w:val="hybridMultilevel"/>
    <w:tmpl w:val="8C9255A6"/>
    <w:lvl w:ilvl="0" w:tplc="0409000F">
      <w:start w:val="1"/>
      <w:numFmt w:val="decimal"/>
      <w:lvlText w:val="%1."/>
      <w:lvlJc w:val="left"/>
      <w:pPr>
        <w:ind w:left="720" w:hanging="360"/>
      </w:pPr>
    </w:lvl>
    <w:lvl w:ilvl="1" w:tplc="F322204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44EB4"/>
    <w:multiLevelType w:val="hybridMultilevel"/>
    <w:tmpl w:val="0F78D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3C3D61"/>
    <w:multiLevelType w:val="hybridMultilevel"/>
    <w:tmpl w:val="C8B42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AB2635"/>
    <w:multiLevelType w:val="hybridMultilevel"/>
    <w:tmpl w:val="3E64E9D0"/>
    <w:lvl w:ilvl="0" w:tplc="9684AAE2">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40FED"/>
    <w:multiLevelType w:val="hybridMultilevel"/>
    <w:tmpl w:val="6FB620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856309"/>
    <w:multiLevelType w:val="hybridMultilevel"/>
    <w:tmpl w:val="3426DBE8"/>
    <w:lvl w:ilvl="0" w:tplc="50FC328E">
      <w:start w:val="1"/>
      <w:numFmt w:val="decimal"/>
      <w:lvlText w:val="%1."/>
      <w:lvlJc w:val="left"/>
      <w:pPr>
        <w:tabs>
          <w:tab w:val="num" w:pos="720"/>
        </w:tabs>
        <w:ind w:left="720" w:hanging="360"/>
      </w:pPr>
      <w:rPr>
        <w:rFonts w:hint="default"/>
        <w:color w:val="433B67"/>
      </w:rPr>
    </w:lvl>
    <w:lvl w:ilvl="1" w:tplc="C47ECAB4" w:tentative="1">
      <w:start w:val="1"/>
      <w:numFmt w:val="bullet"/>
      <w:lvlText w:val="o"/>
      <w:lvlJc w:val="left"/>
      <w:pPr>
        <w:tabs>
          <w:tab w:val="num" w:pos="1440"/>
        </w:tabs>
        <w:ind w:left="1440" w:hanging="360"/>
      </w:pPr>
      <w:rPr>
        <w:rFonts w:ascii="Courier New" w:hAnsi="Courier New" w:cs="Courier New" w:hint="default"/>
      </w:rPr>
    </w:lvl>
    <w:lvl w:ilvl="2" w:tplc="0F4E9106" w:tentative="1">
      <w:start w:val="1"/>
      <w:numFmt w:val="bullet"/>
      <w:lvlText w:val=""/>
      <w:lvlJc w:val="left"/>
      <w:pPr>
        <w:tabs>
          <w:tab w:val="num" w:pos="2160"/>
        </w:tabs>
        <w:ind w:left="2160" w:hanging="360"/>
      </w:pPr>
      <w:rPr>
        <w:rFonts w:ascii="Wingdings" w:hAnsi="Wingdings" w:hint="default"/>
      </w:rPr>
    </w:lvl>
    <w:lvl w:ilvl="3" w:tplc="2DB00D88" w:tentative="1">
      <w:start w:val="1"/>
      <w:numFmt w:val="bullet"/>
      <w:lvlText w:val=""/>
      <w:lvlJc w:val="left"/>
      <w:pPr>
        <w:tabs>
          <w:tab w:val="num" w:pos="2880"/>
        </w:tabs>
        <w:ind w:left="2880" w:hanging="360"/>
      </w:pPr>
      <w:rPr>
        <w:rFonts w:ascii="Symbol" w:hAnsi="Symbol" w:hint="default"/>
      </w:rPr>
    </w:lvl>
    <w:lvl w:ilvl="4" w:tplc="7B78473C" w:tentative="1">
      <w:start w:val="1"/>
      <w:numFmt w:val="bullet"/>
      <w:lvlText w:val="o"/>
      <w:lvlJc w:val="left"/>
      <w:pPr>
        <w:tabs>
          <w:tab w:val="num" w:pos="3600"/>
        </w:tabs>
        <w:ind w:left="3600" w:hanging="360"/>
      </w:pPr>
      <w:rPr>
        <w:rFonts w:ascii="Courier New" w:hAnsi="Courier New" w:cs="Courier New" w:hint="default"/>
      </w:rPr>
    </w:lvl>
    <w:lvl w:ilvl="5" w:tplc="4678B7CE" w:tentative="1">
      <w:start w:val="1"/>
      <w:numFmt w:val="bullet"/>
      <w:lvlText w:val=""/>
      <w:lvlJc w:val="left"/>
      <w:pPr>
        <w:tabs>
          <w:tab w:val="num" w:pos="4320"/>
        </w:tabs>
        <w:ind w:left="4320" w:hanging="360"/>
      </w:pPr>
      <w:rPr>
        <w:rFonts w:ascii="Wingdings" w:hAnsi="Wingdings" w:hint="default"/>
      </w:rPr>
    </w:lvl>
    <w:lvl w:ilvl="6" w:tplc="D152DDB0" w:tentative="1">
      <w:start w:val="1"/>
      <w:numFmt w:val="bullet"/>
      <w:lvlText w:val=""/>
      <w:lvlJc w:val="left"/>
      <w:pPr>
        <w:tabs>
          <w:tab w:val="num" w:pos="5040"/>
        </w:tabs>
        <w:ind w:left="5040" w:hanging="360"/>
      </w:pPr>
      <w:rPr>
        <w:rFonts w:ascii="Symbol" w:hAnsi="Symbol" w:hint="default"/>
      </w:rPr>
    </w:lvl>
    <w:lvl w:ilvl="7" w:tplc="5972C22E" w:tentative="1">
      <w:start w:val="1"/>
      <w:numFmt w:val="bullet"/>
      <w:lvlText w:val="o"/>
      <w:lvlJc w:val="left"/>
      <w:pPr>
        <w:tabs>
          <w:tab w:val="num" w:pos="5760"/>
        </w:tabs>
        <w:ind w:left="5760" w:hanging="360"/>
      </w:pPr>
      <w:rPr>
        <w:rFonts w:ascii="Courier New" w:hAnsi="Courier New" w:cs="Courier New" w:hint="default"/>
      </w:rPr>
    </w:lvl>
    <w:lvl w:ilvl="8" w:tplc="E828E9E0" w:tentative="1">
      <w:start w:val="1"/>
      <w:numFmt w:val="bullet"/>
      <w:lvlText w:val=""/>
      <w:lvlJc w:val="left"/>
      <w:pPr>
        <w:tabs>
          <w:tab w:val="num" w:pos="6480"/>
        </w:tabs>
        <w:ind w:left="6480" w:hanging="360"/>
      </w:pPr>
      <w:rPr>
        <w:rFonts w:ascii="Wingdings" w:hAnsi="Wingdings" w:hint="default"/>
      </w:rPr>
    </w:lvl>
  </w:abstractNum>
  <w:abstractNum w:abstractNumId="19">
    <w:nsid w:val="3DFF16AC"/>
    <w:multiLevelType w:val="hybridMultilevel"/>
    <w:tmpl w:val="CEF40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4B0540"/>
    <w:multiLevelType w:val="hybridMultilevel"/>
    <w:tmpl w:val="403CA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6945B55"/>
    <w:multiLevelType w:val="hybridMultilevel"/>
    <w:tmpl w:val="49B87B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497E68"/>
    <w:multiLevelType w:val="multilevel"/>
    <w:tmpl w:val="9BE29D1A"/>
    <w:lvl w:ilvl="0">
      <w:start w:val="1"/>
      <w:numFmt w:val="upperLetter"/>
      <w:pStyle w:val="AppendixHeading"/>
      <w:lvlText w:val="Appendix %1."/>
      <w:lvlJc w:val="left"/>
      <w:pPr>
        <w:ind w:left="360" w:hanging="360"/>
      </w:pPr>
      <w:rPr>
        <w:rFonts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1">
      <w:start w:val="1"/>
      <w:numFmt w:val="decimal"/>
      <w:pStyle w:val="AppendixHeading2"/>
      <w:lvlText w:val="%1.%2."/>
      <w:lvlJc w:val="left"/>
      <w:pPr>
        <w:ind w:left="882" w:hanging="432"/>
      </w:pPr>
      <w:rPr>
        <w:rFonts w:ascii="TitilliumText22L Rg" w:hAnsi="TitilliumText22L Rg" w:cs="Arial"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2">
      <w:start w:val="1"/>
      <w:numFmt w:val="decimal"/>
      <w:pStyle w:val="AppendixHeading3"/>
      <w:lvlText w:val="%1.%2.%3."/>
      <w:lvlJc w:val="left"/>
      <w:pPr>
        <w:ind w:left="1494" w:hanging="504"/>
      </w:pPr>
      <w:rPr>
        <w:rFonts w:ascii="Arial" w:hAnsi="Arial" w:cs="Arial"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B2120AF"/>
    <w:multiLevelType w:val="hybridMultilevel"/>
    <w:tmpl w:val="F9ACE4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0F2EE8"/>
    <w:multiLevelType w:val="multilevel"/>
    <w:tmpl w:val="9F68006A"/>
    <w:styleLink w:val="Numbered"/>
    <w:lvl w:ilvl="0">
      <w:start w:val="1"/>
      <w:numFmt w:val="decimal"/>
      <w:lvlText w:val="%1"/>
      <w:lvlJc w:val="left"/>
      <w:pPr>
        <w:tabs>
          <w:tab w:val="num" w:pos="720"/>
        </w:tabs>
        <w:ind w:left="720" w:hanging="360"/>
      </w:pPr>
      <w:rPr>
        <w:rFonts w:ascii="Arial" w:hAnsi="Arial"/>
        <w:dstrike w:val="0"/>
        <w:color w:val="000000" w:themeColor="text1"/>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2"/>
  </w:num>
  <w:num w:numId="3">
    <w:abstractNumId w:val="11"/>
  </w:num>
  <w:num w:numId="4">
    <w:abstractNumId w:val="24"/>
  </w:num>
  <w:num w:numId="5">
    <w:abstractNumId w:val="12"/>
  </w:num>
  <w:num w:numId="6">
    <w:abstractNumId w:val="5"/>
  </w:num>
  <w:num w:numId="7">
    <w:abstractNumId w:val="3"/>
  </w:num>
  <w:num w:numId="8">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11"/>
  </w:num>
  <w:num w:numId="13">
    <w:abstractNumId w:val="4"/>
  </w:num>
  <w:num w:numId="14">
    <w:abstractNumId w:val="5"/>
    <w:lvlOverride w:ilvl="0">
      <w:startOverride w:val="1"/>
    </w:lvlOverride>
  </w:num>
  <w:num w:numId="15">
    <w:abstractNumId w:val="2"/>
  </w:num>
  <w:num w:numId="16">
    <w:abstractNumId w:val="1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4"/>
  </w:num>
  <w:num w:numId="20">
    <w:abstractNumId w:val="23"/>
  </w:num>
  <w:num w:numId="21">
    <w:abstractNumId w:val="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9"/>
  </w:num>
  <w:num w:numId="27">
    <w:abstractNumId w:val="21"/>
  </w:num>
  <w:num w:numId="28">
    <w:abstractNumId w:val="1"/>
  </w:num>
  <w:num w:numId="29">
    <w:abstractNumId w:val="16"/>
  </w:num>
  <w:num w:numId="30">
    <w:abstractNumId w:val="6"/>
  </w:num>
  <w:num w:numId="31">
    <w:abstractNumId w:val="13"/>
  </w:num>
  <w:num w:numId="32">
    <w:abstractNumId w:val="1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stylePaneSortMethod w:val="0000"/>
  <w:defaultTabStop w:val="720"/>
  <w:drawingGridHorizontalSpacing w:val="110"/>
  <w:displayHorizontalDrawingGridEvery w:val="2"/>
  <w:characterSpacingControl w:val="doNotCompress"/>
  <w:hdrShapeDefaults>
    <o:shapedefaults v:ext="edit" spidmax="6157"/>
    <o:shapelayout v:ext="edit">
      <o:idmap v:ext="edit" data="6"/>
      <o:rules v:ext="edit">
        <o:r id="V:Rule13" type="connector" idref="#_x0000_s6145"/>
        <o:r id="V:Rule14" type="connector" idref="#AutoShape 2"/>
        <o:r id="V:Rule15" type="connector" idref="#_x0000_s6156"/>
        <o:r id="V:Rule16" type="connector" idref="#AutoShape 10"/>
        <o:r id="V:Rule17" type="connector" idref="#AutoShape 5"/>
        <o:r id="V:Rule18" type="connector" idref="#_x0000_s6154"/>
        <o:r id="V:Rule19" type="connector" idref="#AutoShape 3"/>
        <o:r id="V:Rule20" type="connector" idref="#_x0000_s6152"/>
        <o:r id="V:Rule21" type="connector" idref="#AutoShape 4"/>
        <o:r id="V:Rule22" type="connector" idref="#AutoShape 1"/>
        <o:r id="V:Rule23" type="connector" idref="#AutoShape 8"/>
        <o:r id="V:Rule24" type="connector" idref="#AutoShape 6"/>
      </o:rules>
    </o:shapelayout>
  </w:hdrShapeDefaults>
  <w:footnotePr>
    <w:footnote w:id="-1"/>
    <w:footnote w:id="0"/>
  </w:footnotePr>
  <w:endnotePr>
    <w:endnote w:id="-1"/>
    <w:endnote w:id="0"/>
  </w:endnotePr>
  <w:compat>
    <w:useFELayout/>
  </w:compat>
  <w:rsids>
    <w:rsidRoot w:val="00462B2D"/>
    <w:rsid w:val="000013FF"/>
    <w:rsid w:val="00003EA2"/>
    <w:rsid w:val="00005225"/>
    <w:rsid w:val="00010383"/>
    <w:rsid w:val="00014131"/>
    <w:rsid w:val="000226BC"/>
    <w:rsid w:val="00024FE8"/>
    <w:rsid w:val="0002511E"/>
    <w:rsid w:val="0003793A"/>
    <w:rsid w:val="0004485B"/>
    <w:rsid w:val="00051166"/>
    <w:rsid w:val="00052A56"/>
    <w:rsid w:val="00055043"/>
    <w:rsid w:val="000577B8"/>
    <w:rsid w:val="0006172C"/>
    <w:rsid w:val="00064EF5"/>
    <w:rsid w:val="00074B3F"/>
    <w:rsid w:val="000820BE"/>
    <w:rsid w:val="00082556"/>
    <w:rsid w:val="000839EF"/>
    <w:rsid w:val="00084069"/>
    <w:rsid w:val="0008762E"/>
    <w:rsid w:val="00091A93"/>
    <w:rsid w:val="000921AB"/>
    <w:rsid w:val="0009798F"/>
    <w:rsid w:val="000A05D9"/>
    <w:rsid w:val="000A30E4"/>
    <w:rsid w:val="000B00EF"/>
    <w:rsid w:val="000B20BF"/>
    <w:rsid w:val="000B4746"/>
    <w:rsid w:val="000C06BA"/>
    <w:rsid w:val="000C0FE4"/>
    <w:rsid w:val="000C2CB2"/>
    <w:rsid w:val="000C2D82"/>
    <w:rsid w:val="000C3991"/>
    <w:rsid w:val="000C5046"/>
    <w:rsid w:val="000C721E"/>
    <w:rsid w:val="000D4DBD"/>
    <w:rsid w:val="000D4ED6"/>
    <w:rsid w:val="000E4909"/>
    <w:rsid w:val="000E4C22"/>
    <w:rsid w:val="00100B9C"/>
    <w:rsid w:val="00104C07"/>
    <w:rsid w:val="00107177"/>
    <w:rsid w:val="00114605"/>
    <w:rsid w:val="00121223"/>
    <w:rsid w:val="00121574"/>
    <w:rsid w:val="00124204"/>
    <w:rsid w:val="0013172D"/>
    <w:rsid w:val="00135C7C"/>
    <w:rsid w:val="00137F86"/>
    <w:rsid w:val="00140956"/>
    <w:rsid w:val="00141F8E"/>
    <w:rsid w:val="00142ACF"/>
    <w:rsid w:val="00143F0C"/>
    <w:rsid w:val="0015089D"/>
    <w:rsid w:val="001533C7"/>
    <w:rsid w:val="00154C07"/>
    <w:rsid w:val="00162891"/>
    <w:rsid w:val="00162E25"/>
    <w:rsid w:val="00163508"/>
    <w:rsid w:val="00167C18"/>
    <w:rsid w:val="001700F2"/>
    <w:rsid w:val="00176610"/>
    <w:rsid w:val="001802AA"/>
    <w:rsid w:val="00181D50"/>
    <w:rsid w:val="001826C6"/>
    <w:rsid w:val="00183EBD"/>
    <w:rsid w:val="00184B0C"/>
    <w:rsid w:val="001929FC"/>
    <w:rsid w:val="00192CF8"/>
    <w:rsid w:val="00193618"/>
    <w:rsid w:val="00197D55"/>
    <w:rsid w:val="001A27B1"/>
    <w:rsid w:val="001A3D86"/>
    <w:rsid w:val="001A54C9"/>
    <w:rsid w:val="001A62B1"/>
    <w:rsid w:val="001A71A9"/>
    <w:rsid w:val="001B0ACB"/>
    <w:rsid w:val="001B1A20"/>
    <w:rsid w:val="001B352B"/>
    <w:rsid w:val="001B3D06"/>
    <w:rsid w:val="001B59E5"/>
    <w:rsid w:val="001C1F7B"/>
    <w:rsid w:val="001C2B2F"/>
    <w:rsid w:val="001C3964"/>
    <w:rsid w:val="001C6981"/>
    <w:rsid w:val="001D1869"/>
    <w:rsid w:val="001D1E17"/>
    <w:rsid w:val="001D37BD"/>
    <w:rsid w:val="001D6767"/>
    <w:rsid w:val="001E0280"/>
    <w:rsid w:val="001E35A3"/>
    <w:rsid w:val="001E3BB6"/>
    <w:rsid w:val="001E4F10"/>
    <w:rsid w:val="001E5F6E"/>
    <w:rsid w:val="001E7B77"/>
    <w:rsid w:val="001F2122"/>
    <w:rsid w:val="00202450"/>
    <w:rsid w:val="00204CD1"/>
    <w:rsid w:val="00205DAB"/>
    <w:rsid w:val="002077EA"/>
    <w:rsid w:val="00212E07"/>
    <w:rsid w:val="00213694"/>
    <w:rsid w:val="002136B5"/>
    <w:rsid w:val="00213E5B"/>
    <w:rsid w:val="002164AF"/>
    <w:rsid w:val="00217B6B"/>
    <w:rsid w:val="002200C1"/>
    <w:rsid w:val="00220303"/>
    <w:rsid w:val="00223FA9"/>
    <w:rsid w:val="0022593D"/>
    <w:rsid w:val="00226D00"/>
    <w:rsid w:val="00227B1B"/>
    <w:rsid w:val="00234E59"/>
    <w:rsid w:val="00236063"/>
    <w:rsid w:val="00237FD9"/>
    <w:rsid w:val="00241301"/>
    <w:rsid w:val="0024198C"/>
    <w:rsid w:val="0024372B"/>
    <w:rsid w:val="00244175"/>
    <w:rsid w:val="00245285"/>
    <w:rsid w:val="00245677"/>
    <w:rsid w:val="00246FD0"/>
    <w:rsid w:val="002471DA"/>
    <w:rsid w:val="00247222"/>
    <w:rsid w:val="00255B5C"/>
    <w:rsid w:val="00262970"/>
    <w:rsid w:val="002673EE"/>
    <w:rsid w:val="002701B2"/>
    <w:rsid w:val="0027628B"/>
    <w:rsid w:val="00292B1C"/>
    <w:rsid w:val="002A0786"/>
    <w:rsid w:val="002A2EBA"/>
    <w:rsid w:val="002A33E3"/>
    <w:rsid w:val="002A5ABE"/>
    <w:rsid w:val="002A6B02"/>
    <w:rsid w:val="002B0D0B"/>
    <w:rsid w:val="002B5169"/>
    <w:rsid w:val="002B7402"/>
    <w:rsid w:val="002C17D6"/>
    <w:rsid w:val="002C79C3"/>
    <w:rsid w:val="002D3DBC"/>
    <w:rsid w:val="002D58AA"/>
    <w:rsid w:val="002E2EA4"/>
    <w:rsid w:val="00300127"/>
    <w:rsid w:val="00301563"/>
    <w:rsid w:val="00301814"/>
    <w:rsid w:val="00304C35"/>
    <w:rsid w:val="00304FDD"/>
    <w:rsid w:val="00305437"/>
    <w:rsid w:val="003074B1"/>
    <w:rsid w:val="003076DE"/>
    <w:rsid w:val="003125CD"/>
    <w:rsid w:val="00313B12"/>
    <w:rsid w:val="0032636A"/>
    <w:rsid w:val="00330525"/>
    <w:rsid w:val="00331D39"/>
    <w:rsid w:val="00331ECA"/>
    <w:rsid w:val="00335C75"/>
    <w:rsid w:val="00335E3E"/>
    <w:rsid w:val="00342900"/>
    <w:rsid w:val="00342F5E"/>
    <w:rsid w:val="00345023"/>
    <w:rsid w:val="00345A24"/>
    <w:rsid w:val="003534DF"/>
    <w:rsid w:val="00357EC8"/>
    <w:rsid w:val="00361AE7"/>
    <w:rsid w:val="00365361"/>
    <w:rsid w:val="00367776"/>
    <w:rsid w:val="003759D1"/>
    <w:rsid w:val="00377384"/>
    <w:rsid w:val="00380AC9"/>
    <w:rsid w:val="00382CA9"/>
    <w:rsid w:val="00383461"/>
    <w:rsid w:val="00384141"/>
    <w:rsid w:val="00385706"/>
    <w:rsid w:val="00393B5B"/>
    <w:rsid w:val="003A0F85"/>
    <w:rsid w:val="003A3E24"/>
    <w:rsid w:val="003A4EE1"/>
    <w:rsid w:val="003A74E4"/>
    <w:rsid w:val="003B06EC"/>
    <w:rsid w:val="003C237E"/>
    <w:rsid w:val="003C2EFE"/>
    <w:rsid w:val="003C357D"/>
    <w:rsid w:val="003C638A"/>
    <w:rsid w:val="003D0866"/>
    <w:rsid w:val="003D1F37"/>
    <w:rsid w:val="003D3710"/>
    <w:rsid w:val="003D442B"/>
    <w:rsid w:val="003D49BB"/>
    <w:rsid w:val="003D5D6B"/>
    <w:rsid w:val="003D68A0"/>
    <w:rsid w:val="003E5734"/>
    <w:rsid w:val="003E5778"/>
    <w:rsid w:val="003F0A42"/>
    <w:rsid w:val="003F11E9"/>
    <w:rsid w:val="003F2F0E"/>
    <w:rsid w:val="004016E3"/>
    <w:rsid w:val="00401DED"/>
    <w:rsid w:val="00410302"/>
    <w:rsid w:val="004166E4"/>
    <w:rsid w:val="00423629"/>
    <w:rsid w:val="00425FD3"/>
    <w:rsid w:val="00432472"/>
    <w:rsid w:val="00432C68"/>
    <w:rsid w:val="00433173"/>
    <w:rsid w:val="00435D75"/>
    <w:rsid w:val="004433C4"/>
    <w:rsid w:val="00456866"/>
    <w:rsid w:val="004606BD"/>
    <w:rsid w:val="004612CA"/>
    <w:rsid w:val="0046277A"/>
    <w:rsid w:val="00462B2D"/>
    <w:rsid w:val="00462D2F"/>
    <w:rsid w:val="00463424"/>
    <w:rsid w:val="0046362B"/>
    <w:rsid w:val="00467618"/>
    <w:rsid w:val="00471B83"/>
    <w:rsid w:val="004915E1"/>
    <w:rsid w:val="00495B35"/>
    <w:rsid w:val="004A2C7C"/>
    <w:rsid w:val="004B0E34"/>
    <w:rsid w:val="004B3197"/>
    <w:rsid w:val="004B3CAC"/>
    <w:rsid w:val="004C2B5F"/>
    <w:rsid w:val="004C6779"/>
    <w:rsid w:val="004D26F3"/>
    <w:rsid w:val="004D5A88"/>
    <w:rsid w:val="004E4C0D"/>
    <w:rsid w:val="004E5D3E"/>
    <w:rsid w:val="00502295"/>
    <w:rsid w:val="00504474"/>
    <w:rsid w:val="00514C16"/>
    <w:rsid w:val="00515F26"/>
    <w:rsid w:val="005174A7"/>
    <w:rsid w:val="005269B5"/>
    <w:rsid w:val="00533ECF"/>
    <w:rsid w:val="005344D3"/>
    <w:rsid w:val="0053712F"/>
    <w:rsid w:val="00542ED0"/>
    <w:rsid w:val="00546507"/>
    <w:rsid w:val="00554F72"/>
    <w:rsid w:val="005550E3"/>
    <w:rsid w:val="005618D1"/>
    <w:rsid w:val="0056258B"/>
    <w:rsid w:val="00563BA3"/>
    <w:rsid w:val="0056459C"/>
    <w:rsid w:val="00565A04"/>
    <w:rsid w:val="00566D6E"/>
    <w:rsid w:val="00566DA9"/>
    <w:rsid w:val="00570D3D"/>
    <w:rsid w:val="005710E8"/>
    <w:rsid w:val="00571881"/>
    <w:rsid w:val="00573411"/>
    <w:rsid w:val="00577956"/>
    <w:rsid w:val="00582812"/>
    <w:rsid w:val="00584CF1"/>
    <w:rsid w:val="00585DFF"/>
    <w:rsid w:val="00586C11"/>
    <w:rsid w:val="005919CA"/>
    <w:rsid w:val="00593358"/>
    <w:rsid w:val="00593DA5"/>
    <w:rsid w:val="0059452C"/>
    <w:rsid w:val="005B4C37"/>
    <w:rsid w:val="005B6D13"/>
    <w:rsid w:val="005B707C"/>
    <w:rsid w:val="005C1B70"/>
    <w:rsid w:val="005C3ADC"/>
    <w:rsid w:val="005C465D"/>
    <w:rsid w:val="005C6DFA"/>
    <w:rsid w:val="005C7DAF"/>
    <w:rsid w:val="005D003F"/>
    <w:rsid w:val="005D12C0"/>
    <w:rsid w:val="005D2BE5"/>
    <w:rsid w:val="005D33DC"/>
    <w:rsid w:val="005E4347"/>
    <w:rsid w:val="005E5821"/>
    <w:rsid w:val="005F0694"/>
    <w:rsid w:val="005F105B"/>
    <w:rsid w:val="005F4FD7"/>
    <w:rsid w:val="006011BF"/>
    <w:rsid w:val="0060183E"/>
    <w:rsid w:val="00613951"/>
    <w:rsid w:val="00614A2B"/>
    <w:rsid w:val="006208C6"/>
    <w:rsid w:val="00623F29"/>
    <w:rsid w:val="00625D2A"/>
    <w:rsid w:val="006331D6"/>
    <w:rsid w:val="006335F8"/>
    <w:rsid w:val="00636646"/>
    <w:rsid w:val="00637BA0"/>
    <w:rsid w:val="00640E61"/>
    <w:rsid w:val="00643456"/>
    <w:rsid w:val="00643798"/>
    <w:rsid w:val="00644297"/>
    <w:rsid w:val="0064543D"/>
    <w:rsid w:val="006455A7"/>
    <w:rsid w:val="006461ED"/>
    <w:rsid w:val="006526BA"/>
    <w:rsid w:val="00652920"/>
    <w:rsid w:val="00653AEF"/>
    <w:rsid w:val="006628BF"/>
    <w:rsid w:val="006717E3"/>
    <w:rsid w:val="006720A1"/>
    <w:rsid w:val="00675472"/>
    <w:rsid w:val="00675AF0"/>
    <w:rsid w:val="006779AA"/>
    <w:rsid w:val="00677D02"/>
    <w:rsid w:val="00677F3A"/>
    <w:rsid w:val="00681FA7"/>
    <w:rsid w:val="006833FB"/>
    <w:rsid w:val="00687549"/>
    <w:rsid w:val="00691832"/>
    <w:rsid w:val="006947D9"/>
    <w:rsid w:val="00694F8C"/>
    <w:rsid w:val="006A0A3A"/>
    <w:rsid w:val="006A0BF4"/>
    <w:rsid w:val="006A1F25"/>
    <w:rsid w:val="006A379C"/>
    <w:rsid w:val="006A6225"/>
    <w:rsid w:val="006B1146"/>
    <w:rsid w:val="006B2D3F"/>
    <w:rsid w:val="006B3DE3"/>
    <w:rsid w:val="006B7A28"/>
    <w:rsid w:val="006C4858"/>
    <w:rsid w:val="006C7C71"/>
    <w:rsid w:val="006D06CC"/>
    <w:rsid w:val="006D4648"/>
    <w:rsid w:val="006D769C"/>
    <w:rsid w:val="006F1089"/>
    <w:rsid w:val="006F39F2"/>
    <w:rsid w:val="006F43C2"/>
    <w:rsid w:val="006F6CA3"/>
    <w:rsid w:val="006F70C7"/>
    <w:rsid w:val="0070237C"/>
    <w:rsid w:val="007026D7"/>
    <w:rsid w:val="0070757B"/>
    <w:rsid w:val="007078D4"/>
    <w:rsid w:val="00710A83"/>
    <w:rsid w:val="0071105E"/>
    <w:rsid w:val="0071272B"/>
    <w:rsid w:val="0071358F"/>
    <w:rsid w:val="00714236"/>
    <w:rsid w:val="007151F0"/>
    <w:rsid w:val="00717D3D"/>
    <w:rsid w:val="00717E64"/>
    <w:rsid w:val="00721E89"/>
    <w:rsid w:val="00724997"/>
    <w:rsid w:val="00726D85"/>
    <w:rsid w:val="0072795A"/>
    <w:rsid w:val="00730D25"/>
    <w:rsid w:val="00732523"/>
    <w:rsid w:val="007336EB"/>
    <w:rsid w:val="007369A1"/>
    <w:rsid w:val="0074170A"/>
    <w:rsid w:val="00741B8C"/>
    <w:rsid w:val="007436D5"/>
    <w:rsid w:val="00744EF7"/>
    <w:rsid w:val="0075090C"/>
    <w:rsid w:val="00752687"/>
    <w:rsid w:val="00753965"/>
    <w:rsid w:val="00753F45"/>
    <w:rsid w:val="00754EFC"/>
    <w:rsid w:val="0075616D"/>
    <w:rsid w:val="00757BA4"/>
    <w:rsid w:val="00757FE6"/>
    <w:rsid w:val="007606E1"/>
    <w:rsid w:val="0076248A"/>
    <w:rsid w:val="00763990"/>
    <w:rsid w:val="00764225"/>
    <w:rsid w:val="0076598C"/>
    <w:rsid w:val="0076615D"/>
    <w:rsid w:val="007662A2"/>
    <w:rsid w:val="007715BA"/>
    <w:rsid w:val="00773C56"/>
    <w:rsid w:val="00781192"/>
    <w:rsid w:val="00785AD6"/>
    <w:rsid w:val="0078670F"/>
    <w:rsid w:val="00786D4D"/>
    <w:rsid w:val="00793641"/>
    <w:rsid w:val="00793FE9"/>
    <w:rsid w:val="00794A5C"/>
    <w:rsid w:val="00794E36"/>
    <w:rsid w:val="007967F0"/>
    <w:rsid w:val="007A586C"/>
    <w:rsid w:val="007A7286"/>
    <w:rsid w:val="007B0EDE"/>
    <w:rsid w:val="007B6107"/>
    <w:rsid w:val="007C20D1"/>
    <w:rsid w:val="007C29F6"/>
    <w:rsid w:val="007C4C50"/>
    <w:rsid w:val="007D0106"/>
    <w:rsid w:val="007D0A2C"/>
    <w:rsid w:val="007E0558"/>
    <w:rsid w:val="007E084D"/>
    <w:rsid w:val="007E0BEA"/>
    <w:rsid w:val="007E5AB1"/>
    <w:rsid w:val="007F078B"/>
    <w:rsid w:val="007F0EE6"/>
    <w:rsid w:val="007F18AC"/>
    <w:rsid w:val="007F3C0A"/>
    <w:rsid w:val="008026B6"/>
    <w:rsid w:val="00802C56"/>
    <w:rsid w:val="00805290"/>
    <w:rsid w:val="008054C0"/>
    <w:rsid w:val="00806F9D"/>
    <w:rsid w:val="00811C7C"/>
    <w:rsid w:val="008143A0"/>
    <w:rsid w:val="00815830"/>
    <w:rsid w:val="0082444E"/>
    <w:rsid w:val="00824815"/>
    <w:rsid w:val="0082567E"/>
    <w:rsid w:val="00831FDB"/>
    <w:rsid w:val="0083234F"/>
    <w:rsid w:val="00832B87"/>
    <w:rsid w:val="00834B1D"/>
    <w:rsid w:val="00835F7B"/>
    <w:rsid w:val="0084569F"/>
    <w:rsid w:val="00850D16"/>
    <w:rsid w:val="00852826"/>
    <w:rsid w:val="00856B7A"/>
    <w:rsid w:val="00861249"/>
    <w:rsid w:val="00861A78"/>
    <w:rsid w:val="008672FF"/>
    <w:rsid w:val="008675CA"/>
    <w:rsid w:val="00867BEC"/>
    <w:rsid w:val="0087122C"/>
    <w:rsid w:val="00871C5C"/>
    <w:rsid w:val="00872170"/>
    <w:rsid w:val="00875E99"/>
    <w:rsid w:val="00880163"/>
    <w:rsid w:val="00880625"/>
    <w:rsid w:val="00885D6E"/>
    <w:rsid w:val="00890B1A"/>
    <w:rsid w:val="008A1951"/>
    <w:rsid w:val="008A720F"/>
    <w:rsid w:val="008B778A"/>
    <w:rsid w:val="008B78A7"/>
    <w:rsid w:val="008C04E6"/>
    <w:rsid w:val="008C3CFB"/>
    <w:rsid w:val="008C7C28"/>
    <w:rsid w:val="008D241C"/>
    <w:rsid w:val="008D750A"/>
    <w:rsid w:val="008E39A0"/>
    <w:rsid w:val="008E4F2F"/>
    <w:rsid w:val="008E6E4B"/>
    <w:rsid w:val="008E7F36"/>
    <w:rsid w:val="008F043E"/>
    <w:rsid w:val="008F0E66"/>
    <w:rsid w:val="008F3175"/>
    <w:rsid w:val="008F3F0A"/>
    <w:rsid w:val="008F43C6"/>
    <w:rsid w:val="008F4B3D"/>
    <w:rsid w:val="008F6DB9"/>
    <w:rsid w:val="008F76C2"/>
    <w:rsid w:val="008F7E9A"/>
    <w:rsid w:val="00902C63"/>
    <w:rsid w:val="009058EB"/>
    <w:rsid w:val="009063B1"/>
    <w:rsid w:val="0090752A"/>
    <w:rsid w:val="0091024A"/>
    <w:rsid w:val="009102AF"/>
    <w:rsid w:val="00914C66"/>
    <w:rsid w:val="00916669"/>
    <w:rsid w:val="00924EBF"/>
    <w:rsid w:val="00926935"/>
    <w:rsid w:val="009340FD"/>
    <w:rsid w:val="009412BD"/>
    <w:rsid w:val="0094682C"/>
    <w:rsid w:val="00947BCC"/>
    <w:rsid w:val="009510D4"/>
    <w:rsid w:val="00954DCB"/>
    <w:rsid w:val="009626B0"/>
    <w:rsid w:val="00965498"/>
    <w:rsid w:val="0097562C"/>
    <w:rsid w:val="00984146"/>
    <w:rsid w:val="009848E3"/>
    <w:rsid w:val="00984A90"/>
    <w:rsid w:val="00985EC4"/>
    <w:rsid w:val="0098607C"/>
    <w:rsid w:val="00987D49"/>
    <w:rsid w:val="00990001"/>
    <w:rsid w:val="009905EA"/>
    <w:rsid w:val="009A232C"/>
    <w:rsid w:val="009A25BD"/>
    <w:rsid w:val="009A517A"/>
    <w:rsid w:val="009B3158"/>
    <w:rsid w:val="009B3D43"/>
    <w:rsid w:val="009B4CD8"/>
    <w:rsid w:val="009C0139"/>
    <w:rsid w:val="009C7D03"/>
    <w:rsid w:val="009D5BA7"/>
    <w:rsid w:val="009D6D87"/>
    <w:rsid w:val="009E3F2C"/>
    <w:rsid w:val="009F014D"/>
    <w:rsid w:val="009F157F"/>
    <w:rsid w:val="009F2250"/>
    <w:rsid w:val="009F3530"/>
    <w:rsid w:val="009F421D"/>
    <w:rsid w:val="009F533F"/>
    <w:rsid w:val="009F6B9D"/>
    <w:rsid w:val="00A063CB"/>
    <w:rsid w:val="00A1169C"/>
    <w:rsid w:val="00A2376A"/>
    <w:rsid w:val="00A26B55"/>
    <w:rsid w:val="00A26BB2"/>
    <w:rsid w:val="00A32456"/>
    <w:rsid w:val="00A361E6"/>
    <w:rsid w:val="00A411A1"/>
    <w:rsid w:val="00A44D3C"/>
    <w:rsid w:val="00A45FDA"/>
    <w:rsid w:val="00A47053"/>
    <w:rsid w:val="00A50171"/>
    <w:rsid w:val="00A51AF4"/>
    <w:rsid w:val="00A54E76"/>
    <w:rsid w:val="00A60FD4"/>
    <w:rsid w:val="00A6555F"/>
    <w:rsid w:val="00A67C72"/>
    <w:rsid w:val="00A73155"/>
    <w:rsid w:val="00A7716C"/>
    <w:rsid w:val="00A84EE8"/>
    <w:rsid w:val="00A93ABE"/>
    <w:rsid w:val="00AA4E03"/>
    <w:rsid w:val="00AB2CD3"/>
    <w:rsid w:val="00AB36AD"/>
    <w:rsid w:val="00AC3023"/>
    <w:rsid w:val="00AC59F3"/>
    <w:rsid w:val="00AD099E"/>
    <w:rsid w:val="00AD1E17"/>
    <w:rsid w:val="00AD26E5"/>
    <w:rsid w:val="00AD6032"/>
    <w:rsid w:val="00AD6AF0"/>
    <w:rsid w:val="00AE0C17"/>
    <w:rsid w:val="00AE37F9"/>
    <w:rsid w:val="00AE636A"/>
    <w:rsid w:val="00AF1A47"/>
    <w:rsid w:val="00AF2BFF"/>
    <w:rsid w:val="00AF6A30"/>
    <w:rsid w:val="00B01382"/>
    <w:rsid w:val="00B02F37"/>
    <w:rsid w:val="00B0336D"/>
    <w:rsid w:val="00B06D36"/>
    <w:rsid w:val="00B10BD1"/>
    <w:rsid w:val="00B22133"/>
    <w:rsid w:val="00B22706"/>
    <w:rsid w:val="00B3235F"/>
    <w:rsid w:val="00B344DC"/>
    <w:rsid w:val="00B35D5F"/>
    <w:rsid w:val="00B50663"/>
    <w:rsid w:val="00B55841"/>
    <w:rsid w:val="00B55DE7"/>
    <w:rsid w:val="00B57649"/>
    <w:rsid w:val="00B57A43"/>
    <w:rsid w:val="00B60DF7"/>
    <w:rsid w:val="00B61ABA"/>
    <w:rsid w:val="00B70C15"/>
    <w:rsid w:val="00B721FF"/>
    <w:rsid w:val="00B74833"/>
    <w:rsid w:val="00B75688"/>
    <w:rsid w:val="00B8420A"/>
    <w:rsid w:val="00B8425E"/>
    <w:rsid w:val="00B85359"/>
    <w:rsid w:val="00B87B8A"/>
    <w:rsid w:val="00B90D1E"/>
    <w:rsid w:val="00B90F49"/>
    <w:rsid w:val="00B90FCF"/>
    <w:rsid w:val="00B91DB2"/>
    <w:rsid w:val="00B93622"/>
    <w:rsid w:val="00B96AFA"/>
    <w:rsid w:val="00B975BF"/>
    <w:rsid w:val="00BA0CB8"/>
    <w:rsid w:val="00BA323B"/>
    <w:rsid w:val="00BA3459"/>
    <w:rsid w:val="00BA691E"/>
    <w:rsid w:val="00BB1033"/>
    <w:rsid w:val="00BB2096"/>
    <w:rsid w:val="00BB407A"/>
    <w:rsid w:val="00BC02C6"/>
    <w:rsid w:val="00BC6AD1"/>
    <w:rsid w:val="00BC7E9F"/>
    <w:rsid w:val="00BD0111"/>
    <w:rsid w:val="00BD54F3"/>
    <w:rsid w:val="00BD6DA7"/>
    <w:rsid w:val="00BE286D"/>
    <w:rsid w:val="00BE3FBA"/>
    <w:rsid w:val="00BE5EE3"/>
    <w:rsid w:val="00BF00A5"/>
    <w:rsid w:val="00BF0985"/>
    <w:rsid w:val="00BF17E0"/>
    <w:rsid w:val="00BF26E4"/>
    <w:rsid w:val="00BF465E"/>
    <w:rsid w:val="00C00F2A"/>
    <w:rsid w:val="00C04E92"/>
    <w:rsid w:val="00C053C2"/>
    <w:rsid w:val="00C05E7F"/>
    <w:rsid w:val="00C13003"/>
    <w:rsid w:val="00C14761"/>
    <w:rsid w:val="00C161EA"/>
    <w:rsid w:val="00C213BE"/>
    <w:rsid w:val="00C31C3B"/>
    <w:rsid w:val="00C33535"/>
    <w:rsid w:val="00C33F08"/>
    <w:rsid w:val="00C34677"/>
    <w:rsid w:val="00C3496F"/>
    <w:rsid w:val="00C3592F"/>
    <w:rsid w:val="00C47021"/>
    <w:rsid w:val="00C476FA"/>
    <w:rsid w:val="00C571D8"/>
    <w:rsid w:val="00C73E70"/>
    <w:rsid w:val="00C762C4"/>
    <w:rsid w:val="00C80A01"/>
    <w:rsid w:val="00C8286F"/>
    <w:rsid w:val="00C8702D"/>
    <w:rsid w:val="00C87050"/>
    <w:rsid w:val="00C92EB8"/>
    <w:rsid w:val="00C97DA2"/>
    <w:rsid w:val="00CA0D6E"/>
    <w:rsid w:val="00CA1BF4"/>
    <w:rsid w:val="00CA3D06"/>
    <w:rsid w:val="00CB797F"/>
    <w:rsid w:val="00CC08B5"/>
    <w:rsid w:val="00CC420A"/>
    <w:rsid w:val="00CD3E06"/>
    <w:rsid w:val="00CD5CFC"/>
    <w:rsid w:val="00CD5DA9"/>
    <w:rsid w:val="00CD6C21"/>
    <w:rsid w:val="00CD7716"/>
    <w:rsid w:val="00CD7AB5"/>
    <w:rsid w:val="00CE18AD"/>
    <w:rsid w:val="00CE2EBD"/>
    <w:rsid w:val="00CE41B3"/>
    <w:rsid w:val="00CE74BE"/>
    <w:rsid w:val="00CF23C2"/>
    <w:rsid w:val="00CF36B5"/>
    <w:rsid w:val="00CF5391"/>
    <w:rsid w:val="00CF756B"/>
    <w:rsid w:val="00CF79B6"/>
    <w:rsid w:val="00CF7B44"/>
    <w:rsid w:val="00D03296"/>
    <w:rsid w:val="00D04113"/>
    <w:rsid w:val="00D04813"/>
    <w:rsid w:val="00D05BDD"/>
    <w:rsid w:val="00D05F8A"/>
    <w:rsid w:val="00D06C1B"/>
    <w:rsid w:val="00D110F9"/>
    <w:rsid w:val="00D12481"/>
    <w:rsid w:val="00D13343"/>
    <w:rsid w:val="00D1369A"/>
    <w:rsid w:val="00D20AD1"/>
    <w:rsid w:val="00D21D56"/>
    <w:rsid w:val="00D259DC"/>
    <w:rsid w:val="00D27D66"/>
    <w:rsid w:val="00D305C0"/>
    <w:rsid w:val="00D334A0"/>
    <w:rsid w:val="00D34AF8"/>
    <w:rsid w:val="00D34C82"/>
    <w:rsid w:val="00D36DBB"/>
    <w:rsid w:val="00D4103A"/>
    <w:rsid w:val="00D43AD1"/>
    <w:rsid w:val="00D51578"/>
    <w:rsid w:val="00D52256"/>
    <w:rsid w:val="00D5580B"/>
    <w:rsid w:val="00D56C2A"/>
    <w:rsid w:val="00D6606C"/>
    <w:rsid w:val="00D754D6"/>
    <w:rsid w:val="00D775D8"/>
    <w:rsid w:val="00D80965"/>
    <w:rsid w:val="00D87083"/>
    <w:rsid w:val="00D87D43"/>
    <w:rsid w:val="00D932C9"/>
    <w:rsid w:val="00D96B35"/>
    <w:rsid w:val="00D9780F"/>
    <w:rsid w:val="00DA5E2F"/>
    <w:rsid w:val="00DB35F9"/>
    <w:rsid w:val="00DC0EF5"/>
    <w:rsid w:val="00DC162B"/>
    <w:rsid w:val="00DC31F6"/>
    <w:rsid w:val="00DD50A8"/>
    <w:rsid w:val="00DD54EC"/>
    <w:rsid w:val="00DD56D5"/>
    <w:rsid w:val="00DE36B9"/>
    <w:rsid w:val="00DE4E19"/>
    <w:rsid w:val="00DE7013"/>
    <w:rsid w:val="00DF1A08"/>
    <w:rsid w:val="00DF254E"/>
    <w:rsid w:val="00DF29D8"/>
    <w:rsid w:val="00DF469F"/>
    <w:rsid w:val="00DF4C92"/>
    <w:rsid w:val="00E00192"/>
    <w:rsid w:val="00E027F1"/>
    <w:rsid w:val="00E05739"/>
    <w:rsid w:val="00E06E42"/>
    <w:rsid w:val="00E106EC"/>
    <w:rsid w:val="00E13554"/>
    <w:rsid w:val="00E155EE"/>
    <w:rsid w:val="00E22364"/>
    <w:rsid w:val="00E22860"/>
    <w:rsid w:val="00E451E5"/>
    <w:rsid w:val="00E506AA"/>
    <w:rsid w:val="00E537D2"/>
    <w:rsid w:val="00E55FC1"/>
    <w:rsid w:val="00E56FA0"/>
    <w:rsid w:val="00E60205"/>
    <w:rsid w:val="00E61653"/>
    <w:rsid w:val="00E61AB1"/>
    <w:rsid w:val="00E73C49"/>
    <w:rsid w:val="00E7532F"/>
    <w:rsid w:val="00E9273B"/>
    <w:rsid w:val="00E92823"/>
    <w:rsid w:val="00EA029C"/>
    <w:rsid w:val="00EA6FB2"/>
    <w:rsid w:val="00EB2941"/>
    <w:rsid w:val="00EB3059"/>
    <w:rsid w:val="00EB432E"/>
    <w:rsid w:val="00EB4B38"/>
    <w:rsid w:val="00EC07A4"/>
    <w:rsid w:val="00ED1960"/>
    <w:rsid w:val="00ED5141"/>
    <w:rsid w:val="00ED69C0"/>
    <w:rsid w:val="00ED6EC4"/>
    <w:rsid w:val="00EE43E6"/>
    <w:rsid w:val="00EE5649"/>
    <w:rsid w:val="00EE5AAB"/>
    <w:rsid w:val="00EF12DF"/>
    <w:rsid w:val="00EF702C"/>
    <w:rsid w:val="00F13776"/>
    <w:rsid w:val="00F155D1"/>
    <w:rsid w:val="00F179F1"/>
    <w:rsid w:val="00F25968"/>
    <w:rsid w:val="00F25A0A"/>
    <w:rsid w:val="00F27C59"/>
    <w:rsid w:val="00F355CD"/>
    <w:rsid w:val="00F3740D"/>
    <w:rsid w:val="00F41704"/>
    <w:rsid w:val="00F427C1"/>
    <w:rsid w:val="00F46241"/>
    <w:rsid w:val="00F46C85"/>
    <w:rsid w:val="00F50257"/>
    <w:rsid w:val="00F50A5A"/>
    <w:rsid w:val="00F56093"/>
    <w:rsid w:val="00F62742"/>
    <w:rsid w:val="00F70068"/>
    <w:rsid w:val="00F7375E"/>
    <w:rsid w:val="00F749A3"/>
    <w:rsid w:val="00F75215"/>
    <w:rsid w:val="00F81588"/>
    <w:rsid w:val="00F838AB"/>
    <w:rsid w:val="00F85822"/>
    <w:rsid w:val="00F86A30"/>
    <w:rsid w:val="00F91108"/>
    <w:rsid w:val="00F926F0"/>
    <w:rsid w:val="00F92E49"/>
    <w:rsid w:val="00F960F4"/>
    <w:rsid w:val="00F97440"/>
    <w:rsid w:val="00FA5917"/>
    <w:rsid w:val="00FB4AF0"/>
    <w:rsid w:val="00FB50D8"/>
    <w:rsid w:val="00FB5727"/>
    <w:rsid w:val="00FB7DB4"/>
    <w:rsid w:val="00FC0F66"/>
    <w:rsid w:val="00FC22EA"/>
    <w:rsid w:val="00FC2890"/>
    <w:rsid w:val="00FC7601"/>
    <w:rsid w:val="00FD315C"/>
    <w:rsid w:val="00FD33AE"/>
    <w:rsid w:val="00FE0264"/>
    <w:rsid w:val="00FE17A4"/>
    <w:rsid w:val="00FE1D3E"/>
    <w:rsid w:val="00FE5ED4"/>
    <w:rsid w:val="00FE6398"/>
    <w:rsid w:val="00FE6B4F"/>
    <w:rsid w:val="00FF308D"/>
    <w:rsid w:val="00FF3901"/>
    <w:rsid w:val="00FF413F"/>
    <w:rsid w:val="00FF5076"/>
    <w:rsid w:val="00FF51A5"/>
    <w:rsid w:val="00FF55FC"/>
    <w:rsid w:val="00FF68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57"/>
    <o:shapelayout v:ext="edit">
      <o:idmap v:ext="edit" data="1"/>
      <o:rules v:ext="edit">
        <o:r id="V:Rule3" type="connector" idref="#AutoShape 22"/>
        <o:r id="V:Rule4" type="connector" idref="#AutoShap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D56"/>
  </w:style>
  <w:style w:type="paragraph" w:styleId="Heading1">
    <w:name w:val="heading 1"/>
    <w:next w:val="BodyParagraph"/>
    <w:link w:val="Heading1Char"/>
    <w:uiPriority w:val="9"/>
    <w:qFormat/>
    <w:rsid w:val="005C465D"/>
    <w:pPr>
      <w:keepNext/>
      <w:numPr>
        <w:numId w:val="3"/>
      </w:numPr>
      <w:spacing w:after="120" w:line="240" w:lineRule="auto"/>
      <w:outlineLvl w:val="0"/>
    </w:pPr>
    <w:rPr>
      <w:rFonts w:ascii="TitilliumText22L Xb" w:eastAsia="Times New Roman" w:hAnsi="TitilliumText22L Xb" w:cs="Times New Roman"/>
      <w:b/>
      <w:color w:val="433B67"/>
      <w:sz w:val="28"/>
      <w:szCs w:val="28"/>
    </w:rPr>
  </w:style>
  <w:style w:type="paragraph" w:styleId="Heading2">
    <w:name w:val="heading 2"/>
    <w:basedOn w:val="Heading1"/>
    <w:next w:val="BodyParagraph"/>
    <w:link w:val="Heading2Char"/>
    <w:unhideWhenUsed/>
    <w:qFormat/>
    <w:rsid w:val="005C465D"/>
    <w:pPr>
      <w:numPr>
        <w:ilvl w:val="1"/>
      </w:numPr>
      <w:outlineLvl w:val="1"/>
    </w:pPr>
    <w:rPr>
      <w:rFonts w:ascii="TitilliumText22L Rg" w:eastAsiaTheme="majorEastAsia" w:hAnsi="TitilliumText22L Rg" w:cstheme="majorBidi"/>
      <w:bCs/>
      <w:color w:val="5F497A" w:themeColor="accent4" w:themeShade="BF"/>
      <w:sz w:val="26"/>
      <w:szCs w:val="26"/>
    </w:rPr>
  </w:style>
  <w:style w:type="paragraph" w:styleId="Heading3">
    <w:name w:val="heading 3"/>
    <w:basedOn w:val="Heading2"/>
    <w:next w:val="BodyParagraph"/>
    <w:link w:val="Heading3Char"/>
    <w:unhideWhenUsed/>
    <w:qFormat/>
    <w:rsid w:val="007C29F6"/>
    <w:pPr>
      <w:keepLines/>
      <w:numPr>
        <w:ilvl w:val="2"/>
      </w:numPr>
      <w:ind w:left="1080"/>
      <w:outlineLvl w:val="2"/>
    </w:pPr>
    <w:rPr>
      <w:rFonts w:ascii="Arial" w:hAnsi="Arial"/>
      <w:bCs w:val="0"/>
    </w:rPr>
  </w:style>
  <w:style w:type="paragraph" w:styleId="Heading4">
    <w:name w:val="heading 4"/>
    <w:basedOn w:val="Normal"/>
    <w:next w:val="BodyParagraph"/>
    <w:link w:val="Heading4Char"/>
    <w:unhideWhenUsed/>
    <w:qFormat/>
    <w:rsid w:val="00192CF8"/>
    <w:pPr>
      <w:keepNext/>
      <w:keepLines/>
      <w:spacing w:before="200" w:after="0"/>
      <w:ind w:left="360"/>
      <w:outlineLvl w:val="3"/>
    </w:pPr>
    <w:rPr>
      <w:rFonts w:ascii="Arial" w:eastAsiaTheme="majorEastAsia" w:hAnsi="Arial" w:cs="Arial"/>
      <w:b/>
      <w:bCs/>
      <w:i/>
      <w:iCs/>
      <w:color w:val="5F497A" w:themeColor="accent4" w:themeShade="BF"/>
      <w:sz w:val="24"/>
    </w:rPr>
  </w:style>
  <w:style w:type="paragraph" w:styleId="Heading5">
    <w:name w:val="heading 5"/>
    <w:basedOn w:val="Normal"/>
    <w:next w:val="Normal"/>
    <w:link w:val="Heading5Char"/>
    <w:uiPriority w:val="9"/>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A6B02"/>
    <w:rPr>
      <w:rFonts w:ascii="Tahoma" w:hAnsi="Tahoma" w:cs="Tahoma"/>
      <w:sz w:val="16"/>
      <w:szCs w:val="16"/>
    </w:rPr>
  </w:style>
  <w:style w:type="paragraph" w:customStyle="1" w:styleId="TitleHeader">
    <w:name w:val="Title Header"/>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qFormat/>
    <w:rsid w:val="00305437"/>
    <w:pPr>
      <w:spacing w:after="400" w:line="240" w:lineRule="auto"/>
    </w:pPr>
    <w:rPr>
      <w:rFonts w:ascii="Arial" w:eastAsia="Times New Roman" w:hAnsi="Arial" w:cs="Arial"/>
      <w:b/>
      <w:color w:val="FFFFFF"/>
      <w:sz w:val="28"/>
      <w:szCs w:val="28"/>
    </w:rPr>
  </w:style>
  <w:style w:type="paragraph" w:customStyle="1" w:styleId="TitleAddress">
    <w:name w:val="Title Address"/>
    <w:qFormat/>
    <w:rsid w:val="00305437"/>
    <w:pPr>
      <w:tabs>
        <w:tab w:val="left" w:pos="3960"/>
      </w:tabs>
      <w:spacing w:after="400" w:line="240" w:lineRule="auto"/>
    </w:pPr>
    <w:rPr>
      <w:rFonts w:ascii="Arial" w:eastAsia="Times New Roman" w:hAnsi="Arial" w:cs="Arial"/>
      <w:b/>
      <w:color w:val="FFFFFF"/>
    </w:rPr>
  </w:style>
  <w:style w:type="paragraph" w:styleId="Footer">
    <w:name w:val="footer"/>
    <w:basedOn w:val="Normal"/>
    <w:link w:val="Foot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A6B02"/>
    <w:rPr>
      <w:rFonts w:ascii="Arial" w:eastAsia="Times New Roman" w:hAnsi="Arial" w:cs="Times New Roman"/>
      <w:szCs w:val="24"/>
    </w:rPr>
  </w:style>
  <w:style w:type="paragraph" w:customStyle="1" w:styleId="PreparedFor">
    <w:name w:val="Prepared For"/>
    <w:rsid w:val="00305437"/>
    <w:pPr>
      <w:spacing w:before="400" w:after="120" w:line="240" w:lineRule="auto"/>
      <w:jc w:val="right"/>
    </w:pPr>
    <w:rPr>
      <w:rFonts w:ascii="Arial" w:eastAsia="Times New Roman" w:hAnsi="Arial" w:cs="Times New Roman"/>
      <w:i/>
      <w:szCs w:val="20"/>
    </w:rPr>
  </w:style>
  <w:style w:type="paragraph" w:customStyle="1" w:styleId="PreparedForCompany">
    <w:name w:val="Prepared For Company"/>
    <w:basedOn w:val="Normal"/>
    <w:qFormat/>
    <w:rsid w:val="00305437"/>
    <w:pPr>
      <w:spacing w:after="0" w:line="240" w:lineRule="auto"/>
      <w:jc w:val="right"/>
    </w:pPr>
    <w:rPr>
      <w:rFonts w:ascii="Arial" w:eastAsia="Times New Roman" w:hAnsi="Arial" w:cs="Times New Roman"/>
      <w:szCs w:val="24"/>
    </w:rPr>
  </w:style>
  <w:style w:type="character" w:customStyle="1" w:styleId="Heading1Char">
    <w:name w:val="Heading 1 Char"/>
    <w:basedOn w:val="DefaultParagraphFont"/>
    <w:link w:val="Heading1"/>
    <w:uiPriority w:val="9"/>
    <w:rsid w:val="005C465D"/>
    <w:rPr>
      <w:rFonts w:ascii="TitilliumText22L Xb" w:eastAsia="Times New Roman" w:hAnsi="TitilliumText22L Xb" w:cs="Times New Roman"/>
      <w:b/>
      <w:color w:val="433B67"/>
      <w:sz w:val="28"/>
      <w:szCs w:val="28"/>
    </w:rPr>
  </w:style>
  <w:style w:type="paragraph" w:styleId="TOCHeading">
    <w:name w:val="TOC Heading"/>
    <w:basedOn w:val="Heading1"/>
    <w:next w:val="Normal"/>
    <w:uiPriority w:val="3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33F08"/>
    <w:pPr>
      <w:tabs>
        <w:tab w:val="left" w:pos="270"/>
        <w:tab w:val="right" w:leader="dot" w:pos="8460"/>
      </w:tabs>
      <w:spacing w:after="100"/>
    </w:pPr>
    <w:rPr>
      <w:rFonts w:ascii="Arial" w:hAnsi="Arial" w:cs="Arial"/>
      <w:noProof/>
      <w:sz w:val="24"/>
      <w:szCs w:val="24"/>
    </w:rPr>
  </w:style>
  <w:style w:type="character" w:styleId="Hyperlink">
    <w:name w:val="Hyperlink"/>
    <w:basedOn w:val="DefaultParagraphFont"/>
    <w:uiPriority w:val="99"/>
    <w:unhideWhenUsed/>
    <w:rsid w:val="005C465D"/>
    <w:rPr>
      <w:rFonts w:ascii="Verdana" w:hAnsi="Verdana"/>
      <w:color w:val="0000FF" w:themeColor="hyperlink"/>
      <w:sz w:val="18"/>
    </w:rPr>
  </w:style>
  <w:style w:type="paragraph" w:customStyle="1" w:styleId="TableofContents">
    <w:name w:val="Table of Contents"/>
    <w:qFormat/>
    <w:rsid w:val="00DB35F9"/>
    <w:pPr>
      <w:ind w:left="720"/>
    </w:pPr>
    <w:rPr>
      <w:rFonts w:ascii="Arial Bold" w:eastAsia="Times New Roman" w:hAnsi="Arial Bold" w:cs="Times New Roman"/>
      <w:b/>
      <w:color w:val="5F497A" w:themeColor="accent4" w:themeShade="BF"/>
      <w:sz w:val="28"/>
      <w:szCs w:val="24"/>
    </w:rPr>
  </w:style>
  <w:style w:type="character" w:customStyle="1" w:styleId="Heading2Char">
    <w:name w:val="Heading 2 Char"/>
    <w:basedOn w:val="DefaultParagraphFont"/>
    <w:link w:val="Heading2"/>
    <w:rsid w:val="005C465D"/>
    <w:rPr>
      <w:rFonts w:ascii="TitilliumText22L Rg" w:eastAsiaTheme="majorEastAsia" w:hAnsi="TitilliumText22L Rg" w:cstheme="majorBidi"/>
      <w:b/>
      <w:bCs/>
      <w:color w:val="5F497A" w:themeColor="accent4" w:themeShade="BF"/>
      <w:sz w:val="26"/>
      <w:szCs w:val="26"/>
    </w:rPr>
  </w:style>
  <w:style w:type="paragraph" w:styleId="TOC2">
    <w:name w:val="toc 2"/>
    <w:basedOn w:val="Normal"/>
    <w:next w:val="Normal"/>
    <w:autoRedefine/>
    <w:uiPriority w:val="39"/>
    <w:unhideWhenUsed/>
    <w:rsid w:val="001C1F7B"/>
    <w:pPr>
      <w:tabs>
        <w:tab w:val="left" w:pos="720"/>
        <w:tab w:val="right" w:leader="dot" w:pos="8460"/>
      </w:tabs>
      <w:spacing w:after="100"/>
      <w:ind w:left="220"/>
    </w:pPr>
    <w:rPr>
      <w:rFonts w:ascii="Arial" w:hAnsi="Arial" w:cs="Arial"/>
      <w:noProof/>
      <w:sz w:val="24"/>
      <w:szCs w:val="24"/>
    </w:rPr>
  </w:style>
  <w:style w:type="character" w:customStyle="1" w:styleId="Heading3Char">
    <w:name w:val="Heading 3 Char"/>
    <w:basedOn w:val="DefaultParagraphFont"/>
    <w:link w:val="Heading3"/>
    <w:rsid w:val="007C29F6"/>
    <w:rPr>
      <w:rFonts w:ascii="Arial" w:eastAsiaTheme="majorEastAsia" w:hAnsi="Arial" w:cstheme="majorBidi"/>
      <w:b/>
      <w:color w:val="5F497A" w:themeColor="accent4" w:themeShade="BF"/>
      <w:sz w:val="26"/>
      <w:szCs w:val="26"/>
    </w:rPr>
  </w:style>
  <w:style w:type="paragraph" w:styleId="TOC3">
    <w:name w:val="toc 3"/>
    <w:basedOn w:val="Normal"/>
    <w:next w:val="Normal"/>
    <w:autoRedefine/>
    <w:uiPriority w:val="39"/>
    <w:unhideWhenUsed/>
    <w:rsid w:val="001C1F7B"/>
    <w:pPr>
      <w:tabs>
        <w:tab w:val="left" w:pos="1080"/>
        <w:tab w:val="right" w:leader="dot" w:pos="8460"/>
      </w:tabs>
      <w:spacing w:after="100"/>
      <w:ind w:left="440"/>
    </w:pPr>
    <w:rPr>
      <w:rFonts w:ascii="Arial" w:hAnsi="Arial" w:cs="Arial"/>
      <w:noProof/>
      <w:sz w:val="24"/>
      <w:szCs w:val="24"/>
    </w:rPr>
  </w:style>
  <w:style w:type="paragraph" w:customStyle="1" w:styleId="BodyParagraph">
    <w:name w:val="Body Paragraph"/>
    <w:link w:val="BodyParagraphChar"/>
    <w:uiPriority w:val="99"/>
    <w:qFormat/>
    <w:rsid w:val="005C465D"/>
    <w:pPr>
      <w:spacing w:after="240" w:line="312" w:lineRule="auto"/>
    </w:pPr>
    <w:rPr>
      <w:rFonts w:ascii="Verdana" w:eastAsiaTheme="minorHAnsi" w:hAnsi="Verdana"/>
      <w:sz w:val="18"/>
    </w:rPr>
  </w:style>
  <w:style w:type="paragraph" w:customStyle="1" w:styleId="BodyBeforeBullet">
    <w:name w:val="Body Before Bullet"/>
    <w:basedOn w:val="BodyParagraph"/>
    <w:next w:val="Bullets"/>
    <w:qFormat/>
    <w:rsid w:val="00393B5B"/>
    <w:pPr>
      <w:keepNext/>
      <w:spacing w:after="60"/>
    </w:pPr>
  </w:style>
  <w:style w:type="paragraph" w:customStyle="1" w:styleId="Bullets">
    <w:name w:val="Bullets"/>
    <w:basedOn w:val="Normal"/>
    <w:uiPriority w:val="99"/>
    <w:qFormat/>
    <w:rsid w:val="005C465D"/>
    <w:pPr>
      <w:numPr>
        <w:numId w:val="1"/>
      </w:numPr>
      <w:spacing w:after="120" w:line="240" w:lineRule="auto"/>
    </w:pPr>
    <w:rPr>
      <w:rFonts w:ascii="Verdana" w:eastAsia="Times New Roman" w:hAnsi="Verdana" w:cs="Arial"/>
      <w:sz w:val="18"/>
      <w:szCs w:val="21"/>
    </w:rPr>
  </w:style>
  <w:style w:type="paragraph" w:customStyle="1" w:styleId="BulletLast">
    <w:name w:val="Bullet Last"/>
    <w:basedOn w:val="Bullets"/>
    <w:next w:val="BodyParagraph"/>
    <w:uiPriority w:val="99"/>
    <w:qFormat/>
    <w:rsid w:val="001B352B"/>
    <w:pPr>
      <w:spacing w:after="360"/>
    </w:pPr>
  </w:style>
  <w:style w:type="paragraph" w:styleId="FootnoteText">
    <w:name w:val="footnote text"/>
    <w:aliases w:val="Footnote Text1 Char,Footnote Text Char Ch"/>
    <w:basedOn w:val="Normal"/>
    <w:link w:val="FootnoteTextChar"/>
    <w:uiPriority w:val="99"/>
    <w:unhideWhenUsed/>
    <w:rsid w:val="001B352B"/>
    <w:pPr>
      <w:spacing w:after="0" w:line="240" w:lineRule="auto"/>
    </w:pPr>
    <w:rPr>
      <w:sz w:val="20"/>
      <w:szCs w:val="20"/>
    </w:rPr>
  </w:style>
  <w:style w:type="character" w:customStyle="1" w:styleId="FootnoteTextChar">
    <w:name w:val="Footnote Text Char"/>
    <w:aliases w:val="Footnote Text1 Char Char,Footnote Text Char Ch Char"/>
    <w:basedOn w:val="DefaultParagraphFont"/>
    <w:link w:val="FootnoteText"/>
    <w:uiPriority w:val="99"/>
    <w:rsid w:val="001B352B"/>
    <w:rPr>
      <w:sz w:val="20"/>
      <w:szCs w:val="20"/>
    </w:rPr>
  </w:style>
  <w:style w:type="character" w:styleId="FootnoteReference">
    <w:name w:val="footnote reference"/>
    <w:basedOn w:val="DefaultParagraphFont"/>
    <w:uiPriority w:val="99"/>
    <w:unhideWhenUsed/>
    <w:rsid w:val="001B352B"/>
    <w:rPr>
      <w:vertAlign w:val="superscript"/>
    </w:rPr>
  </w:style>
  <w:style w:type="paragraph" w:customStyle="1" w:styleId="Footnote">
    <w:name w:val="Footnote"/>
    <w:basedOn w:val="FootnoteText"/>
    <w:qFormat/>
    <w:rsid w:val="001B352B"/>
    <w:pPr>
      <w:spacing w:after="120"/>
    </w:pPr>
    <w:rPr>
      <w:rFonts w:ascii="Franklin Gothic Book" w:hAnsi="Franklin Gothic Book"/>
      <w:sz w:val="18"/>
    </w:rPr>
  </w:style>
  <w:style w:type="paragraph" w:customStyle="1" w:styleId="TableFigureCaption">
    <w:name w:val="Table Figure Caption"/>
    <w:basedOn w:val="Normal"/>
    <w:next w:val="BodyParaAfterTableFigure"/>
    <w:qFormat/>
    <w:rsid w:val="005C465D"/>
    <w:pPr>
      <w:keepNext/>
      <w:spacing w:after="120" w:line="240" w:lineRule="auto"/>
      <w:jc w:val="center"/>
    </w:pPr>
    <w:rPr>
      <w:rFonts w:ascii="TitilliumText22L Rg" w:eastAsiaTheme="minorHAnsi" w:hAnsi="TitilliumText22L Rg"/>
      <w:b/>
      <w:sz w:val="20"/>
    </w:rPr>
  </w:style>
  <w:style w:type="table" w:styleId="TableGrid">
    <w:name w:val="Table Grid"/>
    <w:basedOn w:val="TableNormal"/>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4E5D3E"/>
    <w:pPr>
      <w:spacing w:before="100" w:after="100" w:line="240" w:lineRule="auto"/>
      <w:jc w:val="center"/>
    </w:pPr>
    <w:rPr>
      <w:rFonts w:ascii="Arial" w:hAnsi="Arial"/>
      <w:b/>
      <w:color w:val="FFFFFF" w:themeColor="background1"/>
      <w:sz w:val="20"/>
    </w:rPr>
  </w:style>
  <w:style w:type="paragraph" w:customStyle="1" w:styleId="TableText">
    <w:name w:val="Table Text"/>
    <w:qFormat/>
    <w:rsid w:val="00142ACF"/>
    <w:pPr>
      <w:spacing w:before="60" w:after="60" w:line="240" w:lineRule="auto"/>
    </w:pPr>
    <w:rPr>
      <w:rFonts w:ascii="Arial" w:hAnsi="Arial"/>
      <w:sz w:val="18"/>
    </w:rPr>
  </w:style>
  <w:style w:type="paragraph" w:customStyle="1" w:styleId="BodyParaAfterTableFigure">
    <w:name w:val="Body Para After Table Figure"/>
    <w:basedOn w:val="BodyParagraph"/>
    <w:next w:val="BodyParagraph"/>
    <w:uiPriority w:val="99"/>
    <w:qFormat/>
    <w:rsid w:val="00B50663"/>
    <w:pPr>
      <w:spacing w:before="360"/>
    </w:pPr>
  </w:style>
  <w:style w:type="paragraph" w:customStyle="1" w:styleId="AppendixHeading">
    <w:name w:val="Appendix Heading"/>
    <w:basedOn w:val="Heading1"/>
    <w:next w:val="BodyParagraph"/>
    <w:qFormat/>
    <w:rsid w:val="003D68A0"/>
    <w:pPr>
      <w:numPr>
        <w:numId w:val="2"/>
      </w:numPr>
    </w:pPr>
  </w:style>
  <w:style w:type="character" w:customStyle="1" w:styleId="Heading4Char">
    <w:name w:val="Heading 4 Char"/>
    <w:basedOn w:val="DefaultParagraphFont"/>
    <w:link w:val="Heading4"/>
    <w:rsid w:val="00192CF8"/>
    <w:rPr>
      <w:rFonts w:ascii="Arial" w:eastAsiaTheme="majorEastAsia" w:hAnsi="Arial" w:cs="Arial"/>
      <w:b/>
      <w:bCs/>
      <w:i/>
      <w:iCs/>
      <w:color w:val="5F497A" w:themeColor="accent4" w:themeShade="BF"/>
      <w:sz w:val="24"/>
    </w:rPr>
  </w:style>
  <w:style w:type="character" w:customStyle="1" w:styleId="Heading5Char">
    <w:name w:val="Heading 5 Char"/>
    <w:basedOn w:val="DefaultParagraphFont"/>
    <w:link w:val="Heading5"/>
    <w:uiPriority w:val="9"/>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7E0558"/>
    <w:pPr>
      <w:numPr>
        <w:ilvl w:val="1"/>
        <w:numId w:val="2"/>
      </w:numPr>
      <w:spacing w:after="60" w:line="240" w:lineRule="auto"/>
      <w:ind w:left="720" w:hanging="720"/>
    </w:pPr>
    <w:rPr>
      <w:rFonts w:ascii="TitilliumText22L Rg" w:hAnsi="TitilliumText22L Rg"/>
      <w:b/>
      <w:color w:val="5F497A" w:themeColor="accent4" w:themeShade="BF"/>
      <w:sz w:val="26"/>
    </w:rPr>
  </w:style>
  <w:style w:type="paragraph" w:customStyle="1" w:styleId="AppendixHeading3">
    <w:name w:val="Appendix Heading 3"/>
    <w:basedOn w:val="Normal"/>
    <w:next w:val="BodyParagraph"/>
    <w:qFormat/>
    <w:rsid w:val="003A0F85"/>
    <w:pPr>
      <w:numPr>
        <w:ilvl w:val="2"/>
        <w:numId w:val="2"/>
      </w:numPr>
      <w:spacing w:after="60" w:line="240" w:lineRule="auto"/>
      <w:ind w:left="1260" w:hanging="900"/>
    </w:pPr>
    <w:rPr>
      <w:rFonts w:ascii="Arial Bold" w:hAnsi="Arial Bold"/>
      <w:b/>
      <w:color w:val="5F497A" w:themeColor="accent4" w:themeShade="BF"/>
      <w:sz w:val="24"/>
    </w:rPr>
  </w:style>
  <w:style w:type="paragraph" w:customStyle="1" w:styleId="AppendixHeading4">
    <w:name w:val="Appendix Heading 4"/>
    <w:basedOn w:val="BodyParagraph"/>
    <w:next w:val="BodyParagraph"/>
    <w:qFormat/>
    <w:rsid w:val="00F50A5A"/>
    <w:pPr>
      <w:spacing w:after="60" w:line="240" w:lineRule="auto"/>
      <w:ind w:firstLine="360"/>
    </w:pPr>
    <w:rPr>
      <w:rFonts w:ascii="Arial Bold" w:hAnsi="Arial Bold"/>
      <w:b/>
      <w:i/>
      <w:color w:val="5F497A" w:themeColor="accent4" w:themeShade="BF"/>
      <w:sz w:val="24"/>
    </w:rPr>
  </w:style>
  <w:style w:type="paragraph" w:styleId="TOC4">
    <w:name w:val="toc 4"/>
    <w:basedOn w:val="Normal"/>
    <w:next w:val="Normal"/>
    <w:autoRedefine/>
    <w:uiPriority w:val="39"/>
    <w:unhideWhenUsed/>
    <w:rsid w:val="001C1F7B"/>
    <w:pPr>
      <w:tabs>
        <w:tab w:val="left" w:pos="1530"/>
        <w:tab w:val="right" w:leader="dot" w:pos="8460"/>
      </w:tabs>
      <w:spacing w:after="100"/>
      <w:ind w:left="660"/>
    </w:pPr>
    <w:rPr>
      <w:rFonts w:ascii="Arial" w:hAnsi="Arial" w:cs="Arial"/>
      <w:noProof/>
      <w:sz w:val="24"/>
      <w:szCs w:val="24"/>
    </w:rPr>
  </w:style>
  <w:style w:type="numbering" w:customStyle="1" w:styleId="Numbered">
    <w:name w:val="Numbered"/>
    <w:basedOn w:val="NoList"/>
    <w:uiPriority w:val="99"/>
    <w:rsid w:val="00137F86"/>
    <w:pPr>
      <w:numPr>
        <w:numId w:val="4"/>
      </w:numPr>
    </w:pPr>
  </w:style>
  <w:style w:type="numbering" w:customStyle="1" w:styleId="NumberedSteps">
    <w:name w:val="Numbered Steps"/>
    <w:basedOn w:val="NoList"/>
    <w:uiPriority w:val="99"/>
    <w:rsid w:val="00137F86"/>
    <w:pPr>
      <w:numPr>
        <w:numId w:val="5"/>
      </w:numPr>
    </w:pPr>
  </w:style>
  <w:style w:type="paragraph" w:customStyle="1" w:styleId="Numbers">
    <w:name w:val="Numbers"/>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rsid w:val="007715BA"/>
    <w:pPr>
      <w:numPr>
        <w:numId w:val="7"/>
      </w:numPr>
      <w:spacing w:after="360"/>
    </w:pPr>
  </w:style>
  <w:style w:type="paragraph" w:customStyle="1" w:styleId="LetterDate">
    <w:name w:val="Letter Date"/>
    <w:next w:val="LetterAddressee"/>
    <w:qFormat/>
    <w:rsid w:val="00EB2941"/>
    <w:pPr>
      <w:spacing w:before="2000" w:line="240" w:lineRule="auto"/>
    </w:pPr>
    <w:rPr>
      <w:rFonts w:ascii="Arial" w:hAnsi="Arial"/>
    </w:rPr>
  </w:style>
  <w:style w:type="paragraph" w:customStyle="1" w:styleId="LetterAddressee">
    <w:name w:val="Letter Addressee"/>
    <w:next w:val="LetterSalutation"/>
    <w:qFormat/>
    <w:rsid w:val="00EB2941"/>
    <w:pPr>
      <w:spacing w:after="0" w:line="240" w:lineRule="auto"/>
    </w:pPr>
    <w:rPr>
      <w:rFonts w:ascii="Arial" w:hAnsi="Arial"/>
    </w:rPr>
  </w:style>
  <w:style w:type="paragraph" w:customStyle="1" w:styleId="LetterSalutation">
    <w:name w:val="Letter Salutation"/>
    <w:next w:val="BodyParagraph"/>
    <w:qFormat/>
    <w:rsid w:val="00EB2941"/>
    <w:pPr>
      <w:spacing w:before="400" w:line="240" w:lineRule="auto"/>
    </w:pPr>
    <w:rPr>
      <w:rFonts w:ascii="Arial" w:hAnsi="Arial"/>
    </w:rPr>
  </w:style>
  <w:style w:type="paragraph" w:customStyle="1" w:styleId="LetterClosing">
    <w:name w:val="Letter Closing"/>
    <w:qFormat/>
    <w:rsid w:val="00EB2941"/>
    <w:pPr>
      <w:spacing w:after="1000" w:line="240" w:lineRule="auto"/>
    </w:pPr>
    <w:rPr>
      <w:rFonts w:ascii="Arial" w:hAnsi="Arial"/>
    </w:rPr>
  </w:style>
  <w:style w:type="character" w:customStyle="1" w:styleId="BodyParagraphChar">
    <w:name w:val="Body Paragraph Char"/>
    <w:basedOn w:val="DefaultParagraphFont"/>
    <w:link w:val="BodyParagraph"/>
    <w:uiPriority w:val="99"/>
    <w:rsid w:val="005C465D"/>
    <w:rPr>
      <w:rFonts w:ascii="Verdana" w:eastAsiaTheme="minorHAnsi" w:hAnsi="Verdana"/>
      <w:sz w:val="18"/>
    </w:rPr>
  </w:style>
  <w:style w:type="character" w:styleId="CommentReference">
    <w:name w:val="annotation reference"/>
    <w:basedOn w:val="DefaultParagraphFont"/>
    <w:unhideWhenUsed/>
    <w:rsid w:val="003074B1"/>
    <w:rPr>
      <w:sz w:val="16"/>
      <w:szCs w:val="16"/>
    </w:rPr>
  </w:style>
  <w:style w:type="paragraph" w:styleId="CommentText">
    <w:name w:val="annotation text"/>
    <w:basedOn w:val="Normal"/>
    <w:link w:val="CommentTextChar"/>
    <w:unhideWhenUsed/>
    <w:rsid w:val="003074B1"/>
    <w:pPr>
      <w:spacing w:line="240" w:lineRule="auto"/>
    </w:pPr>
    <w:rPr>
      <w:sz w:val="20"/>
      <w:szCs w:val="20"/>
    </w:rPr>
  </w:style>
  <w:style w:type="character" w:customStyle="1" w:styleId="CommentTextChar">
    <w:name w:val="Comment Text Char"/>
    <w:basedOn w:val="DefaultParagraphFont"/>
    <w:link w:val="CommentText"/>
    <w:rsid w:val="003074B1"/>
    <w:rPr>
      <w:sz w:val="20"/>
      <w:szCs w:val="20"/>
    </w:rPr>
  </w:style>
  <w:style w:type="paragraph" w:styleId="CommentSubject">
    <w:name w:val="annotation subject"/>
    <w:basedOn w:val="CommentText"/>
    <w:next w:val="CommentText"/>
    <w:link w:val="CommentSubjectChar"/>
    <w:semiHidden/>
    <w:unhideWhenUsed/>
    <w:rsid w:val="003074B1"/>
    <w:rPr>
      <w:b/>
      <w:bCs/>
    </w:rPr>
  </w:style>
  <w:style w:type="character" w:customStyle="1" w:styleId="CommentSubjectChar">
    <w:name w:val="Comment Subject Char"/>
    <w:basedOn w:val="CommentTextChar"/>
    <w:link w:val="CommentSubject"/>
    <w:semiHidden/>
    <w:rsid w:val="003074B1"/>
    <w:rPr>
      <w:b/>
      <w:bCs/>
      <w:sz w:val="20"/>
      <w:szCs w:val="20"/>
    </w:rPr>
  </w:style>
  <w:style w:type="paragraph" w:styleId="Revision">
    <w:name w:val="Revision"/>
    <w:hidden/>
    <w:uiPriority w:val="99"/>
    <w:semiHidden/>
    <w:rsid w:val="003074B1"/>
    <w:pPr>
      <w:spacing w:after="0" w:line="240" w:lineRule="auto"/>
    </w:pPr>
  </w:style>
  <w:style w:type="paragraph" w:styleId="ListParagraph">
    <w:name w:val="List Paragraph"/>
    <w:basedOn w:val="Normal"/>
    <w:uiPriority w:val="34"/>
    <w:qFormat/>
    <w:rsid w:val="009B3158"/>
    <w:pPr>
      <w:spacing w:after="0" w:line="240" w:lineRule="auto"/>
      <w:ind w:left="720"/>
    </w:pPr>
    <w:rPr>
      <w:rFonts w:ascii="Calibri" w:hAnsi="Calibri" w:cs="Calibri"/>
    </w:rPr>
  </w:style>
  <w:style w:type="paragraph" w:customStyle="1" w:styleId="Bullet">
    <w:name w:val="Bullet"/>
    <w:basedOn w:val="Normal"/>
    <w:rsid w:val="008C3CFB"/>
    <w:pPr>
      <w:numPr>
        <w:numId w:val="15"/>
      </w:numPr>
      <w:spacing w:after="240" w:line="240" w:lineRule="auto"/>
    </w:pPr>
    <w:rPr>
      <w:rFonts w:ascii="Arial" w:eastAsia="Times New Roman" w:hAnsi="Arial" w:cs="Times New Roman"/>
    </w:rPr>
  </w:style>
  <w:style w:type="paragraph" w:styleId="Caption">
    <w:name w:val="caption"/>
    <w:basedOn w:val="TableFigureCaption"/>
    <w:next w:val="Normal"/>
    <w:link w:val="CaptionChar"/>
    <w:qFormat/>
    <w:rsid w:val="008C3CFB"/>
    <w:pPr>
      <w:spacing w:after="0"/>
    </w:pPr>
    <w:rPr>
      <w:rFonts w:ascii="Arial" w:eastAsia="Times New Roman" w:hAnsi="Arial" w:cs="Times New Roman"/>
      <w:sz w:val="22"/>
    </w:rPr>
  </w:style>
  <w:style w:type="character" w:customStyle="1" w:styleId="CaptionChar">
    <w:name w:val="Caption Char"/>
    <w:basedOn w:val="DefaultParagraphFont"/>
    <w:link w:val="Caption"/>
    <w:locked/>
    <w:rsid w:val="008C3CFB"/>
    <w:rPr>
      <w:rFonts w:ascii="Arial" w:eastAsia="Times New Roman" w:hAnsi="Arial" w:cs="Times New Roman"/>
      <w:b/>
    </w:rPr>
  </w:style>
  <w:style w:type="table" w:styleId="TableProfessional">
    <w:name w:val="Table Professional"/>
    <w:basedOn w:val="TableNormal"/>
    <w:rsid w:val="008C3CFB"/>
    <w:pPr>
      <w:spacing w:after="0" w:line="240" w:lineRule="auto"/>
    </w:pPr>
    <w:rPr>
      <w:rFonts w:ascii="Arial Narrow" w:eastAsia="Times New Roman" w:hAnsi="Arial Narrow"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Bold">
    <w:name w:val="Normal + Bold"/>
    <w:aliases w:val="Centered"/>
    <w:basedOn w:val="BodyParagraph"/>
    <w:rsid w:val="008C3CFB"/>
    <w:rPr>
      <w:rFonts w:ascii="Arial" w:eastAsia="Calibri" w:hAnsi="Arial" w:cs="Times New Roman"/>
      <w:sz w:val="20"/>
    </w:rPr>
  </w:style>
  <w:style w:type="character" w:customStyle="1" w:styleId="CharChar1">
    <w:name w:val="Char Char1"/>
    <w:basedOn w:val="DefaultParagraphFont"/>
    <w:semiHidden/>
    <w:locked/>
    <w:rsid w:val="008C3CFB"/>
    <w:rPr>
      <w:rFonts w:ascii="Franklin Gothic Book" w:hAnsi="Franklin Gothic Book"/>
      <w:spacing w:val="-2"/>
      <w:lang w:val="en-US" w:eastAsia="en-US" w:bidi="ar-SA"/>
    </w:rPr>
  </w:style>
  <w:style w:type="paragraph" w:customStyle="1" w:styleId="Heading1notnumbered">
    <w:name w:val="Heading 1 not numbered"/>
    <w:basedOn w:val="Heading1"/>
    <w:rsid w:val="008C3CFB"/>
    <w:pPr>
      <w:numPr>
        <w:numId w:val="0"/>
      </w:numPr>
      <w:spacing w:after="240"/>
    </w:pPr>
    <w:rPr>
      <w:rFonts w:ascii="Arial Bold" w:hAnsi="Arial Bold"/>
    </w:rPr>
  </w:style>
  <w:style w:type="paragraph" w:styleId="NormalWeb">
    <w:name w:val="Normal (Web)"/>
    <w:basedOn w:val="Normal"/>
    <w:rsid w:val="008C3CFB"/>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TableCaption">
    <w:name w:val="Table Caption"/>
    <w:basedOn w:val="Caption"/>
    <w:rsid w:val="008C3CFB"/>
    <w:pPr>
      <w:keepNext w:val="0"/>
    </w:pPr>
    <w:rPr>
      <w:rFonts w:ascii="Times New Roman" w:hAnsi="Times New Roman"/>
      <w:bCs/>
      <w:sz w:val="24"/>
      <w:szCs w:val="20"/>
    </w:rPr>
  </w:style>
  <w:style w:type="paragraph" w:customStyle="1" w:styleId="standard">
    <w:name w:val="standard"/>
    <w:basedOn w:val="Normal"/>
    <w:link w:val="standardChar"/>
    <w:rsid w:val="008C3CFB"/>
    <w:pPr>
      <w:spacing w:after="0" w:line="360" w:lineRule="auto"/>
      <w:ind w:firstLine="720"/>
    </w:pPr>
    <w:rPr>
      <w:rFonts w:ascii="Palatino" w:eastAsia="Times New Roman" w:hAnsi="Palatino" w:cs="Times New Roman"/>
      <w:sz w:val="26"/>
      <w:szCs w:val="20"/>
    </w:rPr>
  </w:style>
  <w:style w:type="character" w:customStyle="1" w:styleId="standardChar">
    <w:name w:val="standard Char"/>
    <w:basedOn w:val="DefaultParagraphFont"/>
    <w:link w:val="standard"/>
    <w:rsid w:val="008C3CFB"/>
    <w:rPr>
      <w:rFonts w:ascii="Palatino" w:eastAsia="Times New Roman" w:hAnsi="Palatino" w:cs="Times New Roman"/>
      <w:sz w:val="26"/>
      <w:szCs w:val="20"/>
    </w:rPr>
  </w:style>
  <w:style w:type="numbering" w:customStyle="1" w:styleId="NoList1">
    <w:name w:val="No List1"/>
    <w:next w:val="NoList"/>
    <w:semiHidden/>
    <w:rsid w:val="008C3CFB"/>
  </w:style>
  <w:style w:type="character" w:styleId="FollowedHyperlink">
    <w:name w:val="FollowedHyperlink"/>
    <w:basedOn w:val="DefaultParagraphFont"/>
    <w:rsid w:val="008C3CFB"/>
    <w:rPr>
      <w:rFonts w:cs="Times New Roman"/>
      <w:color w:val="800080"/>
      <w:u w:val="single"/>
    </w:rPr>
  </w:style>
  <w:style w:type="paragraph" w:customStyle="1" w:styleId="xl66">
    <w:name w:val="xl66"/>
    <w:basedOn w:val="Normal"/>
    <w:rsid w:val="008C3CFB"/>
    <w:pP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69">
    <w:name w:val="xl69"/>
    <w:basedOn w:val="Normal"/>
    <w:rsid w:val="008C3CFB"/>
    <w:pPr>
      <w:pBdr>
        <w:top w:val="single" w:sz="4" w:space="0" w:color="95B3D7"/>
        <w:left w:val="single" w:sz="4" w:space="0" w:color="95B3D7"/>
        <w:bottom w:val="single" w:sz="4" w:space="0" w:color="95B3D7"/>
      </w:pBdr>
      <w:shd w:val="clear" w:color="4F81BD" w:fill="1F497D"/>
      <w:spacing w:before="100" w:beforeAutospacing="1" w:after="100" w:afterAutospacing="1" w:line="240" w:lineRule="auto"/>
    </w:pPr>
    <w:rPr>
      <w:rFonts w:ascii="Arial" w:eastAsia="Times New Roman" w:hAnsi="Arial" w:cs="Arial"/>
      <w:b/>
      <w:bCs/>
      <w:color w:val="FFFFFF"/>
      <w:sz w:val="18"/>
      <w:szCs w:val="18"/>
    </w:rPr>
  </w:style>
  <w:style w:type="paragraph" w:customStyle="1" w:styleId="xl70">
    <w:name w:val="xl70"/>
    <w:basedOn w:val="Normal"/>
    <w:rsid w:val="008C3CFB"/>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1">
    <w:name w:val="xl71"/>
    <w:basedOn w:val="Normal"/>
    <w:rsid w:val="008C3CFB"/>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2">
    <w:name w:val="xl72"/>
    <w:basedOn w:val="Normal"/>
    <w:rsid w:val="008C3CFB"/>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3">
    <w:name w:val="xl73"/>
    <w:basedOn w:val="Normal"/>
    <w:rsid w:val="008C3CFB"/>
    <w:pPr>
      <w:pBdr>
        <w:top w:val="single" w:sz="4" w:space="0" w:color="95B3D7"/>
        <w:bottom w:val="single" w:sz="4" w:space="0" w:color="95B3D7"/>
        <w:right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4">
    <w:name w:val="xl74"/>
    <w:basedOn w:val="Normal"/>
    <w:rsid w:val="008C3CFB"/>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8C3CFB"/>
    <w:pPr>
      <w:pBdr>
        <w:bottom w:val="single" w:sz="4" w:space="0" w:color="95B3D7"/>
      </w:pBdr>
      <w:shd w:val="clear" w:color="DBE5F1" w:fill="DBE5F1"/>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76">
    <w:name w:val="xl76"/>
    <w:basedOn w:val="Normal"/>
    <w:rsid w:val="008C3CFB"/>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8C3CFB"/>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8C3CFB"/>
    <w:pPr>
      <w:pBdr>
        <w:bottom w:val="single" w:sz="4" w:space="0" w:color="95B3D7"/>
        <w:right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8C3CFB"/>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8C3CFB"/>
    <w:pPr>
      <w:pBdr>
        <w:bottom w:val="single" w:sz="4" w:space="0" w:color="95B3D7"/>
      </w:pBdr>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81">
    <w:name w:val="xl81"/>
    <w:basedOn w:val="Normal"/>
    <w:rsid w:val="008C3CFB"/>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2">
    <w:name w:val="xl82"/>
    <w:basedOn w:val="Normal"/>
    <w:rsid w:val="008C3CFB"/>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rsid w:val="008C3CFB"/>
    <w:pPr>
      <w:pBdr>
        <w:bottom w:val="single" w:sz="4" w:space="0" w:color="95B3D7"/>
        <w:right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8C3CFB"/>
    <w:pPr>
      <w:pBdr>
        <w:left w:val="single" w:sz="4" w:space="7" w:color="95B3D7"/>
        <w:bottom w:val="single" w:sz="4" w:space="0" w:color="95B3D7"/>
      </w:pBdr>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5">
    <w:name w:val="xl85"/>
    <w:basedOn w:val="Normal"/>
    <w:rsid w:val="008C3CFB"/>
    <w:pPr>
      <w:pBdr>
        <w:left w:val="single" w:sz="4" w:space="7" w:color="95B3D7"/>
        <w:bottom w:val="single" w:sz="4" w:space="0" w:color="95B3D7"/>
      </w:pBdr>
      <w:shd w:val="clear" w:color="DBE5F1" w:fill="DBE5F1"/>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6">
    <w:name w:val="xl86"/>
    <w:basedOn w:val="Normal"/>
    <w:rsid w:val="008C3CFB"/>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8C3CFB"/>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table" w:customStyle="1" w:styleId="MediumShading1-Accent11">
    <w:name w:val="Medium Shading 1 - Accent 11"/>
    <w:basedOn w:val="TableNormal"/>
    <w:uiPriority w:val="63"/>
    <w:rsid w:val="008C3CF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5">
    <w:name w:val="toc 5"/>
    <w:basedOn w:val="Normal"/>
    <w:next w:val="Normal"/>
    <w:autoRedefine/>
    <w:uiPriority w:val="39"/>
    <w:unhideWhenUsed/>
    <w:rsid w:val="008C3CFB"/>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8C3CFB"/>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8C3CFB"/>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8C3CFB"/>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8C3CFB"/>
    <w:pPr>
      <w:spacing w:after="100"/>
      <w:ind w:left="1760"/>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BodyParagraph"/>
    <w:link w:val="Heading1Char"/>
    <w:uiPriority w:val="9"/>
    <w:qFormat/>
    <w:rsid w:val="005C465D"/>
    <w:pPr>
      <w:keepNext/>
      <w:numPr>
        <w:numId w:val="3"/>
      </w:numPr>
      <w:spacing w:after="120" w:line="240" w:lineRule="auto"/>
      <w:outlineLvl w:val="0"/>
    </w:pPr>
    <w:rPr>
      <w:rFonts w:ascii="TitilliumText22L Xb" w:eastAsia="Times New Roman" w:hAnsi="TitilliumText22L Xb" w:cs="Times New Roman"/>
      <w:b/>
      <w:color w:val="433B67"/>
      <w:sz w:val="28"/>
      <w:szCs w:val="28"/>
    </w:rPr>
  </w:style>
  <w:style w:type="paragraph" w:styleId="Heading2">
    <w:name w:val="heading 2"/>
    <w:basedOn w:val="Heading1"/>
    <w:next w:val="BodyParagraph"/>
    <w:link w:val="Heading2Char"/>
    <w:unhideWhenUsed/>
    <w:qFormat/>
    <w:rsid w:val="005C465D"/>
    <w:pPr>
      <w:numPr>
        <w:ilvl w:val="1"/>
      </w:numPr>
      <w:outlineLvl w:val="1"/>
    </w:pPr>
    <w:rPr>
      <w:rFonts w:ascii="TitilliumText22L Rg" w:eastAsiaTheme="majorEastAsia" w:hAnsi="TitilliumText22L Rg" w:cstheme="majorBidi"/>
      <w:bCs/>
      <w:color w:val="5F497A" w:themeColor="accent4" w:themeShade="BF"/>
      <w:sz w:val="26"/>
      <w:szCs w:val="26"/>
    </w:rPr>
  </w:style>
  <w:style w:type="paragraph" w:styleId="Heading3">
    <w:name w:val="heading 3"/>
    <w:basedOn w:val="Heading2"/>
    <w:next w:val="BodyParagraph"/>
    <w:link w:val="Heading3Char"/>
    <w:unhideWhenUsed/>
    <w:qFormat/>
    <w:rsid w:val="007C29F6"/>
    <w:pPr>
      <w:keepLines/>
      <w:numPr>
        <w:ilvl w:val="2"/>
      </w:numPr>
      <w:ind w:left="1080"/>
      <w:outlineLvl w:val="2"/>
    </w:pPr>
    <w:rPr>
      <w:rFonts w:ascii="Arial" w:hAnsi="Arial"/>
      <w:bCs w:val="0"/>
    </w:rPr>
  </w:style>
  <w:style w:type="paragraph" w:styleId="Heading4">
    <w:name w:val="heading 4"/>
    <w:basedOn w:val="Normal"/>
    <w:next w:val="BodyParagraph"/>
    <w:link w:val="Heading4Char"/>
    <w:unhideWhenUsed/>
    <w:qFormat/>
    <w:rsid w:val="00192CF8"/>
    <w:pPr>
      <w:keepNext/>
      <w:keepLines/>
      <w:spacing w:before="200" w:after="0"/>
      <w:ind w:left="360"/>
      <w:outlineLvl w:val="3"/>
    </w:pPr>
    <w:rPr>
      <w:rFonts w:ascii="Arial" w:eastAsiaTheme="majorEastAsia" w:hAnsi="Arial" w:cs="Arial"/>
      <w:b/>
      <w:bCs/>
      <w:i/>
      <w:iCs/>
      <w:color w:val="5F497A" w:themeColor="accent4" w:themeShade="BF"/>
      <w:sz w:val="24"/>
    </w:rPr>
  </w:style>
  <w:style w:type="paragraph" w:styleId="Heading5">
    <w:name w:val="heading 5"/>
    <w:basedOn w:val="Normal"/>
    <w:next w:val="Normal"/>
    <w:link w:val="Heading5Char"/>
    <w:uiPriority w:val="9"/>
    <w:unhideWhenUsed/>
    <w:qFormat/>
    <w:rsid w:val="0046277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277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6277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6277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6277A"/>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6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A6B02"/>
    <w:rPr>
      <w:rFonts w:ascii="Tahoma" w:hAnsi="Tahoma" w:cs="Tahoma"/>
      <w:sz w:val="16"/>
      <w:szCs w:val="16"/>
    </w:rPr>
  </w:style>
  <w:style w:type="paragraph" w:customStyle="1" w:styleId="TitleHeader">
    <w:name w:val="Title Header"/>
    <w:qFormat/>
    <w:rsid w:val="002A6B02"/>
    <w:pPr>
      <w:spacing w:after="120" w:line="240" w:lineRule="auto"/>
    </w:pPr>
    <w:rPr>
      <w:rFonts w:ascii="Arial" w:eastAsia="Times New Roman" w:hAnsi="Arial" w:cs="Arial"/>
      <w:b/>
      <w:i/>
      <w:color w:val="FFFFFF"/>
      <w:sz w:val="24"/>
      <w:szCs w:val="24"/>
    </w:rPr>
  </w:style>
  <w:style w:type="paragraph" w:customStyle="1" w:styleId="TitleProposal">
    <w:name w:val="Title Proposal"/>
    <w:qFormat/>
    <w:rsid w:val="00305437"/>
    <w:pPr>
      <w:spacing w:after="400" w:line="240" w:lineRule="auto"/>
    </w:pPr>
    <w:rPr>
      <w:rFonts w:ascii="Arial" w:eastAsia="Times New Roman" w:hAnsi="Arial" w:cs="Arial"/>
      <w:b/>
      <w:color w:val="FFFFFF"/>
      <w:sz w:val="28"/>
      <w:szCs w:val="28"/>
    </w:rPr>
  </w:style>
  <w:style w:type="paragraph" w:customStyle="1" w:styleId="TitleAddress">
    <w:name w:val="Title Address"/>
    <w:qFormat/>
    <w:rsid w:val="00305437"/>
    <w:pPr>
      <w:tabs>
        <w:tab w:val="left" w:pos="3960"/>
      </w:tabs>
      <w:spacing w:after="400" w:line="240" w:lineRule="auto"/>
    </w:pPr>
    <w:rPr>
      <w:rFonts w:ascii="Arial" w:eastAsia="Times New Roman" w:hAnsi="Arial" w:cs="Arial"/>
      <w:b/>
      <w:color w:val="FFFFFF"/>
    </w:rPr>
  </w:style>
  <w:style w:type="paragraph" w:styleId="Footer">
    <w:name w:val="footer"/>
    <w:basedOn w:val="Normal"/>
    <w:link w:val="Foot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2A6B02"/>
    <w:rPr>
      <w:rFonts w:ascii="Arial" w:eastAsia="Times New Roman" w:hAnsi="Arial" w:cs="Times New Roman"/>
      <w:szCs w:val="24"/>
    </w:rPr>
  </w:style>
  <w:style w:type="character" w:styleId="PageNumber">
    <w:name w:val="page number"/>
    <w:basedOn w:val="DefaultParagraphFont"/>
    <w:rsid w:val="002A6B02"/>
  </w:style>
  <w:style w:type="paragraph" w:styleId="Header">
    <w:name w:val="header"/>
    <w:basedOn w:val="Normal"/>
    <w:link w:val="HeaderChar"/>
    <w:rsid w:val="002A6B02"/>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2A6B02"/>
    <w:rPr>
      <w:rFonts w:ascii="Arial" w:eastAsia="Times New Roman" w:hAnsi="Arial" w:cs="Times New Roman"/>
      <w:szCs w:val="24"/>
    </w:rPr>
  </w:style>
  <w:style w:type="paragraph" w:customStyle="1" w:styleId="PreparedFor">
    <w:name w:val="Prepared For"/>
    <w:rsid w:val="00305437"/>
    <w:pPr>
      <w:spacing w:before="400" w:after="120" w:line="240" w:lineRule="auto"/>
      <w:jc w:val="right"/>
    </w:pPr>
    <w:rPr>
      <w:rFonts w:ascii="Arial" w:eastAsia="Times New Roman" w:hAnsi="Arial" w:cs="Times New Roman"/>
      <w:i/>
      <w:szCs w:val="20"/>
    </w:rPr>
  </w:style>
  <w:style w:type="paragraph" w:customStyle="1" w:styleId="PreparedForCompany">
    <w:name w:val="Prepared For Company"/>
    <w:basedOn w:val="Normal"/>
    <w:qFormat/>
    <w:rsid w:val="00305437"/>
    <w:pPr>
      <w:spacing w:after="0" w:line="240" w:lineRule="auto"/>
      <w:jc w:val="right"/>
    </w:pPr>
    <w:rPr>
      <w:rFonts w:ascii="Arial" w:eastAsia="Times New Roman" w:hAnsi="Arial" w:cs="Times New Roman"/>
      <w:szCs w:val="24"/>
    </w:rPr>
  </w:style>
  <w:style w:type="character" w:customStyle="1" w:styleId="Heading1Char">
    <w:name w:val="Heading 1 Char"/>
    <w:basedOn w:val="DefaultParagraphFont"/>
    <w:link w:val="Heading1"/>
    <w:uiPriority w:val="9"/>
    <w:rsid w:val="005C465D"/>
    <w:rPr>
      <w:rFonts w:ascii="TitilliumText22L Xb" w:eastAsia="Times New Roman" w:hAnsi="TitilliumText22L Xb" w:cs="Times New Roman"/>
      <w:b/>
      <w:color w:val="433B67"/>
      <w:sz w:val="28"/>
      <w:szCs w:val="28"/>
    </w:rPr>
  </w:style>
  <w:style w:type="paragraph" w:styleId="TOCHeading">
    <w:name w:val="TOC Heading"/>
    <w:basedOn w:val="Heading1"/>
    <w:next w:val="Normal"/>
    <w:uiPriority w:val="39"/>
    <w:unhideWhenUsed/>
    <w:qFormat/>
    <w:rsid w:val="00F179F1"/>
    <w:pPr>
      <w:spacing w:before="480" w:after="0" w:line="276"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33F08"/>
    <w:pPr>
      <w:tabs>
        <w:tab w:val="left" w:pos="270"/>
        <w:tab w:val="right" w:leader="dot" w:pos="8460"/>
      </w:tabs>
      <w:spacing w:after="100"/>
    </w:pPr>
    <w:rPr>
      <w:rFonts w:ascii="Arial" w:hAnsi="Arial" w:cs="Arial"/>
      <w:noProof/>
      <w:sz w:val="24"/>
      <w:szCs w:val="24"/>
    </w:rPr>
  </w:style>
  <w:style w:type="character" w:styleId="Hyperlink">
    <w:name w:val="Hyperlink"/>
    <w:basedOn w:val="DefaultParagraphFont"/>
    <w:uiPriority w:val="99"/>
    <w:unhideWhenUsed/>
    <w:rsid w:val="005C465D"/>
    <w:rPr>
      <w:rFonts w:ascii="Verdana" w:hAnsi="Verdana"/>
      <w:color w:val="0000FF" w:themeColor="hyperlink"/>
      <w:sz w:val="18"/>
    </w:rPr>
  </w:style>
  <w:style w:type="paragraph" w:customStyle="1" w:styleId="TableofContents">
    <w:name w:val="Table of Contents"/>
    <w:qFormat/>
    <w:rsid w:val="00DB35F9"/>
    <w:pPr>
      <w:ind w:left="720"/>
    </w:pPr>
    <w:rPr>
      <w:rFonts w:ascii="Arial Bold" w:eastAsia="Times New Roman" w:hAnsi="Arial Bold" w:cs="Times New Roman"/>
      <w:b/>
      <w:color w:val="5F497A" w:themeColor="accent4" w:themeShade="BF"/>
      <w:sz w:val="28"/>
      <w:szCs w:val="24"/>
    </w:rPr>
  </w:style>
  <w:style w:type="character" w:customStyle="1" w:styleId="Heading2Char">
    <w:name w:val="Heading 2 Char"/>
    <w:basedOn w:val="DefaultParagraphFont"/>
    <w:link w:val="Heading2"/>
    <w:rsid w:val="005C465D"/>
    <w:rPr>
      <w:rFonts w:ascii="TitilliumText22L Rg" w:eastAsiaTheme="majorEastAsia" w:hAnsi="TitilliumText22L Rg" w:cstheme="majorBidi"/>
      <w:b/>
      <w:bCs/>
      <w:color w:val="5F497A" w:themeColor="accent4" w:themeShade="BF"/>
      <w:sz w:val="26"/>
      <w:szCs w:val="26"/>
    </w:rPr>
  </w:style>
  <w:style w:type="paragraph" w:styleId="TOC2">
    <w:name w:val="toc 2"/>
    <w:basedOn w:val="Normal"/>
    <w:next w:val="Normal"/>
    <w:autoRedefine/>
    <w:uiPriority w:val="39"/>
    <w:unhideWhenUsed/>
    <w:rsid w:val="001C1F7B"/>
    <w:pPr>
      <w:tabs>
        <w:tab w:val="left" w:pos="720"/>
        <w:tab w:val="right" w:leader="dot" w:pos="8460"/>
      </w:tabs>
      <w:spacing w:after="100"/>
      <w:ind w:left="220"/>
    </w:pPr>
    <w:rPr>
      <w:rFonts w:ascii="Arial" w:hAnsi="Arial" w:cs="Arial"/>
      <w:noProof/>
      <w:sz w:val="24"/>
      <w:szCs w:val="24"/>
    </w:rPr>
  </w:style>
  <w:style w:type="character" w:customStyle="1" w:styleId="Heading3Char">
    <w:name w:val="Heading 3 Char"/>
    <w:basedOn w:val="DefaultParagraphFont"/>
    <w:link w:val="Heading3"/>
    <w:rsid w:val="007C29F6"/>
    <w:rPr>
      <w:rFonts w:ascii="Arial" w:eastAsiaTheme="majorEastAsia" w:hAnsi="Arial" w:cstheme="majorBidi"/>
      <w:b/>
      <w:color w:val="5F497A" w:themeColor="accent4" w:themeShade="BF"/>
      <w:sz w:val="26"/>
      <w:szCs w:val="26"/>
    </w:rPr>
  </w:style>
  <w:style w:type="paragraph" w:styleId="TOC3">
    <w:name w:val="toc 3"/>
    <w:basedOn w:val="Normal"/>
    <w:next w:val="Normal"/>
    <w:autoRedefine/>
    <w:uiPriority w:val="39"/>
    <w:unhideWhenUsed/>
    <w:rsid w:val="001C1F7B"/>
    <w:pPr>
      <w:tabs>
        <w:tab w:val="left" w:pos="1080"/>
        <w:tab w:val="right" w:leader="dot" w:pos="8460"/>
      </w:tabs>
      <w:spacing w:after="100"/>
      <w:ind w:left="440"/>
    </w:pPr>
    <w:rPr>
      <w:rFonts w:ascii="Arial" w:hAnsi="Arial" w:cs="Arial"/>
      <w:noProof/>
      <w:sz w:val="24"/>
      <w:szCs w:val="24"/>
    </w:rPr>
  </w:style>
  <w:style w:type="paragraph" w:customStyle="1" w:styleId="BodyParagraph">
    <w:name w:val="Body Paragraph"/>
    <w:link w:val="BodyParagraphChar"/>
    <w:uiPriority w:val="99"/>
    <w:qFormat/>
    <w:rsid w:val="005C465D"/>
    <w:pPr>
      <w:spacing w:after="240" w:line="312" w:lineRule="auto"/>
    </w:pPr>
    <w:rPr>
      <w:rFonts w:ascii="Verdana" w:eastAsiaTheme="minorHAnsi" w:hAnsi="Verdana"/>
      <w:sz w:val="18"/>
    </w:rPr>
  </w:style>
  <w:style w:type="paragraph" w:customStyle="1" w:styleId="BodyBeforeBullet">
    <w:name w:val="Body Before Bullet"/>
    <w:basedOn w:val="BodyParagraph"/>
    <w:next w:val="Bullets"/>
    <w:uiPriority w:val="99"/>
    <w:qFormat/>
    <w:rsid w:val="00393B5B"/>
    <w:pPr>
      <w:keepNext/>
      <w:spacing w:after="60"/>
    </w:pPr>
  </w:style>
  <w:style w:type="paragraph" w:customStyle="1" w:styleId="Bullets">
    <w:name w:val="Bullets"/>
    <w:basedOn w:val="Normal"/>
    <w:uiPriority w:val="99"/>
    <w:qFormat/>
    <w:rsid w:val="005C465D"/>
    <w:pPr>
      <w:numPr>
        <w:numId w:val="1"/>
      </w:numPr>
      <w:spacing w:after="120" w:line="240" w:lineRule="auto"/>
    </w:pPr>
    <w:rPr>
      <w:rFonts w:ascii="Verdana" w:eastAsia="Times New Roman" w:hAnsi="Verdana" w:cs="Arial"/>
      <w:sz w:val="18"/>
      <w:szCs w:val="21"/>
    </w:rPr>
  </w:style>
  <w:style w:type="paragraph" w:customStyle="1" w:styleId="BulletLast">
    <w:name w:val="Bullet Last"/>
    <w:basedOn w:val="Bullets"/>
    <w:next w:val="BodyParagraph"/>
    <w:uiPriority w:val="99"/>
    <w:qFormat/>
    <w:rsid w:val="001B352B"/>
    <w:pPr>
      <w:spacing w:after="360"/>
    </w:pPr>
  </w:style>
  <w:style w:type="paragraph" w:styleId="FootnoteText">
    <w:name w:val="footnote text"/>
    <w:aliases w:val="Footnote Text1 Char,Footnote Text Char Ch"/>
    <w:basedOn w:val="Normal"/>
    <w:link w:val="FootnoteTextChar"/>
    <w:uiPriority w:val="99"/>
    <w:unhideWhenUsed/>
    <w:rsid w:val="001B352B"/>
    <w:pPr>
      <w:spacing w:after="0" w:line="240" w:lineRule="auto"/>
    </w:pPr>
    <w:rPr>
      <w:sz w:val="20"/>
      <w:szCs w:val="20"/>
    </w:rPr>
  </w:style>
  <w:style w:type="character" w:customStyle="1" w:styleId="FootnoteTextChar">
    <w:name w:val="Footnote Text Char"/>
    <w:aliases w:val="Footnote Text1 Char Char,Footnote Text Char Ch Char"/>
    <w:basedOn w:val="DefaultParagraphFont"/>
    <w:link w:val="FootnoteText"/>
    <w:uiPriority w:val="99"/>
    <w:rsid w:val="001B352B"/>
    <w:rPr>
      <w:sz w:val="20"/>
      <w:szCs w:val="20"/>
    </w:rPr>
  </w:style>
  <w:style w:type="character" w:styleId="FootnoteReference">
    <w:name w:val="footnote reference"/>
    <w:basedOn w:val="DefaultParagraphFont"/>
    <w:uiPriority w:val="99"/>
    <w:unhideWhenUsed/>
    <w:rsid w:val="001B352B"/>
    <w:rPr>
      <w:vertAlign w:val="superscript"/>
    </w:rPr>
  </w:style>
  <w:style w:type="paragraph" w:customStyle="1" w:styleId="Footnote">
    <w:name w:val="Footnote"/>
    <w:basedOn w:val="FootnoteText"/>
    <w:qFormat/>
    <w:rsid w:val="001B352B"/>
    <w:pPr>
      <w:spacing w:after="120"/>
    </w:pPr>
    <w:rPr>
      <w:rFonts w:ascii="Franklin Gothic Book" w:hAnsi="Franklin Gothic Book"/>
      <w:sz w:val="18"/>
    </w:rPr>
  </w:style>
  <w:style w:type="paragraph" w:customStyle="1" w:styleId="TableFigureCaption">
    <w:name w:val="Table Figure Caption"/>
    <w:basedOn w:val="Normal"/>
    <w:next w:val="BodyParaAfterTableFigure"/>
    <w:qFormat/>
    <w:rsid w:val="005C465D"/>
    <w:pPr>
      <w:keepNext/>
      <w:spacing w:after="120" w:line="240" w:lineRule="auto"/>
      <w:jc w:val="center"/>
    </w:pPr>
    <w:rPr>
      <w:rFonts w:ascii="TitilliumText22L Rg" w:eastAsiaTheme="minorHAnsi" w:hAnsi="TitilliumText22L Rg"/>
      <w:b/>
      <w:sz w:val="20"/>
    </w:rPr>
  </w:style>
  <w:style w:type="table" w:styleId="TableGrid">
    <w:name w:val="Table Grid"/>
    <w:basedOn w:val="TableNormal"/>
    <w:rsid w:val="001B35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Header">
    <w:name w:val="Table Header"/>
    <w:qFormat/>
    <w:rsid w:val="004E5D3E"/>
    <w:pPr>
      <w:spacing w:before="100" w:after="100" w:line="240" w:lineRule="auto"/>
      <w:jc w:val="center"/>
    </w:pPr>
    <w:rPr>
      <w:rFonts w:ascii="Arial" w:hAnsi="Arial"/>
      <w:b/>
      <w:color w:val="FFFFFF" w:themeColor="background1"/>
      <w:sz w:val="20"/>
    </w:rPr>
  </w:style>
  <w:style w:type="paragraph" w:customStyle="1" w:styleId="TableText">
    <w:name w:val="Table Text"/>
    <w:qFormat/>
    <w:rsid w:val="00142ACF"/>
    <w:pPr>
      <w:spacing w:before="60" w:after="60" w:line="240" w:lineRule="auto"/>
    </w:pPr>
    <w:rPr>
      <w:rFonts w:ascii="Arial" w:hAnsi="Arial"/>
      <w:sz w:val="18"/>
    </w:rPr>
  </w:style>
  <w:style w:type="paragraph" w:customStyle="1" w:styleId="BodyParaAfterTableFigure">
    <w:name w:val="Body Para After Table Figure"/>
    <w:basedOn w:val="BodyParagraph"/>
    <w:next w:val="BodyParagraph"/>
    <w:uiPriority w:val="99"/>
    <w:qFormat/>
    <w:rsid w:val="00B50663"/>
    <w:pPr>
      <w:spacing w:before="360"/>
    </w:pPr>
  </w:style>
  <w:style w:type="paragraph" w:customStyle="1" w:styleId="AppendixHeading">
    <w:name w:val="Appendix Heading"/>
    <w:basedOn w:val="Heading1"/>
    <w:next w:val="BodyParagraph"/>
    <w:qFormat/>
    <w:rsid w:val="003D68A0"/>
    <w:pPr>
      <w:numPr>
        <w:numId w:val="2"/>
      </w:numPr>
    </w:pPr>
  </w:style>
  <w:style w:type="character" w:customStyle="1" w:styleId="Heading4Char">
    <w:name w:val="Heading 4 Char"/>
    <w:basedOn w:val="DefaultParagraphFont"/>
    <w:link w:val="Heading4"/>
    <w:rsid w:val="00192CF8"/>
    <w:rPr>
      <w:rFonts w:ascii="Arial" w:eastAsiaTheme="majorEastAsia" w:hAnsi="Arial" w:cs="Arial"/>
      <w:b/>
      <w:bCs/>
      <w:i/>
      <w:iCs/>
      <w:color w:val="5F497A" w:themeColor="accent4" w:themeShade="BF"/>
      <w:sz w:val="24"/>
    </w:rPr>
  </w:style>
  <w:style w:type="character" w:customStyle="1" w:styleId="Heading5Char">
    <w:name w:val="Heading 5 Char"/>
    <w:basedOn w:val="DefaultParagraphFont"/>
    <w:link w:val="Heading5"/>
    <w:uiPriority w:val="9"/>
    <w:rsid w:val="004627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627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627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627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6277A"/>
    <w:rPr>
      <w:rFonts w:asciiTheme="majorHAnsi" w:eastAsiaTheme="majorEastAsia" w:hAnsiTheme="majorHAnsi" w:cstheme="majorBidi"/>
      <w:i/>
      <w:iCs/>
      <w:color w:val="404040" w:themeColor="text1" w:themeTint="BF"/>
      <w:sz w:val="20"/>
      <w:szCs w:val="20"/>
    </w:rPr>
  </w:style>
  <w:style w:type="paragraph" w:customStyle="1" w:styleId="AppendixHeading2">
    <w:name w:val="Appendix Heading 2"/>
    <w:basedOn w:val="Normal"/>
    <w:next w:val="BodyParagraph"/>
    <w:qFormat/>
    <w:rsid w:val="007E0558"/>
    <w:pPr>
      <w:numPr>
        <w:ilvl w:val="1"/>
        <w:numId w:val="2"/>
      </w:numPr>
      <w:spacing w:after="60" w:line="240" w:lineRule="auto"/>
      <w:ind w:left="720" w:hanging="720"/>
    </w:pPr>
    <w:rPr>
      <w:rFonts w:ascii="TitilliumText22L Rg" w:hAnsi="TitilliumText22L Rg"/>
      <w:b/>
      <w:color w:val="5F497A" w:themeColor="accent4" w:themeShade="BF"/>
      <w:sz w:val="26"/>
    </w:rPr>
  </w:style>
  <w:style w:type="paragraph" w:customStyle="1" w:styleId="AppendixHeading3">
    <w:name w:val="Appendix Heading 3"/>
    <w:basedOn w:val="Normal"/>
    <w:next w:val="BodyParagraph"/>
    <w:qFormat/>
    <w:rsid w:val="003A0F85"/>
    <w:pPr>
      <w:numPr>
        <w:ilvl w:val="2"/>
        <w:numId w:val="2"/>
      </w:numPr>
      <w:spacing w:after="60" w:line="240" w:lineRule="auto"/>
      <w:ind w:left="1260" w:hanging="900"/>
    </w:pPr>
    <w:rPr>
      <w:rFonts w:ascii="Arial Bold" w:hAnsi="Arial Bold"/>
      <w:b/>
      <w:color w:val="5F497A" w:themeColor="accent4" w:themeShade="BF"/>
      <w:sz w:val="24"/>
    </w:rPr>
  </w:style>
  <w:style w:type="paragraph" w:customStyle="1" w:styleId="AppendixHeading4">
    <w:name w:val="Appendix Heading 4"/>
    <w:basedOn w:val="BodyParagraph"/>
    <w:next w:val="BodyParagraph"/>
    <w:qFormat/>
    <w:rsid w:val="00F50A5A"/>
    <w:pPr>
      <w:spacing w:after="60" w:line="240" w:lineRule="auto"/>
      <w:ind w:firstLine="360"/>
    </w:pPr>
    <w:rPr>
      <w:rFonts w:ascii="Arial Bold" w:hAnsi="Arial Bold"/>
      <w:b/>
      <w:i/>
      <w:color w:val="5F497A" w:themeColor="accent4" w:themeShade="BF"/>
      <w:sz w:val="24"/>
    </w:rPr>
  </w:style>
  <w:style w:type="paragraph" w:styleId="TOC4">
    <w:name w:val="toc 4"/>
    <w:basedOn w:val="Normal"/>
    <w:next w:val="Normal"/>
    <w:autoRedefine/>
    <w:uiPriority w:val="39"/>
    <w:unhideWhenUsed/>
    <w:rsid w:val="001C1F7B"/>
    <w:pPr>
      <w:tabs>
        <w:tab w:val="left" w:pos="1530"/>
        <w:tab w:val="right" w:leader="dot" w:pos="8460"/>
      </w:tabs>
      <w:spacing w:after="100"/>
      <w:ind w:left="660"/>
    </w:pPr>
    <w:rPr>
      <w:rFonts w:ascii="Arial" w:hAnsi="Arial" w:cs="Arial"/>
      <w:noProof/>
      <w:sz w:val="24"/>
      <w:szCs w:val="24"/>
    </w:rPr>
  </w:style>
  <w:style w:type="numbering" w:customStyle="1" w:styleId="Numbered">
    <w:name w:val="Numbered"/>
    <w:basedOn w:val="NoList"/>
    <w:uiPriority w:val="99"/>
    <w:rsid w:val="00137F86"/>
    <w:pPr>
      <w:numPr>
        <w:numId w:val="4"/>
      </w:numPr>
    </w:pPr>
  </w:style>
  <w:style w:type="numbering" w:customStyle="1" w:styleId="NumberedSteps">
    <w:name w:val="Numbered Steps"/>
    <w:basedOn w:val="NoList"/>
    <w:uiPriority w:val="99"/>
    <w:rsid w:val="00137F86"/>
    <w:pPr>
      <w:numPr>
        <w:numId w:val="5"/>
      </w:numPr>
    </w:pPr>
  </w:style>
  <w:style w:type="paragraph" w:customStyle="1" w:styleId="Numbers">
    <w:name w:val="Numbers"/>
    <w:qFormat/>
    <w:rsid w:val="003D68A0"/>
    <w:pPr>
      <w:numPr>
        <w:numId w:val="6"/>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rsid w:val="007715BA"/>
    <w:pPr>
      <w:numPr>
        <w:numId w:val="7"/>
      </w:numPr>
      <w:spacing w:after="360"/>
    </w:pPr>
  </w:style>
  <w:style w:type="paragraph" w:customStyle="1" w:styleId="LetterDate">
    <w:name w:val="Letter Date"/>
    <w:next w:val="LetterAddressee"/>
    <w:qFormat/>
    <w:rsid w:val="00EB2941"/>
    <w:pPr>
      <w:spacing w:before="2000" w:line="240" w:lineRule="auto"/>
    </w:pPr>
    <w:rPr>
      <w:rFonts w:ascii="Arial" w:hAnsi="Arial"/>
    </w:rPr>
  </w:style>
  <w:style w:type="paragraph" w:customStyle="1" w:styleId="LetterAddressee">
    <w:name w:val="Letter Addressee"/>
    <w:next w:val="LetterSalutation"/>
    <w:qFormat/>
    <w:rsid w:val="00EB2941"/>
    <w:pPr>
      <w:spacing w:after="0" w:line="240" w:lineRule="auto"/>
    </w:pPr>
    <w:rPr>
      <w:rFonts w:ascii="Arial" w:hAnsi="Arial"/>
    </w:rPr>
  </w:style>
  <w:style w:type="paragraph" w:customStyle="1" w:styleId="LetterSalutation">
    <w:name w:val="Letter Salutation"/>
    <w:next w:val="BodyParagraph"/>
    <w:qFormat/>
    <w:rsid w:val="00EB2941"/>
    <w:pPr>
      <w:spacing w:before="400" w:line="240" w:lineRule="auto"/>
    </w:pPr>
    <w:rPr>
      <w:rFonts w:ascii="Arial" w:hAnsi="Arial"/>
    </w:rPr>
  </w:style>
  <w:style w:type="paragraph" w:customStyle="1" w:styleId="LetterClosing">
    <w:name w:val="Letter Closing"/>
    <w:qFormat/>
    <w:rsid w:val="00EB2941"/>
    <w:pPr>
      <w:spacing w:after="1000" w:line="240" w:lineRule="auto"/>
    </w:pPr>
    <w:rPr>
      <w:rFonts w:ascii="Arial" w:hAnsi="Arial"/>
    </w:rPr>
  </w:style>
  <w:style w:type="character" w:customStyle="1" w:styleId="BodyParagraphChar">
    <w:name w:val="Body Paragraph Char"/>
    <w:basedOn w:val="DefaultParagraphFont"/>
    <w:link w:val="BodyParagraph"/>
    <w:uiPriority w:val="99"/>
    <w:rsid w:val="005C465D"/>
    <w:rPr>
      <w:rFonts w:ascii="Verdana" w:eastAsiaTheme="minorHAnsi" w:hAnsi="Verdana"/>
      <w:sz w:val="18"/>
    </w:rPr>
  </w:style>
  <w:style w:type="character" w:styleId="CommentReference">
    <w:name w:val="annotation reference"/>
    <w:basedOn w:val="DefaultParagraphFont"/>
    <w:unhideWhenUsed/>
    <w:rsid w:val="003074B1"/>
    <w:rPr>
      <w:sz w:val="16"/>
      <w:szCs w:val="16"/>
    </w:rPr>
  </w:style>
  <w:style w:type="paragraph" w:styleId="CommentText">
    <w:name w:val="annotation text"/>
    <w:basedOn w:val="Normal"/>
    <w:link w:val="CommentTextChar"/>
    <w:unhideWhenUsed/>
    <w:rsid w:val="003074B1"/>
    <w:pPr>
      <w:spacing w:line="240" w:lineRule="auto"/>
    </w:pPr>
    <w:rPr>
      <w:sz w:val="20"/>
      <w:szCs w:val="20"/>
    </w:rPr>
  </w:style>
  <w:style w:type="character" w:customStyle="1" w:styleId="CommentTextChar">
    <w:name w:val="Comment Text Char"/>
    <w:basedOn w:val="DefaultParagraphFont"/>
    <w:link w:val="CommentText"/>
    <w:rsid w:val="003074B1"/>
    <w:rPr>
      <w:sz w:val="20"/>
      <w:szCs w:val="20"/>
    </w:rPr>
  </w:style>
  <w:style w:type="paragraph" w:styleId="CommentSubject">
    <w:name w:val="annotation subject"/>
    <w:basedOn w:val="CommentText"/>
    <w:next w:val="CommentText"/>
    <w:link w:val="CommentSubjectChar"/>
    <w:semiHidden/>
    <w:unhideWhenUsed/>
    <w:rsid w:val="003074B1"/>
    <w:rPr>
      <w:b/>
      <w:bCs/>
    </w:rPr>
  </w:style>
  <w:style w:type="character" w:customStyle="1" w:styleId="CommentSubjectChar">
    <w:name w:val="Comment Subject Char"/>
    <w:basedOn w:val="CommentTextChar"/>
    <w:link w:val="CommentSubject"/>
    <w:semiHidden/>
    <w:rsid w:val="003074B1"/>
    <w:rPr>
      <w:b/>
      <w:bCs/>
      <w:sz w:val="20"/>
      <w:szCs w:val="20"/>
    </w:rPr>
  </w:style>
  <w:style w:type="paragraph" w:styleId="Revision">
    <w:name w:val="Revision"/>
    <w:hidden/>
    <w:uiPriority w:val="99"/>
    <w:semiHidden/>
    <w:rsid w:val="003074B1"/>
    <w:pPr>
      <w:spacing w:after="0" w:line="240" w:lineRule="auto"/>
    </w:pPr>
  </w:style>
  <w:style w:type="paragraph" w:styleId="ListParagraph">
    <w:name w:val="List Paragraph"/>
    <w:basedOn w:val="Normal"/>
    <w:uiPriority w:val="34"/>
    <w:qFormat/>
    <w:rsid w:val="009B3158"/>
    <w:pPr>
      <w:spacing w:after="0" w:line="240" w:lineRule="auto"/>
      <w:ind w:left="720"/>
    </w:pPr>
    <w:rPr>
      <w:rFonts w:ascii="Calibri" w:hAnsi="Calibri" w:cs="Calibri"/>
    </w:rPr>
  </w:style>
  <w:style w:type="paragraph" w:customStyle="1" w:styleId="Bullet">
    <w:name w:val="Bullet"/>
    <w:basedOn w:val="Normal"/>
    <w:rsid w:val="008C3CFB"/>
    <w:pPr>
      <w:numPr>
        <w:numId w:val="15"/>
      </w:numPr>
      <w:spacing w:after="240" w:line="240" w:lineRule="auto"/>
    </w:pPr>
    <w:rPr>
      <w:rFonts w:ascii="Arial" w:eastAsia="Times New Roman" w:hAnsi="Arial" w:cs="Times New Roman"/>
    </w:rPr>
  </w:style>
  <w:style w:type="paragraph" w:styleId="Caption">
    <w:name w:val="caption"/>
    <w:basedOn w:val="TableFigureCaption"/>
    <w:next w:val="Normal"/>
    <w:link w:val="CaptionChar"/>
    <w:qFormat/>
    <w:rsid w:val="008C3CFB"/>
    <w:pPr>
      <w:spacing w:after="0"/>
    </w:pPr>
    <w:rPr>
      <w:rFonts w:ascii="Arial" w:eastAsia="Times New Roman" w:hAnsi="Arial" w:cs="Times New Roman"/>
      <w:sz w:val="22"/>
    </w:rPr>
  </w:style>
  <w:style w:type="character" w:customStyle="1" w:styleId="CaptionChar">
    <w:name w:val="Caption Char"/>
    <w:basedOn w:val="DefaultParagraphFont"/>
    <w:link w:val="Caption"/>
    <w:locked/>
    <w:rsid w:val="008C3CFB"/>
    <w:rPr>
      <w:rFonts w:ascii="Arial" w:eastAsia="Times New Roman" w:hAnsi="Arial" w:cs="Times New Roman"/>
      <w:b/>
    </w:rPr>
  </w:style>
  <w:style w:type="table" w:styleId="TableProfessional">
    <w:name w:val="Table Professional"/>
    <w:basedOn w:val="TableNormal"/>
    <w:rsid w:val="008C3CFB"/>
    <w:pPr>
      <w:spacing w:after="0" w:line="240" w:lineRule="auto"/>
    </w:pPr>
    <w:rPr>
      <w:rFonts w:ascii="Arial Narrow" w:eastAsia="Times New Roman" w:hAnsi="Arial Narrow"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Bold">
    <w:name w:val="Normal + Bold"/>
    <w:aliases w:val="Centered"/>
    <w:basedOn w:val="BodyParagraph"/>
    <w:rsid w:val="008C3CFB"/>
    <w:rPr>
      <w:rFonts w:ascii="Arial" w:eastAsia="Calibri" w:hAnsi="Arial" w:cs="Times New Roman"/>
      <w:sz w:val="20"/>
    </w:rPr>
  </w:style>
  <w:style w:type="character" w:customStyle="1" w:styleId="CharChar1">
    <w:name w:val="Char Char1"/>
    <w:basedOn w:val="DefaultParagraphFont"/>
    <w:semiHidden/>
    <w:locked/>
    <w:rsid w:val="008C3CFB"/>
    <w:rPr>
      <w:rFonts w:ascii="Franklin Gothic Book" w:hAnsi="Franklin Gothic Book"/>
      <w:spacing w:val="-2"/>
      <w:lang w:val="en-US" w:eastAsia="en-US" w:bidi="ar-SA"/>
    </w:rPr>
  </w:style>
  <w:style w:type="paragraph" w:customStyle="1" w:styleId="Heading1notnumbered">
    <w:name w:val="Heading 1 not numbered"/>
    <w:basedOn w:val="Heading1"/>
    <w:rsid w:val="008C3CFB"/>
    <w:pPr>
      <w:numPr>
        <w:numId w:val="0"/>
      </w:numPr>
      <w:spacing w:after="240"/>
    </w:pPr>
    <w:rPr>
      <w:rFonts w:ascii="Arial Bold" w:hAnsi="Arial Bold"/>
    </w:rPr>
  </w:style>
  <w:style w:type="paragraph" w:styleId="NormalWeb">
    <w:name w:val="Normal (Web)"/>
    <w:basedOn w:val="Normal"/>
    <w:rsid w:val="008C3CFB"/>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TableCaption">
    <w:name w:val="Table Caption"/>
    <w:basedOn w:val="Caption"/>
    <w:rsid w:val="008C3CFB"/>
    <w:pPr>
      <w:keepNext w:val="0"/>
    </w:pPr>
    <w:rPr>
      <w:rFonts w:ascii="Times New Roman" w:hAnsi="Times New Roman"/>
      <w:bCs/>
      <w:sz w:val="24"/>
      <w:szCs w:val="20"/>
    </w:rPr>
  </w:style>
  <w:style w:type="paragraph" w:customStyle="1" w:styleId="standard">
    <w:name w:val="standard"/>
    <w:basedOn w:val="Normal"/>
    <w:link w:val="standardChar"/>
    <w:rsid w:val="008C3CFB"/>
    <w:pPr>
      <w:spacing w:after="0" w:line="360" w:lineRule="auto"/>
      <w:ind w:firstLine="720"/>
    </w:pPr>
    <w:rPr>
      <w:rFonts w:ascii="Palatino" w:eastAsia="Times New Roman" w:hAnsi="Palatino" w:cs="Times New Roman"/>
      <w:sz w:val="26"/>
      <w:szCs w:val="20"/>
    </w:rPr>
  </w:style>
  <w:style w:type="character" w:customStyle="1" w:styleId="standardChar">
    <w:name w:val="standard Char"/>
    <w:basedOn w:val="DefaultParagraphFont"/>
    <w:link w:val="standard"/>
    <w:rsid w:val="008C3CFB"/>
    <w:rPr>
      <w:rFonts w:ascii="Palatino" w:eastAsia="Times New Roman" w:hAnsi="Palatino" w:cs="Times New Roman"/>
      <w:sz w:val="26"/>
      <w:szCs w:val="20"/>
    </w:rPr>
  </w:style>
  <w:style w:type="numbering" w:customStyle="1" w:styleId="NoList1">
    <w:name w:val="No List1"/>
    <w:next w:val="NoList"/>
    <w:semiHidden/>
    <w:rsid w:val="008C3CFB"/>
  </w:style>
  <w:style w:type="character" w:styleId="FollowedHyperlink">
    <w:name w:val="FollowedHyperlink"/>
    <w:basedOn w:val="DefaultParagraphFont"/>
    <w:rsid w:val="008C3CFB"/>
    <w:rPr>
      <w:rFonts w:cs="Times New Roman"/>
      <w:color w:val="800080"/>
      <w:u w:val="single"/>
    </w:rPr>
  </w:style>
  <w:style w:type="paragraph" w:customStyle="1" w:styleId="xl66">
    <w:name w:val="xl66"/>
    <w:basedOn w:val="Normal"/>
    <w:rsid w:val="008C3CFB"/>
    <w:pP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69">
    <w:name w:val="xl69"/>
    <w:basedOn w:val="Normal"/>
    <w:rsid w:val="008C3CFB"/>
    <w:pPr>
      <w:pBdr>
        <w:top w:val="single" w:sz="4" w:space="0" w:color="95B3D7"/>
        <w:left w:val="single" w:sz="4" w:space="0" w:color="95B3D7"/>
        <w:bottom w:val="single" w:sz="4" w:space="0" w:color="95B3D7"/>
      </w:pBdr>
      <w:shd w:val="clear" w:color="4F81BD" w:fill="1F497D"/>
      <w:spacing w:before="100" w:beforeAutospacing="1" w:after="100" w:afterAutospacing="1" w:line="240" w:lineRule="auto"/>
    </w:pPr>
    <w:rPr>
      <w:rFonts w:ascii="Arial" w:eastAsia="Times New Roman" w:hAnsi="Arial" w:cs="Arial"/>
      <w:b/>
      <w:bCs/>
      <w:color w:val="FFFFFF"/>
      <w:sz w:val="18"/>
      <w:szCs w:val="18"/>
    </w:rPr>
  </w:style>
  <w:style w:type="paragraph" w:customStyle="1" w:styleId="xl70">
    <w:name w:val="xl70"/>
    <w:basedOn w:val="Normal"/>
    <w:rsid w:val="008C3CFB"/>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1">
    <w:name w:val="xl71"/>
    <w:basedOn w:val="Normal"/>
    <w:rsid w:val="008C3CFB"/>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2">
    <w:name w:val="xl72"/>
    <w:basedOn w:val="Normal"/>
    <w:rsid w:val="008C3CFB"/>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3">
    <w:name w:val="xl73"/>
    <w:basedOn w:val="Normal"/>
    <w:rsid w:val="008C3CFB"/>
    <w:pPr>
      <w:pBdr>
        <w:top w:val="single" w:sz="4" w:space="0" w:color="95B3D7"/>
        <w:bottom w:val="single" w:sz="4" w:space="0" w:color="95B3D7"/>
        <w:right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4">
    <w:name w:val="xl74"/>
    <w:basedOn w:val="Normal"/>
    <w:rsid w:val="008C3CFB"/>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8C3CFB"/>
    <w:pPr>
      <w:pBdr>
        <w:bottom w:val="single" w:sz="4" w:space="0" w:color="95B3D7"/>
      </w:pBdr>
      <w:shd w:val="clear" w:color="DBE5F1" w:fill="DBE5F1"/>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76">
    <w:name w:val="xl76"/>
    <w:basedOn w:val="Normal"/>
    <w:rsid w:val="008C3CFB"/>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8C3CFB"/>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8C3CFB"/>
    <w:pPr>
      <w:pBdr>
        <w:bottom w:val="single" w:sz="4" w:space="0" w:color="95B3D7"/>
        <w:right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8C3CFB"/>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8C3CFB"/>
    <w:pPr>
      <w:pBdr>
        <w:bottom w:val="single" w:sz="4" w:space="0" w:color="95B3D7"/>
      </w:pBdr>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81">
    <w:name w:val="xl81"/>
    <w:basedOn w:val="Normal"/>
    <w:rsid w:val="008C3CFB"/>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2">
    <w:name w:val="xl82"/>
    <w:basedOn w:val="Normal"/>
    <w:rsid w:val="008C3CFB"/>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rsid w:val="008C3CFB"/>
    <w:pPr>
      <w:pBdr>
        <w:bottom w:val="single" w:sz="4" w:space="0" w:color="95B3D7"/>
        <w:right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8C3CFB"/>
    <w:pPr>
      <w:pBdr>
        <w:left w:val="single" w:sz="4" w:space="7" w:color="95B3D7"/>
        <w:bottom w:val="single" w:sz="4" w:space="0" w:color="95B3D7"/>
      </w:pBdr>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5">
    <w:name w:val="xl85"/>
    <w:basedOn w:val="Normal"/>
    <w:rsid w:val="008C3CFB"/>
    <w:pPr>
      <w:pBdr>
        <w:left w:val="single" w:sz="4" w:space="7" w:color="95B3D7"/>
        <w:bottom w:val="single" w:sz="4" w:space="0" w:color="95B3D7"/>
      </w:pBdr>
      <w:shd w:val="clear" w:color="DBE5F1" w:fill="DBE5F1"/>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6">
    <w:name w:val="xl86"/>
    <w:basedOn w:val="Normal"/>
    <w:rsid w:val="008C3CFB"/>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8C3CFB"/>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table" w:customStyle="1" w:styleId="MediumShading1-Accent11">
    <w:name w:val="Medium Shading 1 - Accent 11"/>
    <w:basedOn w:val="TableNormal"/>
    <w:uiPriority w:val="63"/>
    <w:rsid w:val="008C3CF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5">
    <w:name w:val="toc 5"/>
    <w:basedOn w:val="Normal"/>
    <w:next w:val="Normal"/>
    <w:autoRedefine/>
    <w:uiPriority w:val="39"/>
    <w:unhideWhenUsed/>
    <w:rsid w:val="008C3CFB"/>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8C3CFB"/>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8C3CFB"/>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8C3CFB"/>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8C3CFB"/>
    <w:pPr>
      <w:spacing w:after="100"/>
      <w:ind w:left="176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5738960">
      <w:bodyDiv w:val="1"/>
      <w:marLeft w:val="0"/>
      <w:marRight w:val="0"/>
      <w:marTop w:val="0"/>
      <w:marBottom w:val="0"/>
      <w:divBdr>
        <w:top w:val="none" w:sz="0" w:space="0" w:color="auto"/>
        <w:left w:val="none" w:sz="0" w:space="0" w:color="auto"/>
        <w:bottom w:val="none" w:sz="0" w:space="0" w:color="auto"/>
        <w:right w:val="none" w:sz="0" w:space="0" w:color="auto"/>
      </w:divBdr>
    </w:div>
    <w:div w:id="41175750">
      <w:bodyDiv w:val="1"/>
      <w:marLeft w:val="0"/>
      <w:marRight w:val="0"/>
      <w:marTop w:val="0"/>
      <w:marBottom w:val="0"/>
      <w:divBdr>
        <w:top w:val="none" w:sz="0" w:space="0" w:color="auto"/>
        <w:left w:val="none" w:sz="0" w:space="0" w:color="auto"/>
        <w:bottom w:val="none" w:sz="0" w:space="0" w:color="auto"/>
        <w:right w:val="none" w:sz="0" w:space="0" w:color="auto"/>
      </w:divBdr>
    </w:div>
    <w:div w:id="49497814">
      <w:bodyDiv w:val="1"/>
      <w:marLeft w:val="0"/>
      <w:marRight w:val="0"/>
      <w:marTop w:val="0"/>
      <w:marBottom w:val="0"/>
      <w:divBdr>
        <w:top w:val="none" w:sz="0" w:space="0" w:color="auto"/>
        <w:left w:val="none" w:sz="0" w:space="0" w:color="auto"/>
        <w:bottom w:val="none" w:sz="0" w:space="0" w:color="auto"/>
        <w:right w:val="none" w:sz="0" w:space="0" w:color="auto"/>
      </w:divBdr>
    </w:div>
    <w:div w:id="56784757">
      <w:bodyDiv w:val="1"/>
      <w:marLeft w:val="0"/>
      <w:marRight w:val="0"/>
      <w:marTop w:val="0"/>
      <w:marBottom w:val="0"/>
      <w:divBdr>
        <w:top w:val="none" w:sz="0" w:space="0" w:color="auto"/>
        <w:left w:val="none" w:sz="0" w:space="0" w:color="auto"/>
        <w:bottom w:val="none" w:sz="0" w:space="0" w:color="auto"/>
        <w:right w:val="none" w:sz="0" w:space="0" w:color="auto"/>
      </w:divBdr>
    </w:div>
    <w:div w:id="71658805">
      <w:bodyDiv w:val="1"/>
      <w:marLeft w:val="0"/>
      <w:marRight w:val="0"/>
      <w:marTop w:val="0"/>
      <w:marBottom w:val="0"/>
      <w:divBdr>
        <w:top w:val="none" w:sz="0" w:space="0" w:color="auto"/>
        <w:left w:val="none" w:sz="0" w:space="0" w:color="auto"/>
        <w:bottom w:val="none" w:sz="0" w:space="0" w:color="auto"/>
        <w:right w:val="none" w:sz="0" w:space="0" w:color="auto"/>
      </w:divBdr>
    </w:div>
    <w:div w:id="73821601">
      <w:bodyDiv w:val="1"/>
      <w:marLeft w:val="0"/>
      <w:marRight w:val="0"/>
      <w:marTop w:val="0"/>
      <w:marBottom w:val="0"/>
      <w:divBdr>
        <w:top w:val="none" w:sz="0" w:space="0" w:color="auto"/>
        <w:left w:val="none" w:sz="0" w:space="0" w:color="auto"/>
        <w:bottom w:val="none" w:sz="0" w:space="0" w:color="auto"/>
        <w:right w:val="none" w:sz="0" w:space="0" w:color="auto"/>
      </w:divBdr>
    </w:div>
    <w:div w:id="80567971">
      <w:bodyDiv w:val="1"/>
      <w:marLeft w:val="0"/>
      <w:marRight w:val="0"/>
      <w:marTop w:val="0"/>
      <w:marBottom w:val="0"/>
      <w:divBdr>
        <w:top w:val="none" w:sz="0" w:space="0" w:color="auto"/>
        <w:left w:val="none" w:sz="0" w:space="0" w:color="auto"/>
        <w:bottom w:val="none" w:sz="0" w:space="0" w:color="auto"/>
        <w:right w:val="none" w:sz="0" w:space="0" w:color="auto"/>
      </w:divBdr>
    </w:div>
    <w:div w:id="107242994">
      <w:bodyDiv w:val="1"/>
      <w:marLeft w:val="0"/>
      <w:marRight w:val="0"/>
      <w:marTop w:val="0"/>
      <w:marBottom w:val="0"/>
      <w:divBdr>
        <w:top w:val="none" w:sz="0" w:space="0" w:color="auto"/>
        <w:left w:val="none" w:sz="0" w:space="0" w:color="auto"/>
        <w:bottom w:val="none" w:sz="0" w:space="0" w:color="auto"/>
        <w:right w:val="none" w:sz="0" w:space="0" w:color="auto"/>
      </w:divBdr>
    </w:div>
    <w:div w:id="110168502">
      <w:bodyDiv w:val="1"/>
      <w:marLeft w:val="0"/>
      <w:marRight w:val="0"/>
      <w:marTop w:val="0"/>
      <w:marBottom w:val="0"/>
      <w:divBdr>
        <w:top w:val="none" w:sz="0" w:space="0" w:color="auto"/>
        <w:left w:val="none" w:sz="0" w:space="0" w:color="auto"/>
        <w:bottom w:val="none" w:sz="0" w:space="0" w:color="auto"/>
        <w:right w:val="none" w:sz="0" w:space="0" w:color="auto"/>
      </w:divBdr>
    </w:div>
    <w:div w:id="118888628">
      <w:bodyDiv w:val="1"/>
      <w:marLeft w:val="0"/>
      <w:marRight w:val="0"/>
      <w:marTop w:val="0"/>
      <w:marBottom w:val="0"/>
      <w:divBdr>
        <w:top w:val="none" w:sz="0" w:space="0" w:color="auto"/>
        <w:left w:val="none" w:sz="0" w:space="0" w:color="auto"/>
        <w:bottom w:val="none" w:sz="0" w:space="0" w:color="auto"/>
        <w:right w:val="none" w:sz="0" w:space="0" w:color="auto"/>
      </w:divBdr>
    </w:div>
    <w:div w:id="136338784">
      <w:bodyDiv w:val="1"/>
      <w:marLeft w:val="0"/>
      <w:marRight w:val="0"/>
      <w:marTop w:val="0"/>
      <w:marBottom w:val="0"/>
      <w:divBdr>
        <w:top w:val="none" w:sz="0" w:space="0" w:color="auto"/>
        <w:left w:val="none" w:sz="0" w:space="0" w:color="auto"/>
        <w:bottom w:val="none" w:sz="0" w:space="0" w:color="auto"/>
        <w:right w:val="none" w:sz="0" w:space="0" w:color="auto"/>
      </w:divBdr>
    </w:div>
    <w:div w:id="147945402">
      <w:bodyDiv w:val="1"/>
      <w:marLeft w:val="0"/>
      <w:marRight w:val="0"/>
      <w:marTop w:val="0"/>
      <w:marBottom w:val="0"/>
      <w:divBdr>
        <w:top w:val="none" w:sz="0" w:space="0" w:color="auto"/>
        <w:left w:val="none" w:sz="0" w:space="0" w:color="auto"/>
        <w:bottom w:val="none" w:sz="0" w:space="0" w:color="auto"/>
        <w:right w:val="none" w:sz="0" w:space="0" w:color="auto"/>
      </w:divBdr>
    </w:div>
    <w:div w:id="163664348">
      <w:bodyDiv w:val="1"/>
      <w:marLeft w:val="0"/>
      <w:marRight w:val="0"/>
      <w:marTop w:val="0"/>
      <w:marBottom w:val="0"/>
      <w:divBdr>
        <w:top w:val="none" w:sz="0" w:space="0" w:color="auto"/>
        <w:left w:val="none" w:sz="0" w:space="0" w:color="auto"/>
        <w:bottom w:val="none" w:sz="0" w:space="0" w:color="auto"/>
        <w:right w:val="none" w:sz="0" w:space="0" w:color="auto"/>
      </w:divBdr>
    </w:div>
    <w:div w:id="172259021">
      <w:bodyDiv w:val="1"/>
      <w:marLeft w:val="0"/>
      <w:marRight w:val="0"/>
      <w:marTop w:val="0"/>
      <w:marBottom w:val="0"/>
      <w:divBdr>
        <w:top w:val="none" w:sz="0" w:space="0" w:color="auto"/>
        <w:left w:val="none" w:sz="0" w:space="0" w:color="auto"/>
        <w:bottom w:val="none" w:sz="0" w:space="0" w:color="auto"/>
        <w:right w:val="none" w:sz="0" w:space="0" w:color="auto"/>
      </w:divBdr>
    </w:div>
    <w:div w:id="183911228">
      <w:bodyDiv w:val="1"/>
      <w:marLeft w:val="0"/>
      <w:marRight w:val="0"/>
      <w:marTop w:val="0"/>
      <w:marBottom w:val="0"/>
      <w:divBdr>
        <w:top w:val="none" w:sz="0" w:space="0" w:color="auto"/>
        <w:left w:val="none" w:sz="0" w:space="0" w:color="auto"/>
        <w:bottom w:val="none" w:sz="0" w:space="0" w:color="auto"/>
        <w:right w:val="none" w:sz="0" w:space="0" w:color="auto"/>
      </w:divBdr>
    </w:div>
    <w:div w:id="202400156">
      <w:bodyDiv w:val="1"/>
      <w:marLeft w:val="0"/>
      <w:marRight w:val="0"/>
      <w:marTop w:val="0"/>
      <w:marBottom w:val="0"/>
      <w:divBdr>
        <w:top w:val="none" w:sz="0" w:space="0" w:color="auto"/>
        <w:left w:val="none" w:sz="0" w:space="0" w:color="auto"/>
        <w:bottom w:val="none" w:sz="0" w:space="0" w:color="auto"/>
        <w:right w:val="none" w:sz="0" w:space="0" w:color="auto"/>
      </w:divBdr>
    </w:div>
    <w:div w:id="236326732">
      <w:bodyDiv w:val="1"/>
      <w:marLeft w:val="0"/>
      <w:marRight w:val="0"/>
      <w:marTop w:val="0"/>
      <w:marBottom w:val="0"/>
      <w:divBdr>
        <w:top w:val="none" w:sz="0" w:space="0" w:color="auto"/>
        <w:left w:val="none" w:sz="0" w:space="0" w:color="auto"/>
        <w:bottom w:val="none" w:sz="0" w:space="0" w:color="auto"/>
        <w:right w:val="none" w:sz="0" w:space="0" w:color="auto"/>
      </w:divBdr>
    </w:div>
    <w:div w:id="240718161">
      <w:bodyDiv w:val="1"/>
      <w:marLeft w:val="0"/>
      <w:marRight w:val="0"/>
      <w:marTop w:val="0"/>
      <w:marBottom w:val="0"/>
      <w:divBdr>
        <w:top w:val="none" w:sz="0" w:space="0" w:color="auto"/>
        <w:left w:val="none" w:sz="0" w:space="0" w:color="auto"/>
        <w:bottom w:val="none" w:sz="0" w:space="0" w:color="auto"/>
        <w:right w:val="none" w:sz="0" w:space="0" w:color="auto"/>
      </w:divBdr>
    </w:div>
    <w:div w:id="247082218">
      <w:bodyDiv w:val="1"/>
      <w:marLeft w:val="0"/>
      <w:marRight w:val="0"/>
      <w:marTop w:val="0"/>
      <w:marBottom w:val="0"/>
      <w:divBdr>
        <w:top w:val="none" w:sz="0" w:space="0" w:color="auto"/>
        <w:left w:val="none" w:sz="0" w:space="0" w:color="auto"/>
        <w:bottom w:val="none" w:sz="0" w:space="0" w:color="auto"/>
        <w:right w:val="none" w:sz="0" w:space="0" w:color="auto"/>
      </w:divBdr>
    </w:div>
    <w:div w:id="251091608">
      <w:bodyDiv w:val="1"/>
      <w:marLeft w:val="0"/>
      <w:marRight w:val="0"/>
      <w:marTop w:val="0"/>
      <w:marBottom w:val="0"/>
      <w:divBdr>
        <w:top w:val="none" w:sz="0" w:space="0" w:color="auto"/>
        <w:left w:val="none" w:sz="0" w:space="0" w:color="auto"/>
        <w:bottom w:val="none" w:sz="0" w:space="0" w:color="auto"/>
        <w:right w:val="none" w:sz="0" w:space="0" w:color="auto"/>
      </w:divBdr>
    </w:div>
    <w:div w:id="258872798">
      <w:bodyDiv w:val="1"/>
      <w:marLeft w:val="0"/>
      <w:marRight w:val="0"/>
      <w:marTop w:val="0"/>
      <w:marBottom w:val="0"/>
      <w:divBdr>
        <w:top w:val="none" w:sz="0" w:space="0" w:color="auto"/>
        <w:left w:val="none" w:sz="0" w:space="0" w:color="auto"/>
        <w:bottom w:val="none" w:sz="0" w:space="0" w:color="auto"/>
        <w:right w:val="none" w:sz="0" w:space="0" w:color="auto"/>
      </w:divBdr>
    </w:div>
    <w:div w:id="268707882">
      <w:bodyDiv w:val="1"/>
      <w:marLeft w:val="0"/>
      <w:marRight w:val="0"/>
      <w:marTop w:val="0"/>
      <w:marBottom w:val="0"/>
      <w:divBdr>
        <w:top w:val="none" w:sz="0" w:space="0" w:color="auto"/>
        <w:left w:val="none" w:sz="0" w:space="0" w:color="auto"/>
        <w:bottom w:val="none" w:sz="0" w:space="0" w:color="auto"/>
        <w:right w:val="none" w:sz="0" w:space="0" w:color="auto"/>
      </w:divBdr>
    </w:div>
    <w:div w:id="295137020">
      <w:bodyDiv w:val="1"/>
      <w:marLeft w:val="0"/>
      <w:marRight w:val="0"/>
      <w:marTop w:val="0"/>
      <w:marBottom w:val="0"/>
      <w:divBdr>
        <w:top w:val="none" w:sz="0" w:space="0" w:color="auto"/>
        <w:left w:val="none" w:sz="0" w:space="0" w:color="auto"/>
        <w:bottom w:val="none" w:sz="0" w:space="0" w:color="auto"/>
        <w:right w:val="none" w:sz="0" w:space="0" w:color="auto"/>
      </w:divBdr>
    </w:div>
    <w:div w:id="315568198">
      <w:bodyDiv w:val="1"/>
      <w:marLeft w:val="0"/>
      <w:marRight w:val="0"/>
      <w:marTop w:val="0"/>
      <w:marBottom w:val="0"/>
      <w:divBdr>
        <w:top w:val="none" w:sz="0" w:space="0" w:color="auto"/>
        <w:left w:val="none" w:sz="0" w:space="0" w:color="auto"/>
        <w:bottom w:val="none" w:sz="0" w:space="0" w:color="auto"/>
        <w:right w:val="none" w:sz="0" w:space="0" w:color="auto"/>
      </w:divBdr>
    </w:div>
    <w:div w:id="332488885">
      <w:bodyDiv w:val="1"/>
      <w:marLeft w:val="0"/>
      <w:marRight w:val="0"/>
      <w:marTop w:val="0"/>
      <w:marBottom w:val="0"/>
      <w:divBdr>
        <w:top w:val="none" w:sz="0" w:space="0" w:color="auto"/>
        <w:left w:val="none" w:sz="0" w:space="0" w:color="auto"/>
        <w:bottom w:val="none" w:sz="0" w:space="0" w:color="auto"/>
        <w:right w:val="none" w:sz="0" w:space="0" w:color="auto"/>
      </w:divBdr>
    </w:div>
    <w:div w:id="404768652">
      <w:bodyDiv w:val="1"/>
      <w:marLeft w:val="0"/>
      <w:marRight w:val="0"/>
      <w:marTop w:val="0"/>
      <w:marBottom w:val="0"/>
      <w:divBdr>
        <w:top w:val="none" w:sz="0" w:space="0" w:color="auto"/>
        <w:left w:val="none" w:sz="0" w:space="0" w:color="auto"/>
        <w:bottom w:val="none" w:sz="0" w:space="0" w:color="auto"/>
        <w:right w:val="none" w:sz="0" w:space="0" w:color="auto"/>
      </w:divBdr>
    </w:div>
    <w:div w:id="414324370">
      <w:bodyDiv w:val="1"/>
      <w:marLeft w:val="0"/>
      <w:marRight w:val="0"/>
      <w:marTop w:val="0"/>
      <w:marBottom w:val="0"/>
      <w:divBdr>
        <w:top w:val="none" w:sz="0" w:space="0" w:color="auto"/>
        <w:left w:val="none" w:sz="0" w:space="0" w:color="auto"/>
        <w:bottom w:val="none" w:sz="0" w:space="0" w:color="auto"/>
        <w:right w:val="none" w:sz="0" w:space="0" w:color="auto"/>
      </w:divBdr>
    </w:div>
    <w:div w:id="424881404">
      <w:bodyDiv w:val="1"/>
      <w:marLeft w:val="0"/>
      <w:marRight w:val="0"/>
      <w:marTop w:val="0"/>
      <w:marBottom w:val="0"/>
      <w:divBdr>
        <w:top w:val="none" w:sz="0" w:space="0" w:color="auto"/>
        <w:left w:val="none" w:sz="0" w:space="0" w:color="auto"/>
        <w:bottom w:val="none" w:sz="0" w:space="0" w:color="auto"/>
        <w:right w:val="none" w:sz="0" w:space="0" w:color="auto"/>
      </w:divBdr>
    </w:div>
    <w:div w:id="433525543">
      <w:bodyDiv w:val="1"/>
      <w:marLeft w:val="0"/>
      <w:marRight w:val="0"/>
      <w:marTop w:val="0"/>
      <w:marBottom w:val="0"/>
      <w:divBdr>
        <w:top w:val="none" w:sz="0" w:space="0" w:color="auto"/>
        <w:left w:val="none" w:sz="0" w:space="0" w:color="auto"/>
        <w:bottom w:val="none" w:sz="0" w:space="0" w:color="auto"/>
        <w:right w:val="none" w:sz="0" w:space="0" w:color="auto"/>
      </w:divBdr>
    </w:div>
    <w:div w:id="443961734">
      <w:bodyDiv w:val="1"/>
      <w:marLeft w:val="0"/>
      <w:marRight w:val="0"/>
      <w:marTop w:val="0"/>
      <w:marBottom w:val="0"/>
      <w:divBdr>
        <w:top w:val="none" w:sz="0" w:space="0" w:color="auto"/>
        <w:left w:val="none" w:sz="0" w:space="0" w:color="auto"/>
        <w:bottom w:val="none" w:sz="0" w:space="0" w:color="auto"/>
        <w:right w:val="none" w:sz="0" w:space="0" w:color="auto"/>
      </w:divBdr>
    </w:div>
    <w:div w:id="448011183">
      <w:bodyDiv w:val="1"/>
      <w:marLeft w:val="0"/>
      <w:marRight w:val="0"/>
      <w:marTop w:val="0"/>
      <w:marBottom w:val="0"/>
      <w:divBdr>
        <w:top w:val="none" w:sz="0" w:space="0" w:color="auto"/>
        <w:left w:val="none" w:sz="0" w:space="0" w:color="auto"/>
        <w:bottom w:val="none" w:sz="0" w:space="0" w:color="auto"/>
        <w:right w:val="none" w:sz="0" w:space="0" w:color="auto"/>
      </w:divBdr>
    </w:div>
    <w:div w:id="475148114">
      <w:bodyDiv w:val="1"/>
      <w:marLeft w:val="0"/>
      <w:marRight w:val="0"/>
      <w:marTop w:val="0"/>
      <w:marBottom w:val="0"/>
      <w:divBdr>
        <w:top w:val="none" w:sz="0" w:space="0" w:color="auto"/>
        <w:left w:val="none" w:sz="0" w:space="0" w:color="auto"/>
        <w:bottom w:val="none" w:sz="0" w:space="0" w:color="auto"/>
        <w:right w:val="none" w:sz="0" w:space="0" w:color="auto"/>
      </w:divBdr>
    </w:div>
    <w:div w:id="486288749">
      <w:bodyDiv w:val="1"/>
      <w:marLeft w:val="0"/>
      <w:marRight w:val="0"/>
      <w:marTop w:val="0"/>
      <w:marBottom w:val="0"/>
      <w:divBdr>
        <w:top w:val="none" w:sz="0" w:space="0" w:color="auto"/>
        <w:left w:val="none" w:sz="0" w:space="0" w:color="auto"/>
        <w:bottom w:val="none" w:sz="0" w:space="0" w:color="auto"/>
        <w:right w:val="none" w:sz="0" w:space="0" w:color="auto"/>
      </w:divBdr>
    </w:div>
    <w:div w:id="486746670">
      <w:bodyDiv w:val="1"/>
      <w:marLeft w:val="0"/>
      <w:marRight w:val="0"/>
      <w:marTop w:val="0"/>
      <w:marBottom w:val="0"/>
      <w:divBdr>
        <w:top w:val="none" w:sz="0" w:space="0" w:color="auto"/>
        <w:left w:val="none" w:sz="0" w:space="0" w:color="auto"/>
        <w:bottom w:val="none" w:sz="0" w:space="0" w:color="auto"/>
        <w:right w:val="none" w:sz="0" w:space="0" w:color="auto"/>
      </w:divBdr>
    </w:div>
    <w:div w:id="519776417">
      <w:bodyDiv w:val="1"/>
      <w:marLeft w:val="0"/>
      <w:marRight w:val="0"/>
      <w:marTop w:val="0"/>
      <w:marBottom w:val="0"/>
      <w:divBdr>
        <w:top w:val="none" w:sz="0" w:space="0" w:color="auto"/>
        <w:left w:val="none" w:sz="0" w:space="0" w:color="auto"/>
        <w:bottom w:val="none" w:sz="0" w:space="0" w:color="auto"/>
        <w:right w:val="none" w:sz="0" w:space="0" w:color="auto"/>
      </w:divBdr>
    </w:div>
    <w:div w:id="533424405">
      <w:bodyDiv w:val="1"/>
      <w:marLeft w:val="0"/>
      <w:marRight w:val="0"/>
      <w:marTop w:val="0"/>
      <w:marBottom w:val="0"/>
      <w:divBdr>
        <w:top w:val="none" w:sz="0" w:space="0" w:color="auto"/>
        <w:left w:val="none" w:sz="0" w:space="0" w:color="auto"/>
        <w:bottom w:val="none" w:sz="0" w:space="0" w:color="auto"/>
        <w:right w:val="none" w:sz="0" w:space="0" w:color="auto"/>
      </w:divBdr>
    </w:div>
    <w:div w:id="546725900">
      <w:bodyDiv w:val="1"/>
      <w:marLeft w:val="0"/>
      <w:marRight w:val="0"/>
      <w:marTop w:val="0"/>
      <w:marBottom w:val="0"/>
      <w:divBdr>
        <w:top w:val="none" w:sz="0" w:space="0" w:color="auto"/>
        <w:left w:val="none" w:sz="0" w:space="0" w:color="auto"/>
        <w:bottom w:val="none" w:sz="0" w:space="0" w:color="auto"/>
        <w:right w:val="none" w:sz="0" w:space="0" w:color="auto"/>
      </w:divBdr>
    </w:div>
    <w:div w:id="567031579">
      <w:bodyDiv w:val="1"/>
      <w:marLeft w:val="0"/>
      <w:marRight w:val="0"/>
      <w:marTop w:val="0"/>
      <w:marBottom w:val="0"/>
      <w:divBdr>
        <w:top w:val="none" w:sz="0" w:space="0" w:color="auto"/>
        <w:left w:val="none" w:sz="0" w:space="0" w:color="auto"/>
        <w:bottom w:val="none" w:sz="0" w:space="0" w:color="auto"/>
        <w:right w:val="none" w:sz="0" w:space="0" w:color="auto"/>
      </w:divBdr>
    </w:div>
    <w:div w:id="591353260">
      <w:bodyDiv w:val="1"/>
      <w:marLeft w:val="0"/>
      <w:marRight w:val="0"/>
      <w:marTop w:val="0"/>
      <w:marBottom w:val="0"/>
      <w:divBdr>
        <w:top w:val="none" w:sz="0" w:space="0" w:color="auto"/>
        <w:left w:val="none" w:sz="0" w:space="0" w:color="auto"/>
        <w:bottom w:val="none" w:sz="0" w:space="0" w:color="auto"/>
        <w:right w:val="none" w:sz="0" w:space="0" w:color="auto"/>
      </w:divBdr>
    </w:div>
    <w:div w:id="591819280">
      <w:bodyDiv w:val="1"/>
      <w:marLeft w:val="0"/>
      <w:marRight w:val="0"/>
      <w:marTop w:val="0"/>
      <w:marBottom w:val="0"/>
      <w:divBdr>
        <w:top w:val="none" w:sz="0" w:space="0" w:color="auto"/>
        <w:left w:val="none" w:sz="0" w:space="0" w:color="auto"/>
        <w:bottom w:val="none" w:sz="0" w:space="0" w:color="auto"/>
        <w:right w:val="none" w:sz="0" w:space="0" w:color="auto"/>
      </w:divBdr>
    </w:div>
    <w:div w:id="626862046">
      <w:bodyDiv w:val="1"/>
      <w:marLeft w:val="0"/>
      <w:marRight w:val="0"/>
      <w:marTop w:val="0"/>
      <w:marBottom w:val="0"/>
      <w:divBdr>
        <w:top w:val="none" w:sz="0" w:space="0" w:color="auto"/>
        <w:left w:val="none" w:sz="0" w:space="0" w:color="auto"/>
        <w:bottom w:val="none" w:sz="0" w:space="0" w:color="auto"/>
        <w:right w:val="none" w:sz="0" w:space="0" w:color="auto"/>
      </w:divBdr>
    </w:div>
    <w:div w:id="633215375">
      <w:bodyDiv w:val="1"/>
      <w:marLeft w:val="0"/>
      <w:marRight w:val="0"/>
      <w:marTop w:val="0"/>
      <w:marBottom w:val="0"/>
      <w:divBdr>
        <w:top w:val="none" w:sz="0" w:space="0" w:color="auto"/>
        <w:left w:val="none" w:sz="0" w:space="0" w:color="auto"/>
        <w:bottom w:val="none" w:sz="0" w:space="0" w:color="auto"/>
        <w:right w:val="none" w:sz="0" w:space="0" w:color="auto"/>
      </w:divBdr>
    </w:div>
    <w:div w:id="636031233">
      <w:bodyDiv w:val="1"/>
      <w:marLeft w:val="0"/>
      <w:marRight w:val="0"/>
      <w:marTop w:val="0"/>
      <w:marBottom w:val="0"/>
      <w:divBdr>
        <w:top w:val="none" w:sz="0" w:space="0" w:color="auto"/>
        <w:left w:val="none" w:sz="0" w:space="0" w:color="auto"/>
        <w:bottom w:val="none" w:sz="0" w:space="0" w:color="auto"/>
        <w:right w:val="none" w:sz="0" w:space="0" w:color="auto"/>
      </w:divBdr>
    </w:div>
    <w:div w:id="648751059">
      <w:bodyDiv w:val="1"/>
      <w:marLeft w:val="0"/>
      <w:marRight w:val="0"/>
      <w:marTop w:val="0"/>
      <w:marBottom w:val="0"/>
      <w:divBdr>
        <w:top w:val="none" w:sz="0" w:space="0" w:color="auto"/>
        <w:left w:val="none" w:sz="0" w:space="0" w:color="auto"/>
        <w:bottom w:val="none" w:sz="0" w:space="0" w:color="auto"/>
        <w:right w:val="none" w:sz="0" w:space="0" w:color="auto"/>
      </w:divBdr>
    </w:div>
    <w:div w:id="650212951">
      <w:bodyDiv w:val="1"/>
      <w:marLeft w:val="0"/>
      <w:marRight w:val="0"/>
      <w:marTop w:val="0"/>
      <w:marBottom w:val="0"/>
      <w:divBdr>
        <w:top w:val="none" w:sz="0" w:space="0" w:color="auto"/>
        <w:left w:val="none" w:sz="0" w:space="0" w:color="auto"/>
        <w:bottom w:val="none" w:sz="0" w:space="0" w:color="auto"/>
        <w:right w:val="none" w:sz="0" w:space="0" w:color="auto"/>
      </w:divBdr>
    </w:div>
    <w:div w:id="688068540">
      <w:bodyDiv w:val="1"/>
      <w:marLeft w:val="0"/>
      <w:marRight w:val="0"/>
      <w:marTop w:val="0"/>
      <w:marBottom w:val="0"/>
      <w:divBdr>
        <w:top w:val="none" w:sz="0" w:space="0" w:color="auto"/>
        <w:left w:val="none" w:sz="0" w:space="0" w:color="auto"/>
        <w:bottom w:val="none" w:sz="0" w:space="0" w:color="auto"/>
        <w:right w:val="none" w:sz="0" w:space="0" w:color="auto"/>
      </w:divBdr>
    </w:div>
    <w:div w:id="688414186">
      <w:bodyDiv w:val="1"/>
      <w:marLeft w:val="0"/>
      <w:marRight w:val="0"/>
      <w:marTop w:val="0"/>
      <w:marBottom w:val="0"/>
      <w:divBdr>
        <w:top w:val="none" w:sz="0" w:space="0" w:color="auto"/>
        <w:left w:val="none" w:sz="0" w:space="0" w:color="auto"/>
        <w:bottom w:val="none" w:sz="0" w:space="0" w:color="auto"/>
        <w:right w:val="none" w:sz="0" w:space="0" w:color="auto"/>
      </w:divBdr>
    </w:div>
    <w:div w:id="697317999">
      <w:bodyDiv w:val="1"/>
      <w:marLeft w:val="0"/>
      <w:marRight w:val="0"/>
      <w:marTop w:val="0"/>
      <w:marBottom w:val="0"/>
      <w:divBdr>
        <w:top w:val="none" w:sz="0" w:space="0" w:color="auto"/>
        <w:left w:val="none" w:sz="0" w:space="0" w:color="auto"/>
        <w:bottom w:val="none" w:sz="0" w:space="0" w:color="auto"/>
        <w:right w:val="none" w:sz="0" w:space="0" w:color="auto"/>
      </w:divBdr>
    </w:div>
    <w:div w:id="716855891">
      <w:bodyDiv w:val="1"/>
      <w:marLeft w:val="0"/>
      <w:marRight w:val="0"/>
      <w:marTop w:val="0"/>
      <w:marBottom w:val="0"/>
      <w:divBdr>
        <w:top w:val="none" w:sz="0" w:space="0" w:color="auto"/>
        <w:left w:val="none" w:sz="0" w:space="0" w:color="auto"/>
        <w:bottom w:val="none" w:sz="0" w:space="0" w:color="auto"/>
        <w:right w:val="none" w:sz="0" w:space="0" w:color="auto"/>
      </w:divBdr>
    </w:div>
    <w:div w:id="719326207">
      <w:bodyDiv w:val="1"/>
      <w:marLeft w:val="0"/>
      <w:marRight w:val="0"/>
      <w:marTop w:val="0"/>
      <w:marBottom w:val="0"/>
      <w:divBdr>
        <w:top w:val="none" w:sz="0" w:space="0" w:color="auto"/>
        <w:left w:val="none" w:sz="0" w:space="0" w:color="auto"/>
        <w:bottom w:val="none" w:sz="0" w:space="0" w:color="auto"/>
        <w:right w:val="none" w:sz="0" w:space="0" w:color="auto"/>
      </w:divBdr>
    </w:div>
    <w:div w:id="719938995">
      <w:bodyDiv w:val="1"/>
      <w:marLeft w:val="0"/>
      <w:marRight w:val="0"/>
      <w:marTop w:val="0"/>
      <w:marBottom w:val="0"/>
      <w:divBdr>
        <w:top w:val="none" w:sz="0" w:space="0" w:color="auto"/>
        <w:left w:val="none" w:sz="0" w:space="0" w:color="auto"/>
        <w:bottom w:val="none" w:sz="0" w:space="0" w:color="auto"/>
        <w:right w:val="none" w:sz="0" w:space="0" w:color="auto"/>
      </w:divBdr>
    </w:div>
    <w:div w:id="732193891">
      <w:bodyDiv w:val="1"/>
      <w:marLeft w:val="0"/>
      <w:marRight w:val="0"/>
      <w:marTop w:val="0"/>
      <w:marBottom w:val="0"/>
      <w:divBdr>
        <w:top w:val="none" w:sz="0" w:space="0" w:color="auto"/>
        <w:left w:val="none" w:sz="0" w:space="0" w:color="auto"/>
        <w:bottom w:val="none" w:sz="0" w:space="0" w:color="auto"/>
        <w:right w:val="none" w:sz="0" w:space="0" w:color="auto"/>
      </w:divBdr>
    </w:div>
    <w:div w:id="734008258">
      <w:bodyDiv w:val="1"/>
      <w:marLeft w:val="0"/>
      <w:marRight w:val="0"/>
      <w:marTop w:val="0"/>
      <w:marBottom w:val="0"/>
      <w:divBdr>
        <w:top w:val="none" w:sz="0" w:space="0" w:color="auto"/>
        <w:left w:val="none" w:sz="0" w:space="0" w:color="auto"/>
        <w:bottom w:val="none" w:sz="0" w:space="0" w:color="auto"/>
        <w:right w:val="none" w:sz="0" w:space="0" w:color="auto"/>
      </w:divBdr>
    </w:div>
    <w:div w:id="762799227">
      <w:bodyDiv w:val="1"/>
      <w:marLeft w:val="0"/>
      <w:marRight w:val="0"/>
      <w:marTop w:val="0"/>
      <w:marBottom w:val="0"/>
      <w:divBdr>
        <w:top w:val="none" w:sz="0" w:space="0" w:color="auto"/>
        <w:left w:val="none" w:sz="0" w:space="0" w:color="auto"/>
        <w:bottom w:val="none" w:sz="0" w:space="0" w:color="auto"/>
        <w:right w:val="none" w:sz="0" w:space="0" w:color="auto"/>
      </w:divBdr>
    </w:div>
    <w:div w:id="767432078">
      <w:bodyDiv w:val="1"/>
      <w:marLeft w:val="0"/>
      <w:marRight w:val="0"/>
      <w:marTop w:val="0"/>
      <w:marBottom w:val="0"/>
      <w:divBdr>
        <w:top w:val="none" w:sz="0" w:space="0" w:color="auto"/>
        <w:left w:val="none" w:sz="0" w:space="0" w:color="auto"/>
        <w:bottom w:val="none" w:sz="0" w:space="0" w:color="auto"/>
        <w:right w:val="none" w:sz="0" w:space="0" w:color="auto"/>
      </w:divBdr>
    </w:div>
    <w:div w:id="769474612">
      <w:bodyDiv w:val="1"/>
      <w:marLeft w:val="0"/>
      <w:marRight w:val="0"/>
      <w:marTop w:val="0"/>
      <w:marBottom w:val="0"/>
      <w:divBdr>
        <w:top w:val="none" w:sz="0" w:space="0" w:color="auto"/>
        <w:left w:val="none" w:sz="0" w:space="0" w:color="auto"/>
        <w:bottom w:val="none" w:sz="0" w:space="0" w:color="auto"/>
        <w:right w:val="none" w:sz="0" w:space="0" w:color="auto"/>
      </w:divBdr>
    </w:div>
    <w:div w:id="786851788">
      <w:bodyDiv w:val="1"/>
      <w:marLeft w:val="0"/>
      <w:marRight w:val="0"/>
      <w:marTop w:val="0"/>
      <w:marBottom w:val="0"/>
      <w:divBdr>
        <w:top w:val="none" w:sz="0" w:space="0" w:color="auto"/>
        <w:left w:val="none" w:sz="0" w:space="0" w:color="auto"/>
        <w:bottom w:val="none" w:sz="0" w:space="0" w:color="auto"/>
        <w:right w:val="none" w:sz="0" w:space="0" w:color="auto"/>
      </w:divBdr>
    </w:div>
    <w:div w:id="794952545">
      <w:bodyDiv w:val="1"/>
      <w:marLeft w:val="0"/>
      <w:marRight w:val="0"/>
      <w:marTop w:val="0"/>
      <w:marBottom w:val="0"/>
      <w:divBdr>
        <w:top w:val="none" w:sz="0" w:space="0" w:color="auto"/>
        <w:left w:val="none" w:sz="0" w:space="0" w:color="auto"/>
        <w:bottom w:val="none" w:sz="0" w:space="0" w:color="auto"/>
        <w:right w:val="none" w:sz="0" w:space="0" w:color="auto"/>
      </w:divBdr>
    </w:div>
    <w:div w:id="816339655">
      <w:bodyDiv w:val="1"/>
      <w:marLeft w:val="0"/>
      <w:marRight w:val="0"/>
      <w:marTop w:val="0"/>
      <w:marBottom w:val="0"/>
      <w:divBdr>
        <w:top w:val="none" w:sz="0" w:space="0" w:color="auto"/>
        <w:left w:val="none" w:sz="0" w:space="0" w:color="auto"/>
        <w:bottom w:val="none" w:sz="0" w:space="0" w:color="auto"/>
        <w:right w:val="none" w:sz="0" w:space="0" w:color="auto"/>
      </w:divBdr>
    </w:div>
    <w:div w:id="823930169">
      <w:bodyDiv w:val="1"/>
      <w:marLeft w:val="0"/>
      <w:marRight w:val="0"/>
      <w:marTop w:val="0"/>
      <w:marBottom w:val="0"/>
      <w:divBdr>
        <w:top w:val="none" w:sz="0" w:space="0" w:color="auto"/>
        <w:left w:val="none" w:sz="0" w:space="0" w:color="auto"/>
        <w:bottom w:val="none" w:sz="0" w:space="0" w:color="auto"/>
        <w:right w:val="none" w:sz="0" w:space="0" w:color="auto"/>
      </w:divBdr>
    </w:div>
    <w:div w:id="829446481">
      <w:bodyDiv w:val="1"/>
      <w:marLeft w:val="0"/>
      <w:marRight w:val="0"/>
      <w:marTop w:val="0"/>
      <w:marBottom w:val="0"/>
      <w:divBdr>
        <w:top w:val="none" w:sz="0" w:space="0" w:color="auto"/>
        <w:left w:val="none" w:sz="0" w:space="0" w:color="auto"/>
        <w:bottom w:val="none" w:sz="0" w:space="0" w:color="auto"/>
        <w:right w:val="none" w:sz="0" w:space="0" w:color="auto"/>
      </w:divBdr>
    </w:div>
    <w:div w:id="857475272">
      <w:bodyDiv w:val="1"/>
      <w:marLeft w:val="0"/>
      <w:marRight w:val="0"/>
      <w:marTop w:val="0"/>
      <w:marBottom w:val="0"/>
      <w:divBdr>
        <w:top w:val="none" w:sz="0" w:space="0" w:color="auto"/>
        <w:left w:val="none" w:sz="0" w:space="0" w:color="auto"/>
        <w:bottom w:val="none" w:sz="0" w:space="0" w:color="auto"/>
        <w:right w:val="none" w:sz="0" w:space="0" w:color="auto"/>
      </w:divBdr>
    </w:div>
    <w:div w:id="858003319">
      <w:bodyDiv w:val="1"/>
      <w:marLeft w:val="0"/>
      <w:marRight w:val="0"/>
      <w:marTop w:val="0"/>
      <w:marBottom w:val="0"/>
      <w:divBdr>
        <w:top w:val="none" w:sz="0" w:space="0" w:color="auto"/>
        <w:left w:val="none" w:sz="0" w:space="0" w:color="auto"/>
        <w:bottom w:val="none" w:sz="0" w:space="0" w:color="auto"/>
        <w:right w:val="none" w:sz="0" w:space="0" w:color="auto"/>
      </w:divBdr>
    </w:div>
    <w:div w:id="865943905">
      <w:bodyDiv w:val="1"/>
      <w:marLeft w:val="0"/>
      <w:marRight w:val="0"/>
      <w:marTop w:val="0"/>
      <w:marBottom w:val="0"/>
      <w:divBdr>
        <w:top w:val="none" w:sz="0" w:space="0" w:color="auto"/>
        <w:left w:val="none" w:sz="0" w:space="0" w:color="auto"/>
        <w:bottom w:val="none" w:sz="0" w:space="0" w:color="auto"/>
        <w:right w:val="none" w:sz="0" w:space="0" w:color="auto"/>
      </w:divBdr>
    </w:div>
    <w:div w:id="879827935">
      <w:bodyDiv w:val="1"/>
      <w:marLeft w:val="0"/>
      <w:marRight w:val="0"/>
      <w:marTop w:val="0"/>
      <w:marBottom w:val="0"/>
      <w:divBdr>
        <w:top w:val="none" w:sz="0" w:space="0" w:color="auto"/>
        <w:left w:val="none" w:sz="0" w:space="0" w:color="auto"/>
        <w:bottom w:val="none" w:sz="0" w:space="0" w:color="auto"/>
        <w:right w:val="none" w:sz="0" w:space="0" w:color="auto"/>
      </w:divBdr>
    </w:div>
    <w:div w:id="904296522">
      <w:bodyDiv w:val="1"/>
      <w:marLeft w:val="0"/>
      <w:marRight w:val="0"/>
      <w:marTop w:val="0"/>
      <w:marBottom w:val="0"/>
      <w:divBdr>
        <w:top w:val="none" w:sz="0" w:space="0" w:color="auto"/>
        <w:left w:val="none" w:sz="0" w:space="0" w:color="auto"/>
        <w:bottom w:val="none" w:sz="0" w:space="0" w:color="auto"/>
        <w:right w:val="none" w:sz="0" w:space="0" w:color="auto"/>
      </w:divBdr>
    </w:div>
    <w:div w:id="904681675">
      <w:bodyDiv w:val="1"/>
      <w:marLeft w:val="0"/>
      <w:marRight w:val="0"/>
      <w:marTop w:val="0"/>
      <w:marBottom w:val="0"/>
      <w:divBdr>
        <w:top w:val="none" w:sz="0" w:space="0" w:color="auto"/>
        <w:left w:val="none" w:sz="0" w:space="0" w:color="auto"/>
        <w:bottom w:val="none" w:sz="0" w:space="0" w:color="auto"/>
        <w:right w:val="none" w:sz="0" w:space="0" w:color="auto"/>
      </w:divBdr>
    </w:div>
    <w:div w:id="922879458">
      <w:bodyDiv w:val="1"/>
      <w:marLeft w:val="0"/>
      <w:marRight w:val="0"/>
      <w:marTop w:val="0"/>
      <w:marBottom w:val="0"/>
      <w:divBdr>
        <w:top w:val="none" w:sz="0" w:space="0" w:color="auto"/>
        <w:left w:val="none" w:sz="0" w:space="0" w:color="auto"/>
        <w:bottom w:val="none" w:sz="0" w:space="0" w:color="auto"/>
        <w:right w:val="none" w:sz="0" w:space="0" w:color="auto"/>
      </w:divBdr>
    </w:div>
    <w:div w:id="927035155">
      <w:bodyDiv w:val="1"/>
      <w:marLeft w:val="0"/>
      <w:marRight w:val="0"/>
      <w:marTop w:val="0"/>
      <w:marBottom w:val="0"/>
      <w:divBdr>
        <w:top w:val="none" w:sz="0" w:space="0" w:color="auto"/>
        <w:left w:val="none" w:sz="0" w:space="0" w:color="auto"/>
        <w:bottom w:val="none" w:sz="0" w:space="0" w:color="auto"/>
        <w:right w:val="none" w:sz="0" w:space="0" w:color="auto"/>
      </w:divBdr>
    </w:div>
    <w:div w:id="933126013">
      <w:bodyDiv w:val="1"/>
      <w:marLeft w:val="0"/>
      <w:marRight w:val="0"/>
      <w:marTop w:val="0"/>
      <w:marBottom w:val="0"/>
      <w:divBdr>
        <w:top w:val="none" w:sz="0" w:space="0" w:color="auto"/>
        <w:left w:val="none" w:sz="0" w:space="0" w:color="auto"/>
        <w:bottom w:val="none" w:sz="0" w:space="0" w:color="auto"/>
        <w:right w:val="none" w:sz="0" w:space="0" w:color="auto"/>
      </w:divBdr>
    </w:div>
    <w:div w:id="938179816">
      <w:bodyDiv w:val="1"/>
      <w:marLeft w:val="0"/>
      <w:marRight w:val="0"/>
      <w:marTop w:val="0"/>
      <w:marBottom w:val="0"/>
      <w:divBdr>
        <w:top w:val="none" w:sz="0" w:space="0" w:color="auto"/>
        <w:left w:val="none" w:sz="0" w:space="0" w:color="auto"/>
        <w:bottom w:val="none" w:sz="0" w:space="0" w:color="auto"/>
        <w:right w:val="none" w:sz="0" w:space="0" w:color="auto"/>
      </w:divBdr>
    </w:div>
    <w:div w:id="943532150">
      <w:bodyDiv w:val="1"/>
      <w:marLeft w:val="0"/>
      <w:marRight w:val="0"/>
      <w:marTop w:val="0"/>
      <w:marBottom w:val="0"/>
      <w:divBdr>
        <w:top w:val="none" w:sz="0" w:space="0" w:color="auto"/>
        <w:left w:val="none" w:sz="0" w:space="0" w:color="auto"/>
        <w:bottom w:val="none" w:sz="0" w:space="0" w:color="auto"/>
        <w:right w:val="none" w:sz="0" w:space="0" w:color="auto"/>
      </w:divBdr>
    </w:div>
    <w:div w:id="947734456">
      <w:bodyDiv w:val="1"/>
      <w:marLeft w:val="0"/>
      <w:marRight w:val="0"/>
      <w:marTop w:val="0"/>
      <w:marBottom w:val="0"/>
      <w:divBdr>
        <w:top w:val="none" w:sz="0" w:space="0" w:color="auto"/>
        <w:left w:val="none" w:sz="0" w:space="0" w:color="auto"/>
        <w:bottom w:val="none" w:sz="0" w:space="0" w:color="auto"/>
        <w:right w:val="none" w:sz="0" w:space="0" w:color="auto"/>
      </w:divBdr>
    </w:div>
    <w:div w:id="981495697">
      <w:bodyDiv w:val="1"/>
      <w:marLeft w:val="0"/>
      <w:marRight w:val="0"/>
      <w:marTop w:val="0"/>
      <w:marBottom w:val="0"/>
      <w:divBdr>
        <w:top w:val="none" w:sz="0" w:space="0" w:color="auto"/>
        <w:left w:val="none" w:sz="0" w:space="0" w:color="auto"/>
        <w:bottom w:val="none" w:sz="0" w:space="0" w:color="auto"/>
        <w:right w:val="none" w:sz="0" w:space="0" w:color="auto"/>
      </w:divBdr>
    </w:div>
    <w:div w:id="981883594">
      <w:bodyDiv w:val="1"/>
      <w:marLeft w:val="0"/>
      <w:marRight w:val="0"/>
      <w:marTop w:val="0"/>
      <w:marBottom w:val="0"/>
      <w:divBdr>
        <w:top w:val="none" w:sz="0" w:space="0" w:color="auto"/>
        <w:left w:val="none" w:sz="0" w:space="0" w:color="auto"/>
        <w:bottom w:val="none" w:sz="0" w:space="0" w:color="auto"/>
        <w:right w:val="none" w:sz="0" w:space="0" w:color="auto"/>
      </w:divBdr>
    </w:div>
    <w:div w:id="1008872627">
      <w:bodyDiv w:val="1"/>
      <w:marLeft w:val="0"/>
      <w:marRight w:val="0"/>
      <w:marTop w:val="0"/>
      <w:marBottom w:val="0"/>
      <w:divBdr>
        <w:top w:val="none" w:sz="0" w:space="0" w:color="auto"/>
        <w:left w:val="none" w:sz="0" w:space="0" w:color="auto"/>
        <w:bottom w:val="none" w:sz="0" w:space="0" w:color="auto"/>
        <w:right w:val="none" w:sz="0" w:space="0" w:color="auto"/>
      </w:divBdr>
    </w:div>
    <w:div w:id="1015766537">
      <w:bodyDiv w:val="1"/>
      <w:marLeft w:val="0"/>
      <w:marRight w:val="0"/>
      <w:marTop w:val="0"/>
      <w:marBottom w:val="0"/>
      <w:divBdr>
        <w:top w:val="none" w:sz="0" w:space="0" w:color="auto"/>
        <w:left w:val="none" w:sz="0" w:space="0" w:color="auto"/>
        <w:bottom w:val="none" w:sz="0" w:space="0" w:color="auto"/>
        <w:right w:val="none" w:sz="0" w:space="0" w:color="auto"/>
      </w:divBdr>
    </w:div>
    <w:div w:id="1036924739">
      <w:bodyDiv w:val="1"/>
      <w:marLeft w:val="0"/>
      <w:marRight w:val="0"/>
      <w:marTop w:val="0"/>
      <w:marBottom w:val="0"/>
      <w:divBdr>
        <w:top w:val="none" w:sz="0" w:space="0" w:color="auto"/>
        <w:left w:val="none" w:sz="0" w:space="0" w:color="auto"/>
        <w:bottom w:val="none" w:sz="0" w:space="0" w:color="auto"/>
        <w:right w:val="none" w:sz="0" w:space="0" w:color="auto"/>
      </w:divBdr>
    </w:div>
    <w:div w:id="1042091884">
      <w:bodyDiv w:val="1"/>
      <w:marLeft w:val="0"/>
      <w:marRight w:val="0"/>
      <w:marTop w:val="0"/>
      <w:marBottom w:val="0"/>
      <w:divBdr>
        <w:top w:val="none" w:sz="0" w:space="0" w:color="auto"/>
        <w:left w:val="none" w:sz="0" w:space="0" w:color="auto"/>
        <w:bottom w:val="none" w:sz="0" w:space="0" w:color="auto"/>
        <w:right w:val="none" w:sz="0" w:space="0" w:color="auto"/>
      </w:divBdr>
    </w:div>
    <w:div w:id="1052314946">
      <w:bodyDiv w:val="1"/>
      <w:marLeft w:val="0"/>
      <w:marRight w:val="0"/>
      <w:marTop w:val="0"/>
      <w:marBottom w:val="0"/>
      <w:divBdr>
        <w:top w:val="none" w:sz="0" w:space="0" w:color="auto"/>
        <w:left w:val="none" w:sz="0" w:space="0" w:color="auto"/>
        <w:bottom w:val="none" w:sz="0" w:space="0" w:color="auto"/>
        <w:right w:val="none" w:sz="0" w:space="0" w:color="auto"/>
      </w:divBdr>
    </w:div>
    <w:div w:id="1107043668">
      <w:bodyDiv w:val="1"/>
      <w:marLeft w:val="0"/>
      <w:marRight w:val="0"/>
      <w:marTop w:val="0"/>
      <w:marBottom w:val="0"/>
      <w:divBdr>
        <w:top w:val="none" w:sz="0" w:space="0" w:color="auto"/>
        <w:left w:val="none" w:sz="0" w:space="0" w:color="auto"/>
        <w:bottom w:val="none" w:sz="0" w:space="0" w:color="auto"/>
        <w:right w:val="none" w:sz="0" w:space="0" w:color="auto"/>
      </w:divBdr>
    </w:div>
    <w:div w:id="1122722002">
      <w:bodyDiv w:val="1"/>
      <w:marLeft w:val="0"/>
      <w:marRight w:val="0"/>
      <w:marTop w:val="0"/>
      <w:marBottom w:val="0"/>
      <w:divBdr>
        <w:top w:val="none" w:sz="0" w:space="0" w:color="auto"/>
        <w:left w:val="none" w:sz="0" w:space="0" w:color="auto"/>
        <w:bottom w:val="none" w:sz="0" w:space="0" w:color="auto"/>
        <w:right w:val="none" w:sz="0" w:space="0" w:color="auto"/>
      </w:divBdr>
    </w:div>
    <w:div w:id="1124615951">
      <w:bodyDiv w:val="1"/>
      <w:marLeft w:val="0"/>
      <w:marRight w:val="0"/>
      <w:marTop w:val="0"/>
      <w:marBottom w:val="0"/>
      <w:divBdr>
        <w:top w:val="none" w:sz="0" w:space="0" w:color="auto"/>
        <w:left w:val="none" w:sz="0" w:space="0" w:color="auto"/>
        <w:bottom w:val="none" w:sz="0" w:space="0" w:color="auto"/>
        <w:right w:val="none" w:sz="0" w:space="0" w:color="auto"/>
      </w:divBdr>
    </w:div>
    <w:div w:id="1124884476">
      <w:bodyDiv w:val="1"/>
      <w:marLeft w:val="0"/>
      <w:marRight w:val="0"/>
      <w:marTop w:val="0"/>
      <w:marBottom w:val="0"/>
      <w:divBdr>
        <w:top w:val="none" w:sz="0" w:space="0" w:color="auto"/>
        <w:left w:val="none" w:sz="0" w:space="0" w:color="auto"/>
        <w:bottom w:val="none" w:sz="0" w:space="0" w:color="auto"/>
        <w:right w:val="none" w:sz="0" w:space="0" w:color="auto"/>
      </w:divBdr>
    </w:div>
    <w:div w:id="1132669371">
      <w:bodyDiv w:val="1"/>
      <w:marLeft w:val="0"/>
      <w:marRight w:val="0"/>
      <w:marTop w:val="0"/>
      <w:marBottom w:val="0"/>
      <w:divBdr>
        <w:top w:val="none" w:sz="0" w:space="0" w:color="auto"/>
        <w:left w:val="none" w:sz="0" w:space="0" w:color="auto"/>
        <w:bottom w:val="none" w:sz="0" w:space="0" w:color="auto"/>
        <w:right w:val="none" w:sz="0" w:space="0" w:color="auto"/>
      </w:divBdr>
    </w:div>
    <w:div w:id="1142580974">
      <w:bodyDiv w:val="1"/>
      <w:marLeft w:val="0"/>
      <w:marRight w:val="0"/>
      <w:marTop w:val="0"/>
      <w:marBottom w:val="0"/>
      <w:divBdr>
        <w:top w:val="none" w:sz="0" w:space="0" w:color="auto"/>
        <w:left w:val="none" w:sz="0" w:space="0" w:color="auto"/>
        <w:bottom w:val="none" w:sz="0" w:space="0" w:color="auto"/>
        <w:right w:val="none" w:sz="0" w:space="0" w:color="auto"/>
      </w:divBdr>
    </w:div>
    <w:div w:id="1144928416">
      <w:bodyDiv w:val="1"/>
      <w:marLeft w:val="0"/>
      <w:marRight w:val="0"/>
      <w:marTop w:val="0"/>
      <w:marBottom w:val="0"/>
      <w:divBdr>
        <w:top w:val="none" w:sz="0" w:space="0" w:color="auto"/>
        <w:left w:val="none" w:sz="0" w:space="0" w:color="auto"/>
        <w:bottom w:val="none" w:sz="0" w:space="0" w:color="auto"/>
        <w:right w:val="none" w:sz="0" w:space="0" w:color="auto"/>
      </w:divBdr>
    </w:div>
    <w:div w:id="1153181398">
      <w:bodyDiv w:val="1"/>
      <w:marLeft w:val="0"/>
      <w:marRight w:val="0"/>
      <w:marTop w:val="0"/>
      <w:marBottom w:val="0"/>
      <w:divBdr>
        <w:top w:val="none" w:sz="0" w:space="0" w:color="auto"/>
        <w:left w:val="none" w:sz="0" w:space="0" w:color="auto"/>
        <w:bottom w:val="none" w:sz="0" w:space="0" w:color="auto"/>
        <w:right w:val="none" w:sz="0" w:space="0" w:color="auto"/>
      </w:divBdr>
    </w:div>
    <w:div w:id="1157649770">
      <w:bodyDiv w:val="1"/>
      <w:marLeft w:val="0"/>
      <w:marRight w:val="0"/>
      <w:marTop w:val="0"/>
      <w:marBottom w:val="0"/>
      <w:divBdr>
        <w:top w:val="none" w:sz="0" w:space="0" w:color="auto"/>
        <w:left w:val="none" w:sz="0" w:space="0" w:color="auto"/>
        <w:bottom w:val="none" w:sz="0" w:space="0" w:color="auto"/>
        <w:right w:val="none" w:sz="0" w:space="0" w:color="auto"/>
      </w:divBdr>
    </w:div>
    <w:div w:id="1158611442">
      <w:bodyDiv w:val="1"/>
      <w:marLeft w:val="0"/>
      <w:marRight w:val="0"/>
      <w:marTop w:val="0"/>
      <w:marBottom w:val="0"/>
      <w:divBdr>
        <w:top w:val="none" w:sz="0" w:space="0" w:color="auto"/>
        <w:left w:val="none" w:sz="0" w:space="0" w:color="auto"/>
        <w:bottom w:val="none" w:sz="0" w:space="0" w:color="auto"/>
        <w:right w:val="none" w:sz="0" w:space="0" w:color="auto"/>
      </w:divBdr>
    </w:div>
    <w:div w:id="1190676658">
      <w:bodyDiv w:val="1"/>
      <w:marLeft w:val="0"/>
      <w:marRight w:val="0"/>
      <w:marTop w:val="0"/>
      <w:marBottom w:val="0"/>
      <w:divBdr>
        <w:top w:val="none" w:sz="0" w:space="0" w:color="auto"/>
        <w:left w:val="none" w:sz="0" w:space="0" w:color="auto"/>
        <w:bottom w:val="none" w:sz="0" w:space="0" w:color="auto"/>
        <w:right w:val="none" w:sz="0" w:space="0" w:color="auto"/>
      </w:divBdr>
    </w:div>
    <w:div w:id="1202472269">
      <w:bodyDiv w:val="1"/>
      <w:marLeft w:val="0"/>
      <w:marRight w:val="0"/>
      <w:marTop w:val="0"/>
      <w:marBottom w:val="0"/>
      <w:divBdr>
        <w:top w:val="none" w:sz="0" w:space="0" w:color="auto"/>
        <w:left w:val="none" w:sz="0" w:space="0" w:color="auto"/>
        <w:bottom w:val="none" w:sz="0" w:space="0" w:color="auto"/>
        <w:right w:val="none" w:sz="0" w:space="0" w:color="auto"/>
      </w:divBdr>
    </w:div>
    <w:div w:id="1204169428">
      <w:bodyDiv w:val="1"/>
      <w:marLeft w:val="0"/>
      <w:marRight w:val="0"/>
      <w:marTop w:val="0"/>
      <w:marBottom w:val="0"/>
      <w:divBdr>
        <w:top w:val="none" w:sz="0" w:space="0" w:color="auto"/>
        <w:left w:val="none" w:sz="0" w:space="0" w:color="auto"/>
        <w:bottom w:val="none" w:sz="0" w:space="0" w:color="auto"/>
        <w:right w:val="none" w:sz="0" w:space="0" w:color="auto"/>
      </w:divBdr>
    </w:div>
    <w:div w:id="1217739449">
      <w:bodyDiv w:val="1"/>
      <w:marLeft w:val="0"/>
      <w:marRight w:val="0"/>
      <w:marTop w:val="0"/>
      <w:marBottom w:val="0"/>
      <w:divBdr>
        <w:top w:val="none" w:sz="0" w:space="0" w:color="auto"/>
        <w:left w:val="none" w:sz="0" w:space="0" w:color="auto"/>
        <w:bottom w:val="none" w:sz="0" w:space="0" w:color="auto"/>
        <w:right w:val="none" w:sz="0" w:space="0" w:color="auto"/>
      </w:divBdr>
    </w:div>
    <w:div w:id="1221862096">
      <w:bodyDiv w:val="1"/>
      <w:marLeft w:val="0"/>
      <w:marRight w:val="0"/>
      <w:marTop w:val="0"/>
      <w:marBottom w:val="0"/>
      <w:divBdr>
        <w:top w:val="none" w:sz="0" w:space="0" w:color="auto"/>
        <w:left w:val="none" w:sz="0" w:space="0" w:color="auto"/>
        <w:bottom w:val="none" w:sz="0" w:space="0" w:color="auto"/>
        <w:right w:val="none" w:sz="0" w:space="0" w:color="auto"/>
      </w:divBdr>
    </w:div>
    <w:div w:id="1229000935">
      <w:bodyDiv w:val="1"/>
      <w:marLeft w:val="0"/>
      <w:marRight w:val="0"/>
      <w:marTop w:val="0"/>
      <w:marBottom w:val="0"/>
      <w:divBdr>
        <w:top w:val="none" w:sz="0" w:space="0" w:color="auto"/>
        <w:left w:val="none" w:sz="0" w:space="0" w:color="auto"/>
        <w:bottom w:val="none" w:sz="0" w:space="0" w:color="auto"/>
        <w:right w:val="none" w:sz="0" w:space="0" w:color="auto"/>
      </w:divBdr>
    </w:div>
    <w:div w:id="1232622254">
      <w:bodyDiv w:val="1"/>
      <w:marLeft w:val="0"/>
      <w:marRight w:val="0"/>
      <w:marTop w:val="0"/>
      <w:marBottom w:val="0"/>
      <w:divBdr>
        <w:top w:val="none" w:sz="0" w:space="0" w:color="auto"/>
        <w:left w:val="none" w:sz="0" w:space="0" w:color="auto"/>
        <w:bottom w:val="none" w:sz="0" w:space="0" w:color="auto"/>
        <w:right w:val="none" w:sz="0" w:space="0" w:color="auto"/>
      </w:divBdr>
    </w:div>
    <w:div w:id="1236553620">
      <w:bodyDiv w:val="1"/>
      <w:marLeft w:val="0"/>
      <w:marRight w:val="0"/>
      <w:marTop w:val="0"/>
      <w:marBottom w:val="0"/>
      <w:divBdr>
        <w:top w:val="none" w:sz="0" w:space="0" w:color="auto"/>
        <w:left w:val="none" w:sz="0" w:space="0" w:color="auto"/>
        <w:bottom w:val="none" w:sz="0" w:space="0" w:color="auto"/>
        <w:right w:val="none" w:sz="0" w:space="0" w:color="auto"/>
      </w:divBdr>
    </w:div>
    <w:div w:id="1258097589">
      <w:bodyDiv w:val="1"/>
      <w:marLeft w:val="0"/>
      <w:marRight w:val="0"/>
      <w:marTop w:val="0"/>
      <w:marBottom w:val="0"/>
      <w:divBdr>
        <w:top w:val="none" w:sz="0" w:space="0" w:color="auto"/>
        <w:left w:val="none" w:sz="0" w:space="0" w:color="auto"/>
        <w:bottom w:val="none" w:sz="0" w:space="0" w:color="auto"/>
        <w:right w:val="none" w:sz="0" w:space="0" w:color="auto"/>
      </w:divBdr>
    </w:div>
    <w:div w:id="1258631883">
      <w:bodyDiv w:val="1"/>
      <w:marLeft w:val="0"/>
      <w:marRight w:val="0"/>
      <w:marTop w:val="0"/>
      <w:marBottom w:val="0"/>
      <w:divBdr>
        <w:top w:val="none" w:sz="0" w:space="0" w:color="auto"/>
        <w:left w:val="none" w:sz="0" w:space="0" w:color="auto"/>
        <w:bottom w:val="none" w:sz="0" w:space="0" w:color="auto"/>
        <w:right w:val="none" w:sz="0" w:space="0" w:color="auto"/>
      </w:divBdr>
    </w:div>
    <w:div w:id="1259168936">
      <w:bodyDiv w:val="1"/>
      <w:marLeft w:val="0"/>
      <w:marRight w:val="0"/>
      <w:marTop w:val="0"/>
      <w:marBottom w:val="0"/>
      <w:divBdr>
        <w:top w:val="none" w:sz="0" w:space="0" w:color="auto"/>
        <w:left w:val="none" w:sz="0" w:space="0" w:color="auto"/>
        <w:bottom w:val="none" w:sz="0" w:space="0" w:color="auto"/>
        <w:right w:val="none" w:sz="0" w:space="0" w:color="auto"/>
      </w:divBdr>
    </w:div>
    <w:div w:id="1281112157">
      <w:bodyDiv w:val="1"/>
      <w:marLeft w:val="0"/>
      <w:marRight w:val="0"/>
      <w:marTop w:val="0"/>
      <w:marBottom w:val="0"/>
      <w:divBdr>
        <w:top w:val="none" w:sz="0" w:space="0" w:color="auto"/>
        <w:left w:val="none" w:sz="0" w:space="0" w:color="auto"/>
        <w:bottom w:val="none" w:sz="0" w:space="0" w:color="auto"/>
        <w:right w:val="none" w:sz="0" w:space="0" w:color="auto"/>
      </w:divBdr>
    </w:div>
    <w:div w:id="1288320962">
      <w:bodyDiv w:val="1"/>
      <w:marLeft w:val="0"/>
      <w:marRight w:val="0"/>
      <w:marTop w:val="0"/>
      <w:marBottom w:val="0"/>
      <w:divBdr>
        <w:top w:val="none" w:sz="0" w:space="0" w:color="auto"/>
        <w:left w:val="none" w:sz="0" w:space="0" w:color="auto"/>
        <w:bottom w:val="none" w:sz="0" w:space="0" w:color="auto"/>
        <w:right w:val="none" w:sz="0" w:space="0" w:color="auto"/>
      </w:divBdr>
    </w:div>
    <w:div w:id="1321154087">
      <w:bodyDiv w:val="1"/>
      <w:marLeft w:val="0"/>
      <w:marRight w:val="0"/>
      <w:marTop w:val="0"/>
      <w:marBottom w:val="0"/>
      <w:divBdr>
        <w:top w:val="none" w:sz="0" w:space="0" w:color="auto"/>
        <w:left w:val="none" w:sz="0" w:space="0" w:color="auto"/>
        <w:bottom w:val="none" w:sz="0" w:space="0" w:color="auto"/>
        <w:right w:val="none" w:sz="0" w:space="0" w:color="auto"/>
      </w:divBdr>
    </w:div>
    <w:div w:id="1334259150">
      <w:bodyDiv w:val="1"/>
      <w:marLeft w:val="0"/>
      <w:marRight w:val="0"/>
      <w:marTop w:val="0"/>
      <w:marBottom w:val="0"/>
      <w:divBdr>
        <w:top w:val="none" w:sz="0" w:space="0" w:color="auto"/>
        <w:left w:val="none" w:sz="0" w:space="0" w:color="auto"/>
        <w:bottom w:val="none" w:sz="0" w:space="0" w:color="auto"/>
        <w:right w:val="none" w:sz="0" w:space="0" w:color="auto"/>
      </w:divBdr>
    </w:div>
    <w:div w:id="1343510942">
      <w:bodyDiv w:val="1"/>
      <w:marLeft w:val="0"/>
      <w:marRight w:val="0"/>
      <w:marTop w:val="0"/>
      <w:marBottom w:val="0"/>
      <w:divBdr>
        <w:top w:val="none" w:sz="0" w:space="0" w:color="auto"/>
        <w:left w:val="none" w:sz="0" w:space="0" w:color="auto"/>
        <w:bottom w:val="none" w:sz="0" w:space="0" w:color="auto"/>
        <w:right w:val="none" w:sz="0" w:space="0" w:color="auto"/>
      </w:divBdr>
    </w:div>
    <w:div w:id="1344236973">
      <w:bodyDiv w:val="1"/>
      <w:marLeft w:val="0"/>
      <w:marRight w:val="0"/>
      <w:marTop w:val="0"/>
      <w:marBottom w:val="0"/>
      <w:divBdr>
        <w:top w:val="none" w:sz="0" w:space="0" w:color="auto"/>
        <w:left w:val="none" w:sz="0" w:space="0" w:color="auto"/>
        <w:bottom w:val="none" w:sz="0" w:space="0" w:color="auto"/>
        <w:right w:val="none" w:sz="0" w:space="0" w:color="auto"/>
      </w:divBdr>
    </w:div>
    <w:div w:id="1348407467">
      <w:bodyDiv w:val="1"/>
      <w:marLeft w:val="0"/>
      <w:marRight w:val="0"/>
      <w:marTop w:val="0"/>
      <w:marBottom w:val="0"/>
      <w:divBdr>
        <w:top w:val="none" w:sz="0" w:space="0" w:color="auto"/>
        <w:left w:val="none" w:sz="0" w:space="0" w:color="auto"/>
        <w:bottom w:val="none" w:sz="0" w:space="0" w:color="auto"/>
        <w:right w:val="none" w:sz="0" w:space="0" w:color="auto"/>
      </w:divBdr>
    </w:div>
    <w:div w:id="1358116456">
      <w:bodyDiv w:val="1"/>
      <w:marLeft w:val="0"/>
      <w:marRight w:val="0"/>
      <w:marTop w:val="0"/>
      <w:marBottom w:val="0"/>
      <w:divBdr>
        <w:top w:val="none" w:sz="0" w:space="0" w:color="auto"/>
        <w:left w:val="none" w:sz="0" w:space="0" w:color="auto"/>
        <w:bottom w:val="none" w:sz="0" w:space="0" w:color="auto"/>
        <w:right w:val="none" w:sz="0" w:space="0" w:color="auto"/>
      </w:divBdr>
    </w:div>
    <w:div w:id="1378116633">
      <w:bodyDiv w:val="1"/>
      <w:marLeft w:val="0"/>
      <w:marRight w:val="0"/>
      <w:marTop w:val="0"/>
      <w:marBottom w:val="0"/>
      <w:divBdr>
        <w:top w:val="none" w:sz="0" w:space="0" w:color="auto"/>
        <w:left w:val="none" w:sz="0" w:space="0" w:color="auto"/>
        <w:bottom w:val="none" w:sz="0" w:space="0" w:color="auto"/>
        <w:right w:val="none" w:sz="0" w:space="0" w:color="auto"/>
      </w:divBdr>
    </w:div>
    <w:div w:id="1394036587">
      <w:bodyDiv w:val="1"/>
      <w:marLeft w:val="0"/>
      <w:marRight w:val="0"/>
      <w:marTop w:val="0"/>
      <w:marBottom w:val="0"/>
      <w:divBdr>
        <w:top w:val="none" w:sz="0" w:space="0" w:color="auto"/>
        <w:left w:val="none" w:sz="0" w:space="0" w:color="auto"/>
        <w:bottom w:val="none" w:sz="0" w:space="0" w:color="auto"/>
        <w:right w:val="none" w:sz="0" w:space="0" w:color="auto"/>
      </w:divBdr>
    </w:div>
    <w:div w:id="1399283413">
      <w:bodyDiv w:val="1"/>
      <w:marLeft w:val="0"/>
      <w:marRight w:val="0"/>
      <w:marTop w:val="0"/>
      <w:marBottom w:val="0"/>
      <w:divBdr>
        <w:top w:val="none" w:sz="0" w:space="0" w:color="auto"/>
        <w:left w:val="none" w:sz="0" w:space="0" w:color="auto"/>
        <w:bottom w:val="none" w:sz="0" w:space="0" w:color="auto"/>
        <w:right w:val="none" w:sz="0" w:space="0" w:color="auto"/>
      </w:divBdr>
    </w:div>
    <w:div w:id="1409693543">
      <w:bodyDiv w:val="1"/>
      <w:marLeft w:val="0"/>
      <w:marRight w:val="0"/>
      <w:marTop w:val="0"/>
      <w:marBottom w:val="0"/>
      <w:divBdr>
        <w:top w:val="none" w:sz="0" w:space="0" w:color="auto"/>
        <w:left w:val="none" w:sz="0" w:space="0" w:color="auto"/>
        <w:bottom w:val="none" w:sz="0" w:space="0" w:color="auto"/>
        <w:right w:val="none" w:sz="0" w:space="0" w:color="auto"/>
      </w:divBdr>
    </w:div>
    <w:div w:id="1435780643">
      <w:bodyDiv w:val="1"/>
      <w:marLeft w:val="0"/>
      <w:marRight w:val="0"/>
      <w:marTop w:val="0"/>
      <w:marBottom w:val="0"/>
      <w:divBdr>
        <w:top w:val="none" w:sz="0" w:space="0" w:color="auto"/>
        <w:left w:val="none" w:sz="0" w:space="0" w:color="auto"/>
        <w:bottom w:val="none" w:sz="0" w:space="0" w:color="auto"/>
        <w:right w:val="none" w:sz="0" w:space="0" w:color="auto"/>
      </w:divBdr>
    </w:div>
    <w:div w:id="1437603427">
      <w:bodyDiv w:val="1"/>
      <w:marLeft w:val="0"/>
      <w:marRight w:val="0"/>
      <w:marTop w:val="0"/>
      <w:marBottom w:val="0"/>
      <w:divBdr>
        <w:top w:val="none" w:sz="0" w:space="0" w:color="auto"/>
        <w:left w:val="none" w:sz="0" w:space="0" w:color="auto"/>
        <w:bottom w:val="none" w:sz="0" w:space="0" w:color="auto"/>
        <w:right w:val="none" w:sz="0" w:space="0" w:color="auto"/>
      </w:divBdr>
    </w:div>
    <w:div w:id="1440177806">
      <w:bodyDiv w:val="1"/>
      <w:marLeft w:val="0"/>
      <w:marRight w:val="0"/>
      <w:marTop w:val="0"/>
      <w:marBottom w:val="0"/>
      <w:divBdr>
        <w:top w:val="none" w:sz="0" w:space="0" w:color="auto"/>
        <w:left w:val="none" w:sz="0" w:space="0" w:color="auto"/>
        <w:bottom w:val="none" w:sz="0" w:space="0" w:color="auto"/>
        <w:right w:val="none" w:sz="0" w:space="0" w:color="auto"/>
      </w:divBdr>
      <w:divsChild>
        <w:div w:id="289626090">
          <w:marLeft w:val="0"/>
          <w:marRight w:val="0"/>
          <w:marTop w:val="0"/>
          <w:marBottom w:val="0"/>
          <w:divBdr>
            <w:top w:val="none" w:sz="0" w:space="0" w:color="auto"/>
            <w:left w:val="none" w:sz="0" w:space="0" w:color="auto"/>
            <w:bottom w:val="none" w:sz="0" w:space="0" w:color="auto"/>
            <w:right w:val="none" w:sz="0" w:space="0" w:color="auto"/>
          </w:divBdr>
          <w:divsChild>
            <w:div w:id="1937900054">
              <w:marLeft w:val="0"/>
              <w:marRight w:val="0"/>
              <w:marTop w:val="112"/>
              <w:marBottom w:val="0"/>
              <w:divBdr>
                <w:top w:val="single" w:sz="8" w:space="6" w:color="666666"/>
                <w:left w:val="none" w:sz="0" w:space="0" w:color="auto"/>
                <w:bottom w:val="none" w:sz="0" w:space="0" w:color="auto"/>
                <w:right w:val="none" w:sz="0" w:space="0" w:color="auto"/>
              </w:divBdr>
            </w:div>
          </w:divsChild>
        </w:div>
      </w:divsChild>
    </w:div>
    <w:div w:id="1476753283">
      <w:bodyDiv w:val="1"/>
      <w:marLeft w:val="0"/>
      <w:marRight w:val="0"/>
      <w:marTop w:val="0"/>
      <w:marBottom w:val="0"/>
      <w:divBdr>
        <w:top w:val="none" w:sz="0" w:space="0" w:color="auto"/>
        <w:left w:val="none" w:sz="0" w:space="0" w:color="auto"/>
        <w:bottom w:val="none" w:sz="0" w:space="0" w:color="auto"/>
        <w:right w:val="none" w:sz="0" w:space="0" w:color="auto"/>
      </w:divBdr>
    </w:div>
    <w:div w:id="1486554623">
      <w:bodyDiv w:val="1"/>
      <w:marLeft w:val="0"/>
      <w:marRight w:val="0"/>
      <w:marTop w:val="0"/>
      <w:marBottom w:val="0"/>
      <w:divBdr>
        <w:top w:val="none" w:sz="0" w:space="0" w:color="auto"/>
        <w:left w:val="none" w:sz="0" w:space="0" w:color="auto"/>
        <w:bottom w:val="none" w:sz="0" w:space="0" w:color="auto"/>
        <w:right w:val="none" w:sz="0" w:space="0" w:color="auto"/>
      </w:divBdr>
    </w:div>
    <w:div w:id="1494376070">
      <w:bodyDiv w:val="1"/>
      <w:marLeft w:val="0"/>
      <w:marRight w:val="0"/>
      <w:marTop w:val="0"/>
      <w:marBottom w:val="0"/>
      <w:divBdr>
        <w:top w:val="none" w:sz="0" w:space="0" w:color="auto"/>
        <w:left w:val="none" w:sz="0" w:space="0" w:color="auto"/>
        <w:bottom w:val="none" w:sz="0" w:space="0" w:color="auto"/>
        <w:right w:val="none" w:sz="0" w:space="0" w:color="auto"/>
      </w:divBdr>
    </w:div>
    <w:div w:id="1502350222">
      <w:bodyDiv w:val="1"/>
      <w:marLeft w:val="0"/>
      <w:marRight w:val="0"/>
      <w:marTop w:val="0"/>
      <w:marBottom w:val="0"/>
      <w:divBdr>
        <w:top w:val="none" w:sz="0" w:space="0" w:color="auto"/>
        <w:left w:val="none" w:sz="0" w:space="0" w:color="auto"/>
        <w:bottom w:val="none" w:sz="0" w:space="0" w:color="auto"/>
        <w:right w:val="none" w:sz="0" w:space="0" w:color="auto"/>
      </w:divBdr>
    </w:div>
    <w:div w:id="1521238534">
      <w:bodyDiv w:val="1"/>
      <w:marLeft w:val="0"/>
      <w:marRight w:val="0"/>
      <w:marTop w:val="0"/>
      <w:marBottom w:val="0"/>
      <w:divBdr>
        <w:top w:val="none" w:sz="0" w:space="0" w:color="auto"/>
        <w:left w:val="none" w:sz="0" w:space="0" w:color="auto"/>
        <w:bottom w:val="none" w:sz="0" w:space="0" w:color="auto"/>
        <w:right w:val="none" w:sz="0" w:space="0" w:color="auto"/>
      </w:divBdr>
    </w:div>
    <w:div w:id="1527132714">
      <w:bodyDiv w:val="1"/>
      <w:marLeft w:val="0"/>
      <w:marRight w:val="0"/>
      <w:marTop w:val="0"/>
      <w:marBottom w:val="0"/>
      <w:divBdr>
        <w:top w:val="none" w:sz="0" w:space="0" w:color="auto"/>
        <w:left w:val="none" w:sz="0" w:space="0" w:color="auto"/>
        <w:bottom w:val="none" w:sz="0" w:space="0" w:color="auto"/>
        <w:right w:val="none" w:sz="0" w:space="0" w:color="auto"/>
      </w:divBdr>
    </w:div>
    <w:div w:id="1588071957">
      <w:bodyDiv w:val="1"/>
      <w:marLeft w:val="0"/>
      <w:marRight w:val="0"/>
      <w:marTop w:val="0"/>
      <w:marBottom w:val="0"/>
      <w:divBdr>
        <w:top w:val="none" w:sz="0" w:space="0" w:color="auto"/>
        <w:left w:val="none" w:sz="0" w:space="0" w:color="auto"/>
        <w:bottom w:val="none" w:sz="0" w:space="0" w:color="auto"/>
        <w:right w:val="none" w:sz="0" w:space="0" w:color="auto"/>
      </w:divBdr>
    </w:div>
    <w:div w:id="1593665315">
      <w:bodyDiv w:val="1"/>
      <w:marLeft w:val="0"/>
      <w:marRight w:val="0"/>
      <w:marTop w:val="0"/>
      <w:marBottom w:val="0"/>
      <w:divBdr>
        <w:top w:val="none" w:sz="0" w:space="0" w:color="auto"/>
        <w:left w:val="none" w:sz="0" w:space="0" w:color="auto"/>
        <w:bottom w:val="none" w:sz="0" w:space="0" w:color="auto"/>
        <w:right w:val="none" w:sz="0" w:space="0" w:color="auto"/>
      </w:divBdr>
    </w:div>
    <w:div w:id="1599829240">
      <w:bodyDiv w:val="1"/>
      <w:marLeft w:val="0"/>
      <w:marRight w:val="0"/>
      <w:marTop w:val="0"/>
      <w:marBottom w:val="0"/>
      <w:divBdr>
        <w:top w:val="none" w:sz="0" w:space="0" w:color="auto"/>
        <w:left w:val="none" w:sz="0" w:space="0" w:color="auto"/>
        <w:bottom w:val="none" w:sz="0" w:space="0" w:color="auto"/>
        <w:right w:val="none" w:sz="0" w:space="0" w:color="auto"/>
      </w:divBdr>
    </w:div>
    <w:div w:id="1601837175">
      <w:bodyDiv w:val="1"/>
      <w:marLeft w:val="0"/>
      <w:marRight w:val="0"/>
      <w:marTop w:val="0"/>
      <w:marBottom w:val="0"/>
      <w:divBdr>
        <w:top w:val="none" w:sz="0" w:space="0" w:color="auto"/>
        <w:left w:val="none" w:sz="0" w:space="0" w:color="auto"/>
        <w:bottom w:val="none" w:sz="0" w:space="0" w:color="auto"/>
        <w:right w:val="none" w:sz="0" w:space="0" w:color="auto"/>
      </w:divBdr>
    </w:div>
    <w:div w:id="1617057723">
      <w:bodyDiv w:val="1"/>
      <w:marLeft w:val="0"/>
      <w:marRight w:val="0"/>
      <w:marTop w:val="0"/>
      <w:marBottom w:val="0"/>
      <w:divBdr>
        <w:top w:val="none" w:sz="0" w:space="0" w:color="auto"/>
        <w:left w:val="none" w:sz="0" w:space="0" w:color="auto"/>
        <w:bottom w:val="none" w:sz="0" w:space="0" w:color="auto"/>
        <w:right w:val="none" w:sz="0" w:space="0" w:color="auto"/>
      </w:divBdr>
    </w:div>
    <w:div w:id="1623532988">
      <w:bodyDiv w:val="1"/>
      <w:marLeft w:val="0"/>
      <w:marRight w:val="0"/>
      <w:marTop w:val="0"/>
      <w:marBottom w:val="0"/>
      <w:divBdr>
        <w:top w:val="none" w:sz="0" w:space="0" w:color="auto"/>
        <w:left w:val="none" w:sz="0" w:space="0" w:color="auto"/>
        <w:bottom w:val="none" w:sz="0" w:space="0" w:color="auto"/>
        <w:right w:val="none" w:sz="0" w:space="0" w:color="auto"/>
      </w:divBdr>
    </w:div>
    <w:div w:id="1654023380">
      <w:bodyDiv w:val="1"/>
      <w:marLeft w:val="0"/>
      <w:marRight w:val="0"/>
      <w:marTop w:val="0"/>
      <w:marBottom w:val="0"/>
      <w:divBdr>
        <w:top w:val="none" w:sz="0" w:space="0" w:color="auto"/>
        <w:left w:val="none" w:sz="0" w:space="0" w:color="auto"/>
        <w:bottom w:val="none" w:sz="0" w:space="0" w:color="auto"/>
        <w:right w:val="none" w:sz="0" w:space="0" w:color="auto"/>
      </w:divBdr>
    </w:div>
    <w:div w:id="1658681785">
      <w:bodyDiv w:val="1"/>
      <w:marLeft w:val="0"/>
      <w:marRight w:val="0"/>
      <w:marTop w:val="0"/>
      <w:marBottom w:val="0"/>
      <w:divBdr>
        <w:top w:val="none" w:sz="0" w:space="0" w:color="auto"/>
        <w:left w:val="none" w:sz="0" w:space="0" w:color="auto"/>
        <w:bottom w:val="none" w:sz="0" w:space="0" w:color="auto"/>
        <w:right w:val="none" w:sz="0" w:space="0" w:color="auto"/>
      </w:divBdr>
    </w:div>
    <w:div w:id="1671132979">
      <w:bodyDiv w:val="1"/>
      <w:marLeft w:val="0"/>
      <w:marRight w:val="0"/>
      <w:marTop w:val="0"/>
      <w:marBottom w:val="0"/>
      <w:divBdr>
        <w:top w:val="none" w:sz="0" w:space="0" w:color="auto"/>
        <w:left w:val="none" w:sz="0" w:space="0" w:color="auto"/>
        <w:bottom w:val="none" w:sz="0" w:space="0" w:color="auto"/>
        <w:right w:val="none" w:sz="0" w:space="0" w:color="auto"/>
      </w:divBdr>
    </w:div>
    <w:div w:id="1680622704">
      <w:bodyDiv w:val="1"/>
      <w:marLeft w:val="0"/>
      <w:marRight w:val="0"/>
      <w:marTop w:val="0"/>
      <w:marBottom w:val="0"/>
      <w:divBdr>
        <w:top w:val="none" w:sz="0" w:space="0" w:color="auto"/>
        <w:left w:val="none" w:sz="0" w:space="0" w:color="auto"/>
        <w:bottom w:val="none" w:sz="0" w:space="0" w:color="auto"/>
        <w:right w:val="none" w:sz="0" w:space="0" w:color="auto"/>
      </w:divBdr>
    </w:div>
    <w:div w:id="1689792697">
      <w:bodyDiv w:val="1"/>
      <w:marLeft w:val="0"/>
      <w:marRight w:val="0"/>
      <w:marTop w:val="0"/>
      <w:marBottom w:val="0"/>
      <w:divBdr>
        <w:top w:val="none" w:sz="0" w:space="0" w:color="auto"/>
        <w:left w:val="none" w:sz="0" w:space="0" w:color="auto"/>
        <w:bottom w:val="none" w:sz="0" w:space="0" w:color="auto"/>
        <w:right w:val="none" w:sz="0" w:space="0" w:color="auto"/>
      </w:divBdr>
    </w:div>
    <w:div w:id="1690252235">
      <w:bodyDiv w:val="1"/>
      <w:marLeft w:val="0"/>
      <w:marRight w:val="0"/>
      <w:marTop w:val="0"/>
      <w:marBottom w:val="0"/>
      <w:divBdr>
        <w:top w:val="none" w:sz="0" w:space="0" w:color="auto"/>
        <w:left w:val="none" w:sz="0" w:space="0" w:color="auto"/>
        <w:bottom w:val="none" w:sz="0" w:space="0" w:color="auto"/>
        <w:right w:val="none" w:sz="0" w:space="0" w:color="auto"/>
      </w:divBdr>
    </w:div>
    <w:div w:id="1718356659">
      <w:bodyDiv w:val="1"/>
      <w:marLeft w:val="0"/>
      <w:marRight w:val="0"/>
      <w:marTop w:val="0"/>
      <w:marBottom w:val="0"/>
      <w:divBdr>
        <w:top w:val="none" w:sz="0" w:space="0" w:color="auto"/>
        <w:left w:val="none" w:sz="0" w:space="0" w:color="auto"/>
        <w:bottom w:val="none" w:sz="0" w:space="0" w:color="auto"/>
        <w:right w:val="none" w:sz="0" w:space="0" w:color="auto"/>
      </w:divBdr>
    </w:div>
    <w:div w:id="1734890350">
      <w:bodyDiv w:val="1"/>
      <w:marLeft w:val="0"/>
      <w:marRight w:val="0"/>
      <w:marTop w:val="0"/>
      <w:marBottom w:val="0"/>
      <w:divBdr>
        <w:top w:val="none" w:sz="0" w:space="0" w:color="auto"/>
        <w:left w:val="none" w:sz="0" w:space="0" w:color="auto"/>
        <w:bottom w:val="none" w:sz="0" w:space="0" w:color="auto"/>
        <w:right w:val="none" w:sz="0" w:space="0" w:color="auto"/>
      </w:divBdr>
    </w:div>
    <w:div w:id="1755277285">
      <w:bodyDiv w:val="1"/>
      <w:marLeft w:val="0"/>
      <w:marRight w:val="0"/>
      <w:marTop w:val="0"/>
      <w:marBottom w:val="0"/>
      <w:divBdr>
        <w:top w:val="none" w:sz="0" w:space="0" w:color="auto"/>
        <w:left w:val="none" w:sz="0" w:space="0" w:color="auto"/>
        <w:bottom w:val="none" w:sz="0" w:space="0" w:color="auto"/>
        <w:right w:val="none" w:sz="0" w:space="0" w:color="auto"/>
      </w:divBdr>
    </w:div>
    <w:div w:id="1761414711">
      <w:bodyDiv w:val="1"/>
      <w:marLeft w:val="0"/>
      <w:marRight w:val="0"/>
      <w:marTop w:val="0"/>
      <w:marBottom w:val="0"/>
      <w:divBdr>
        <w:top w:val="none" w:sz="0" w:space="0" w:color="auto"/>
        <w:left w:val="none" w:sz="0" w:space="0" w:color="auto"/>
        <w:bottom w:val="none" w:sz="0" w:space="0" w:color="auto"/>
        <w:right w:val="none" w:sz="0" w:space="0" w:color="auto"/>
      </w:divBdr>
    </w:div>
    <w:div w:id="1776709545">
      <w:bodyDiv w:val="1"/>
      <w:marLeft w:val="0"/>
      <w:marRight w:val="0"/>
      <w:marTop w:val="0"/>
      <w:marBottom w:val="0"/>
      <w:divBdr>
        <w:top w:val="none" w:sz="0" w:space="0" w:color="auto"/>
        <w:left w:val="none" w:sz="0" w:space="0" w:color="auto"/>
        <w:bottom w:val="none" w:sz="0" w:space="0" w:color="auto"/>
        <w:right w:val="none" w:sz="0" w:space="0" w:color="auto"/>
      </w:divBdr>
    </w:div>
    <w:div w:id="1778213996">
      <w:bodyDiv w:val="1"/>
      <w:marLeft w:val="0"/>
      <w:marRight w:val="0"/>
      <w:marTop w:val="0"/>
      <w:marBottom w:val="0"/>
      <w:divBdr>
        <w:top w:val="none" w:sz="0" w:space="0" w:color="auto"/>
        <w:left w:val="none" w:sz="0" w:space="0" w:color="auto"/>
        <w:bottom w:val="none" w:sz="0" w:space="0" w:color="auto"/>
        <w:right w:val="none" w:sz="0" w:space="0" w:color="auto"/>
      </w:divBdr>
    </w:div>
    <w:div w:id="1795168837">
      <w:bodyDiv w:val="1"/>
      <w:marLeft w:val="0"/>
      <w:marRight w:val="0"/>
      <w:marTop w:val="0"/>
      <w:marBottom w:val="0"/>
      <w:divBdr>
        <w:top w:val="none" w:sz="0" w:space="0" w:color="auto"/>
        <w:left w:val="none" w:sz="0" w:space="0" w:color="auto"/>
        <w:bottom w:val="none" w:sz="0" w:space="0" w:color="auto"/>
        <w:right w:val="none" w:sz="0" w:space="0" w:color="auto"/>
      </w:divBdr>
    </w:div>
    <w:div w:id="1800411786">
      <w:bodyDiv w:val="1"/>
      <w:marLeft w:val="0"/>
      <w:marRight w:val="0"/>
      <w:marTop w:val="0"/>
      <w:marBottom w:val="0"/>
      <w:divBdr>
        <w:top w:val="none" w:sz="0" w:space="0" w:color="auto"/>
        <w:left w:val="none" w:sz="0" w:space="0" w:color="auto"/>
        <w:bottom w:val="none" w:sz="0" w:space="0" w:color="auto"/>
        <w:right w:val="none" w:sz="0" w:space="0" w:color="auto"/>
      </w:divBdr>
    </w:div>
    <w:div w:id="1834756262">
      <w:bodyDiv w:val="1"/>
      <w:marLeft w:val="0"/>
      <w:marRight w:val="0"/>
      <w:marTop w:val="0"/>
      <w:marBottom w:val="0"/>
      <w:divBdr>
        <w:top w:val="none" w:sz="0" w:space="0" w:color="auto"/>
        <w:left w:val="none" w:sz="0" w:space="0" w:color="auto"/>
        <w:bottom w:val="none" w:sz="0" w:space="0" w:color="auto"/>
        <w:right w:val="none" w:sz="0" w:space="0" w:color="auto"/>
      </w:divBdr>
    </w:div>
    <w:div w:id="1860312737">
      <w:bodyDiv w:val="1"/>
      <w:marLeft w:val="0"/>
      <w:marRight w:val="0"/>
      <w:marTop w:val="0"/>
      <w:marBottom w:val="0"/>
      <w:divBdr>
        <w:top w:val="none" w:sz="0" w:space="0" w:color="auto"/>
        <w:left w:val="none" w:sz="0" w:space="0" w:color="auto"/>
        <w:bottom w:val="none" w:sz="0" w:space="0" w:color="auto"/>
        <w:right w:val="none" w:sz="0" w:space="0" w:color="auto"/>
      </w:divBdr>
    </w:div>
    <w:div w:id="1865511340">
      <w:bodyDiv w:val="1"/>
      <w:marLeft w:val="0"/>
      <w:marRight w:val="0"/>
      <w:marTop w:val="0"/>
      <w:marBottom w:val="0"/>
      <w:divBdr>
        <w:top w:val="none" w:sz="0" w:space="0" w:color="auto"/>
        <w:left w:val="none" w:sz="0" w:space="0" w:color="auto"/>
        <w:bottom w:val="none" w:sz="0" w:space="0" w:color="auto"/>
        <w:right w:val="none" w:sz="0" w:space="0" w:color="auto"/>
      </w:divBdr>
    </w:div>
    <w:div w:id="1876766854">
      <w:bodyDiv w:val="1"/>
      <w:marLeft w:val="0"/>
      <w:marRight w:val="0"/>
      <w:marTop w:val="0"/>
      <w:marBottom w:val="0"/>
      <w:divBdr>
        <w:top w:val="none" w:sz="0" w:space="0" w:color="auto"/>
        <w:left w:val="none" w:sz="0" w:space="0" w:color="auto"/>
        <w:bottom w:val="none" w:sz="0" w:space="0" w:color="auto"/>
        <w:right w:val="none" w:sz="0" w:space="0" w:color="auto"/>
      </w:divBdr>
    </w:div>
    <w:div w:id="1911882302">
      <w:bodyDiv w:val="1"/>
      <w:marLeft w:val="0"/>
      <w:marRight w:val="0"/>
      <w:marTop w:val="0"/>
      <w:marBottom w:val="0"/>
      <w:divBdr>
        <w:top w:val="none" w:sz="0" w:space="0" w:color="auto"/>
        <w:left w:val="none" w:sz="0" w:space="0" w:color="auto"/>
        <w:bottom w:val="none" w:sz="0" w:space="0" w:color="auto"/>
        <w:right w:val="none" w:sz="0" w:space="0" w:color="auto"/>
      </w:divBdr>
    </w:div>
    <w:div w:id="1939824063">
      <w:bodyDiv w:val="1"/>
      <w:marLeft w:val="0"/>
      <w:marRight w:val="0"/>
      <w:marTop w:val="0"/>
      <w:marBottom w:val="0"/>
      <w:divBdr>
        <w:top w:val="none" w:sz="0" w:space="0" w:color="auto"/>
        <w:left w:val="none" w:sz="0" w:space="0" w:color="auto"/>
        <w:bottom w:val="none" w:sz="0" w:space="0" w:color="auto"/>
        <w:right w:val="none" w:sz="0" w:space="0" w:color="auto"/>
      </w:divBdr>
    </w:div>
    <w:div w:id="1949119679">
      <w:bodyDiv w:val="1"/>
      <w:marLeft w:val="0"/>
      <w:marRight w:val="0"/>
      <w:marTop w:val="0"/>
      <w:marBottom w:val="0"/>
      <w:divBdr>
        <w:top w:val="none" w:sz="0" w:space="0" w:color="auto"/>
        <w:left w:val="none" w:sz="0" w:space="0" w:color="auto"/>
        <w:bottom w:val="none" w:sz="0" w:space="0" w:color="auto"/>
        <w:right w:val="none" w:sz="0" w:space="0" w:color="auto"/>
      </w:divBdr>
    </w:div>
    <w:div w:id="1960456914">
      <w:bodyDiv w:val="1"/>
      <w:marLeft w:val="0"/>
      <w:marRight w:val="0"/>
      <w:marTop w:val="0"/>
      <w:marBottom w:val="0"/>
      <w:divBdr>
        <w:top w:val="none" w:sz="0" w:space="0" w:color="auto"/>
        <w:left w:val="none" w:sz="0" w:space="0" w:color="auto"/>
        <w:bottom w:val="none" w:sz="0" w:space="0" w:color="auto"/>
        <w:right w:val="none" w:sz="0" w:space="0" w:color="auto"/>
      </w:divBdr>
    </w:div>
    <w:div w:id="1960985965">
      <w:bodyDiv w:val="1"/>
      <w:marLeft w:val="0"/>
      <w:marRight w:val="0"/>
      <w:marTop w:val="0"/>
      <w:marBottom w:val="0"/>
      <w:divBdr>
        <w:top w:val="none" w:sz="0" w:space="0" w:color="auto"/>
        <w:left w:val="none" w:sz="0" w:space="0" w:color="auto"/>
        <w:bottom w:val="none" w:sz="0" w:space="0" w:color="auto"/>
        <w:right w:val="none" w:sz="0" w:space="0" w:color="auto"/>
      </w:divBdr>
    </w:div>
    <w:div w:id="2005932047">
      <w:bodyDiv w:val="1"/>
      <w:marLeft w:val="0"/>
      <w:marRight w:val="0"/>
      <w:marTop w:val="0"/>
      <w:marBottom w:val="0"/>
      <w:divBdr>
        <w:top w:val="none" w:sz="0" w:space="0" w:color="auto"/>
        <w:left w:val="none" w:sz="0" w:space="0" w:color="auto"/>
        <w:bottom w:val="none" w:sz="0" w:space="0" w:color="auto"/>
        <w:right w:val="none" w:sz="0" w:space="0" w:color="auto"/>
      </w:divBdr>
    </w:div>
    <w:div w:id="2021000871">
      <w:bodyDiv w:val="1"/>
      <w:marLeft w:val="0"/>
      <w:marRight w:val="0"/>
      <w:marTop w:val="0"/>
      <w:marBottom w:val="0"/>
      <w:divBdr>
        <w:top w:val="none" w:sz="0" w:space="0" w:color="auto"/>
        <w:left w:val="none" w:sz="0" w:space="0" w:color="auto"/>
        <w:bottom w:val="none" w:sz="0" w:space="0" w:color="auto"/>
        <w:right w:val="none" w:sz="0" w:space="0" w:color="auto"/>
      </w:divBdr>
    </w:div>
    <w:div w:id="2025783501">
      <w:bodyDiv w:val="1"/>
      <w:marLeft w:val="0"/>
      <w:marRight w:val="0"/>
      <w:marTop w:val="0"/>
      <w:marBottom w:val="0"/>
      <w:divBdr>
        <w:top w:val="none" w:sz="0" w:space="0" w:color="auto"/>
        <w:left w:val="none" w:sz="0" w:space="0" w:color="auto"/>
        <w:bottom w:val="none" w:sz="0" w:space="0" w:color="auto"/>
        <w:right w:val="none" w:sz="0" w:space="0" w:color="auto"/>
      </w:divBdr>
    </w:div>
    <w:div w:id="2037803352">
      <w:bodyDiv w:val="1"/>
      <w:marLeft w:val="0"/>
      <w:marRight w:val="0"/>
      <w:marTop w:val="0"/>
      <w:marBottom w:val="0"/>
      <w:divBdr>
        <w:top w:val="none" w:sz="0" w:space="0" w:color="auto"/>
        <w:left w:val="none" w:sz="0" w:space="0" w:color="auto"/>
        <w:bottom w:val="none" w:sz="0" w:space="0" w:color="auto"/>
        <w:right w:val="none" w:sz="0" w:space="0" w:color="auto"/>
      </w:divBdr>
    </w:div>
    <w:div w:id="2047245067">
      <w:bodyDiv w:val="1"/>
      <w:marLeft w:val="0"/>
      <w:marRight w:val="0"/>
      <w:marTop w:val="0"/>
      <w:marBottom w:val="0"/>
      <w:divBdr>
        <w:top w:val="none" w:sz="0" w:space="0" w:color="auto"/>
        <w:left w:val="none" w:sz="0" w:space="0" w:color="auto"/>
        <w:bottom w:val="none" w:sz="0" w:space="0" w:color="auto"/>
        <w:right w:val="none" w:sz="0" w:space="0" w:color="auto"/>
      </w:divBdr>
    </w:div>
    <w:div w:id="2052613899">
      <w:bodyDiv w:val="1"/>
      <w:marLeft w:val="0"/>
      <w:marRight w:val="0"/>
      <w:marTop w:val="0"/>
      <w:marBottom w:val="0"/>
      <w:divBdr>
        <w:top w:val="none" w:sz="0" w:space="0" w:color="auto"/>
        <w:left w:val="none" w:sz="0" w:space="0" w:color="auto"/>
        <w:bottom w:val="none" w:sz="0" w:space="0" w:color="auto"/>
        <w:right w:val="none" w:sz="0" w:space="0" w:color="auto"/>
      </w:divBdr>
    </w:div>
    <w:div w:id="2062903038">
      <w:bodyDiv w:val="1"/>
      <w:marLeft w:val="0"/>
      <w:marRight w:val="0"/>
      <w:marTop w:val="0"/>
      <w:marBottom w:val="0"/>
      <w:divBdr>
        <w:top w:val="none" w:sz="0" w:space="0" w:color="auto"/>
        <w:left w:val="none" w:sz="0" w:space="0" w:color="auto"/>
        <w:bottom w:val="none" w:sz="0" w:space="0" w:color="auto"/>
        <w:right w:val="none" w:sz="0" w:space="0" w:color="auto"/>
      </w:divBdr>
    </w:div>
    <w:div w:id="2065105266">
      <w:bodyDiv w:val="1"/>
      <w:marLeft w:val="0"/>
      <w:marRight w:val="0"/>
      <w:marTop w:val="0"/>
      <w:marBottom w:val="0"/>
      <w:divBdr>
        <w:top w:val="none" w:sz="0" w:space="0" w:color="auto"/>
        <w:left w:val="none" w:sz="0" w:space="0" w:color="auto"/>
        <w:bottom w:val="none" w:sz="0" w:space="0" w:color="auto"/>
        <w:right w:val="none" w:sz="0" w:space="0" w:color="auto"/>
      </w:divBdr>
    </w:div>
    <w:div w:id="2065837188">
      <w:bodyDiv w:val="1"/>
      <w:marLeft w:val="0"/>
      <w:marRight w:val="0"/>
      <w:marTop w:val="0"/>
      <w:marBottom w:val="0"/>
      <w:divBdr>
        <w:top w:val="none" w:sz="0" w:space="0" w:color="auto"/>
        <w:left w:val="none" w:sz="0" w:space="0" w:color="auto"/>
        <w:bottom w:val="none" w:sz="0" w:space="0" w:color="auto"/>
        <w:right w:val="none" w:sz="0" w:space="0" w:color="auto"/>
      </w:divBdr>
    </w:div>
    <w:div w:id="2071609984">
      <w:bodyDiv w:val="1"/>
      <w:marLeft w:val="0"/>
      <w:marRight w:val="0"/>
      <w:marTop w:val="0"/>
      <w:marBottom w:val="0"/>
      <w:divBdr>
        <w:top w:val="none" w:sz="0" w:space="0" w:color="auto"/>
        <w:left w:val="none" w:sz="0" w:space="0" w:color="auto"/>
        <w:bottom w:val="none" w:sz="0" w:space="0" w:color="auto"/>
        <w:right w:val="none" w:sz="0" w:space="0" w:color="auto"/>
      </w:divBdr>
    </w:div>
    <w:div w:id="2079593097">
      <w:bodyDiv w:val="1"/>
      <w:marLeft w:val="0"/>
      <w:marRight w:val="0"/>
      <w:marTop w:val="0"/>
      <w:marBottom w:val="0"/>
      <w:divBdr>
        <w:top w:val="none" w:sz="0" w:space="0" w:color="auto"/>
        <w:left w:val="none" w:sz="0" w:space="0" w:color="auto"/>
        <w:bottom w:val="none" w:sz="0" w:space="0" w:color="auto"/>
        <w:right w:val="none" w:sz="0" w:space="0" w:color="auto"/>
      </w:divBdr>
    </w:div>
    <w:div w:id="2101100813">
      <w:bodyDiv w:val="1"/>
      <w:marLeft w:val="0"/>
      <w:marRight w:val="0"/>
      <w:marTop w:val="0"/>
      <w:marBottom w:val="0"/>
      <w:divBdr>
        <w:top w:val="none" w:sz="0" w:space="0" w:color="auto"/>
        <w:left w:val="none" w:sz="0" w:space="0" w:color="auto"/>
        <w:bottom w:val="none" w:sz="0" w:space="0" w:color="auto"/>
        <w:right w:val="none" w:sz="0" w:space="0" w:color="auto"/>
      </w:divBdr>
    </w:div>
    <w:div w:id="2112047210">
      <w:bodyDiv w:val="1"/>
      <w:marLeft w:val="0"/>
      <w:marRight w:val="0"/>
      <w:marTop w:val="0"/>
      <w:marBottom w:val="0"/>
      <w:divBdr>
        <w:top w:val="none" w:sz="0" w:space="0" w:color="auto"/>
        <w:left w:val="none" w:sz="0" w:space="0" w:color="auto"/>
        <w:bottom w:val="none" w:sz="0" w:space="0" w:color="auto"/>
        <w:right w:val="none" w:sz="0" w:space="0" w:color="auto"/>
      </w:divBdr>
    </w:div>
    <w:div w:id="212094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14.wmf"/><Relationship Id="rId21" Type="http://schemas.openxmlformats.org/officeDocument/2006/relationships/image" Target="media/image6.png"/><Relationship Id="rId34" Type="http://schemas.openxmlformats.org/officeDocument/2006/relationships/header" Target="header13.xm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16.wmf"/><Relationship Id="rId54" Type="http://schemas.openxmlformats.org/officeDocument/2006/relationships/chart" Target="charts/chart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image" Target="media/image13.wmf"/><Relationship Id="rId40" Type="http://schemas.openxmlformats.org/officeDocument/2006/relationships/image" Target="media/image15.wmf"/><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2.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chart" Target="charts/chart11.xml"/><Relationship Id="rId57" Type="http://schemas.openxmlformats.org/officeDocument/2006/relationships/image" Target="media/image17.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3.xm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oleObject" Target="embeddings/oleObject1.bin"/><Relationship Id="rId46" Type="http://schemas.openxmlformats.org/officeDocument/2006/relationships/chart" Target="charts/chart8.xml"/><Relationship Id="rId59" Type="http://schemas.openxmlformats.org/officeDocument/2006/relationships/header" Target="header14.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energy2\data\FSC\1571%20Statewide%202011%20CPP%20Evaluation\PG&amp;E\Output\Test%20Specifications%20-%20PG&amp;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nergy2\data\FSC\1571%20Statewide%202011%20CPP%20Evaluation\SCE\Output\Control%20Group%20Tables%20-%20SCE%20-%20SD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nergy2\data\FSC\1571%20Statewide%202011%20CPP%20Evaluation\SCE\Output\Test%20Specifications%20-%20SC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Test%20Specifications%20-%20SDG&amp;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Control%20Group%20Tables%20-%20SDG&amp;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Control%20Group%20Tables%20-%20SDG&amp;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Control%20Group%20Tables%20-%20SDG&amp;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Test%20Specifications%20-%20SDG&amp;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Weather%20Ranking%20Aggregate%20Load%20Exercise%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Weather%20Ranking%20Aggregate%20Load%20Exercise%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Ex%20Ante%20Weather%20Patterns%20Across%20All%20Utilit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nergy2\data\FSC\1571%20Statewide%202011%20CPP%20Evaluation\SCE\Output\Test%20Specifications%20-%20S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nergy2\data\FSC\1571%20Statewide%202011%20CPP%20Evaluation\SDG&amp;E\Output\Test%20Specifications%20-%20SDG&amp;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nergy2\data\FSC\1571%20Statewide%202011%20CPP%20Evaluation\PG&amp;E\Output\Test%20Specifications%20-%20PG&amp;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nergy2\data\FSC\1571%20Statewide%202011%20CPP%20Evaluation\PG&amp;E\Output\Control%20Group%20Tables%20-%20PG&amp;E%20-%20SD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rgy2\data\FSC\1571%20Statewide%202011%20CPP%20Evaluation\PG&amp;E\Output\Control%20Group%20Tables%20-%20PG&amp;E%20-%20SD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rgy2\data\FSC\1571%20Statewide%202011%20CPP%20Evaluation\PG&amp;E\Output\Test%20Specifications%20-%20PG&amp;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nergy2\data\FSC\1571%20Statewide%202011%20CPP%20Evaluation\SCE\Output\Test%20Specifications%20-%20S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nergy2\data\FSC\1571%20Statewide%202011%20CPP%20Evaluation\SCE\Output\Control%20Group%20Tables%20-%20SCE%20-%20SD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bar"/>
        <c:grouping val="clustered"/>
        <c:ser>
          <c:idx val="0"/>
          <c:order val="0"/>
          <c:tx>
            <c:strRef>
              <c:f>'Event Impact by Industry'!$I$13</c:f>
              <c:strCache>
                <c:ptCount val="1"/>
                <c:pt idx="0">
                  <c:v>Percent of Load</c:v>
                </c:pt>
              </c:strCache>
            </c:strRef>
          </c:tx>
          <c:cat>
            <c:strRef>
              <c:f>'Event Impact by Industry'!$F$14:$F$21</c:f>
              <c:strCache>
                <c:ptCount val="8"/>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pt idx="7">
                  <c:v>Other or Unknown</c:v>
                </c:pt>
              </c:strCache>
            </c:strRef>
          </c:cat>
          <c:val>
            <c:numRef>
              <c:f>'Event Impact by Industry'!$I$14:$I$21</c:f>
              <c:numCache>
                <c:formatCode>0%</c:formatCode>
                <c:ptCount val="8"/>
                <c:pt idx="0">
                  <c:v>4.2425688241228922E-2</c:v>
                </c:pt>
                <c:pt idx="1">
                  <c:v>0.2355314311993289</c:v>
                </c:pt>
                <c:pt idx="2">
                  <c:v>0.10166236552756992</c:v>
                </c:pt>
                <c:pt idx="3">
                  <c:v>7.1431616324521524E-2</c:v>
                </c:pt>
                <c:pt idx="4">
                  <c:v>0.34381205171676038</c:v>
                </c:pt>
                <c:pt idx="5">
                  <c:v>0.11409554454237743</c:v>
                </c:pt>
                <c:pt idx="6">
                  <c:v>8.0934519633019744E-2</c:v>
                </c:pt>
                <c:pt idx="7">
                  <c:v>8.9487176697652746E-3</c:v>
                </c:pt>
              </c:numCache>
            </c:numRef>
          </c:val>
        </c:ser>
        <c:ser>
          <c:idx val="1"/>
          <c:order val="1"/>
          <c:tx>
            <c:strRef>
              <c:f>'Event Impact by Industry'!$J$13</c:f>
              <c:strCache>
                <c:ptCount val="1"/>
                <c:pt idx="0">
                  <c:v>Percent of Impacts</c:v>
                </c:pt>
              </c:strCache>
            </c:strRef>
          </c:tx>
          <c:cat>
            <c:strRef>
              <c:f>'Event Impact by Industry'!$F$14:$F$21</c:f>
              <c:strCache>
                <c:ptCount val="8"/>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pt idx="7">
                  <c:v>Other or Unknown</c:v>
                </c:pt>
              </c:strCache>
            </c:strRef>
          </c:cat>
          <c:val>
            <c:numRef>
              <c:f>'Event Impact by Industry'!$J$14:$J$21</c:f>
              <c:numCache>
                <c:formatCode>0%</c:formatCode>
                <c:ptCount val="8"/>
                <c:pt idx="0">
                  <c:v>0.12067202563385609</c:v>
                </c:pt>
                <c:pt idx="1">
                  <c:v>0.43666293079344692</c:v>
                </c:pt>
                <c:pt idx="2">
                  <c:v>0.29984406790023493</c:v>
                </c:pt>
                <c:pt idx="3">
                  <c:v>5.5187833268451482E-2</c:v>
                </c:pt>
                <c:pt idx="4">
                  <c:v>2.6210725905999602E-2</c:v>
                </c:pt>
                <c:pt idx="5">
                  <c:v>0</c:v>
                </c:pt>
                <c:pt idx="6">
                  <c:v>4.9762514620882763E-2</c:v>
                </c:pt>
                <c:pt idx="7">
                  <c:v>1.3477104215758984E-2</c:v>
                </c:pt>
              </c:numCache>
            </c:numRef>
          </c:val>
        </c:ser>
        <c:ser>
          <c:idx val="2"/>
          <c:order val="2"/>
          <c:tx>
            <c:strRef>
              <c:f>'Event Impact by Industry'!$K$13</c:f>
              <c:strCache>
                <c:ptCount val="1"/>
                <c:pt idx="0">
                  <c:v>Percent of Customers</c:v>
                </c:pt>
              </c:strCache>
            </c:strRef>
          </c:tx>
          <c:cat>
            <c:strRef>
              <c:f>'Event Impact by Industry'!$F$14:$F$21</c:f>
              <c:strCache>
                <c:ptCount val="8"/>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pt idx="7">
                  <c:v>Other or Unknown</c:v>
                </c:pt>
              </c:strCache>
            </c:strRef>
          </c:cat>
          <c:val>
            <c:numRef>
              <c:f>'Event Impact by Industry'!$K$14:$K$21</c:f>
              <c:numCache>
                <c:formatCode>0%</c:formatCode>
                <c:ptCount val="8"/>
                <c:pt idx="0">
                  <c:v>6.8571428571428575E-2</c:v>
                </c:pt>
                <c:pt idx="1">
                  <c:v>0.20114285714285721</c:v>
                </c:pt>
                <c:pt idx="2">
                  <c:v>0.13771428571428773</c:v>
                </c:pt>
                <c:pt idx="3">
                  <c:v>6.9142857142857173E-2</c:v>
                </c:pt>
                <c:pt idx="4">
                  <c:v>0.26571428571428907</c:v>
                </c:pt>
                <c:pt idx="5">
                  <c:v>0.16400000000000056</c:v>
                </c:pt>
                <c:pt idx="6">
                  <c:v>7.9428571428572084E-2</c:v>
                </c:pt>
                <c:pt idx="7">
                  <c:v>1.4285714285714363E-2</c:v>
                </c:pt>
              </c:numCache>
            </c:numRef>
          </c:val>
        </c:ser>
        <c:gapWidth val="80"/>
        <c:axId val="168890752"/>
        <c:axId val="168892288"/>
      </c:barChart>
      <c:catAx>
        <c:axId val="168890752"/>
        <c:scaling>
          <c:orientation val="minMax"/>
        </c:scaling>
        <c:axPos val="l"/>
        <c:majorGridlines/>
        <c:tickLblPos val="nextTo"/>
        <c:crossAx val="168892288"/>
        <c:crosses val="autoZero"/>
        <c:auto val="1"/>
        <c:lblAlgn val="ctr"/>
        <c:lblOffset val="100"/>
      </c:catAx>
      <c:valAx>
        <c:axId val="168892288"/>
        <c:scaling>
          <c:orientation val="minMax"/>
        </c:scaling>
        <c:axPos val="b"/>
        <c:majorGridlines/>
        <c:title>
          <c:tx>
            <c:rich>
              <a:bodyPr/>
              <a:lstStyle/>
              <a:p>
                <a:pPr>
                  <a:defRPr/>
                </a:pPr>
                <a:r>
                  <a:rPr lang="en-US"/>
                  <a:t>Percent of Program Total</a:t>
                </a:r>
              </a:p>
            </c:rich>
          </c:tx>
        </c:title>
        <c:numFmt formatCode="0%" sourceLinked="1"/>
        <c:tickLblPos val="nextTo"/>
        <c:crossAx val="168890752"/>
        <c:crosses val="autoZero"/>
        <c:crossBetween val="between"/>
      </c:valAx>
    </c:plotArea>
    <c:legend>
      <c:legendPos val="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Sheet3!$D$2</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Sheet3!$D$3:$D$26</c:f>
              <c:numCache>
                <c:formatCode>General</c:formatCode>
                <c:ptCount val="24"/>
                <c:pt idx="0">
                  <c:v>133.57840000000004</c:v>
                </c:pt>
                <c:pt idx="1">
                  <c:v>128.96450000000002</c:v>
                </c:pt>
                <c:pt idx="2">
                  <c:v>129.33040000000099</c:v>
                </c:pt>
                <c:pt idx="3">
                  <c:v>138.12090000000001</c:v>
                </c:pt>
                <c:pt idx="4">
                  <c:v>161.18860000000001</c:v>
                </c:pt>
                <c:pt idx="5">
                  <c:v>186.53810000000001</c:v>
                </c:pt>
                <c:pt idx="6">
                  <c:v>207.9555</c:v>
                </c:pt>
                <c:pt idx="7">
                  <c:v>222.9776</c:v>
                </c:pt>
                <c:pt idx="8">
                  <c:v>233.0488</c:v>
                </c:pt>
                <c:pt idx="9">
                  <c:v>242.583</c:v>
                </c:pt>
                <c:pt idx="10">
                  <c:v>243.12730000000047</c:v>
                </c:pt>
                <c:pt idx="11">
                  <c:v>240.1388</c:v>
                </c:pt>
                <c:pt idx="12">
                  <c:v>243.0642</c:v>
                </c:pt>
                <c:pt idx="13">
                  <c:v>237.0352</c:v>
                </c:pt>
                <c:pt idx="14">
                  <c:v>225.7987</c:v>
                </c:pt>
                <c:pt idx="15">
                  <c:v>209.15740000000099</c:v>
                </c:pt>
                <c:pt idx="16">
                  <c:v>194.1515</c:v>
                </c:pt>
                <c:pt idx="17">
                  <c:v>182.5951</c:v>
                </c:pt>
                <c:pt idx="18">
                  <c:v>179.02130000000099</c:v>
                </c:pt>
                <c:pt idx="19">
                  <c:v>176.3707</c:v>
                </c:pt>
                <c:pt idx="20">
                  <c:v>167.55130000000099</c:v>
                </c:pt>
                <c:pt idx="21">
                  <c:v>154.30780000000001</c:v>
                </c:pt>
                <c:pt idx="22">
                  <c:v>147.3186</c:v>
                </c:pt>
                <c:pt idx="23">
                  <c:v>140.91899999999998</c:v>
                </c:pt>
              </c:numCache>
            </c:numRef>
          </c:val>
        </c:ser>
        <c:ser>
          <c:idx val="1"/>
          <c:order val="1"/>
          <c:tx>
            <c:strRef>
              <c:f>Sheet3!$E$2</c:f>
              <c:strCache>
                <c:ptCount val="1"/>
                <c:pt idx="0">
                  <c:v>Treatment</c:v>
                </c:pt>
              </c:strCache>
            </c:strRef>
          </c:tx>
          <c:spPr>
            <a:ln>
              <a:solidFill>
                <a:srgbClr val="003366"/>
              </a:solidFill>
              <a:prstDash val="dash"/>
            </a:ln>
          </c:spPr>
          <c:marker>
            <c:symbol val="none"/>
          </c:marker>
          <c:val>
            <c:numRef>
              <c:f>Sheet3!$E$3:$E$26</c:f>
              <c:numCache>
                <c:formatCode>General</c:formatCode>
                <c:ptCount val="24"/>
                <c:pt idx="0">
                  <c:v>132.87026</c:v>
                </c:pt>
                <c:pt idx="1">
                  <c:v>129.14050999999998</c:v>
                </c:pt>
                <c:pt idx="2">
                  <c:v>129.2818</c:v>
                </c:pt>
                <c:pt idx="3">
                  <c:v>138.68065999999999</c:v>
                </c:pt>
                <c:pt idx="4">
                  <c:v>162.17836</c:v>
                </c:pt>
                <c:pt idx="5">
                  <c:v>187.14495999999932</c:v>
                </c:pt>
                <c:pt idx="6">
                  <c:v>207.66569999999999</c:v>
                </c:pt>
                <c:pt idx="7">
                  <c:v>221.80529000000001</c:v>
                </c:pt>
                <c:pt idx="8">
                  <c:v>231.93683000000001</c:v>
                </c:pt>
                <c:pt idx="9">
                  <c:v>240.5187</c:v>
                </c:pt>
                <c:pt idx="10">
                  <c:v>241.60527999999999</c:v>
                </c:pt>
                <c:pt idx="11">
                  <c:v>237.5806</c:v>
                </c:pt>
                <c:pt idx="12">
                  <c:v>236.31923</c:v>
                </c:pt>
                <c:pt idx="13">
                  <c:v>221.47414000000001</c:v>
                </c:pt>
                <c:pt idx="14">
                  <c:v>211.08732000000114</c:v>
                </c:pt>
                <c:pt idx="15">
                  <c:v>197.0163</c:v>
                </c:pt>
                <c:pt idx="16">
                  <c:v>182.50878</c:v>
                </c:pt>
                <c:pt idx="17">
                  <c:v>177.29649000000001</c:v>
                </c:pt>
                <c:pt idx="18">
                  <c:v>177.10241000000067</c:v>
                </c:pt>
                <c:pt idx="19">
                  <c:v>175.28197</c:v>
                </c:pt>
                <c:pt idx="20">
                  <c:v>167.21096999999995</c:v>
                </c:pt>
                <c:pt idx="21">
                  <c:v>154.84689</c:v>
                </c:pt>
                <c:pt idx="22">
                  <c:v>148.30584000000007</c:v>
                </c:pt>
                <c:pt idx="23">
                  <c:v>142.21795999999998</c:v>
                </c:pt>
              </c:numCache>
            </c:numRef>
          </c:val>
        </c:ser>
        <c:marker val="1"/>
        <c:axId val="168903808"/>
        <c:axId val="168905728"/>
      </c:lineChart>
      <c:catAx>
        <c:axId val="168903808"/>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244"/>
              <c:y val="0.90871665432064896"/>
            </c:manualLayout>
          </c:layout>
        </c:title>
        <c:tickLblPos val="nextTo"/>
        <c:txPr>
          <a:bodyPr/>
          <a:lstStyle/>
          <a:p>
            <a:pPr>
              <a:defRPr>
                <a:latin typeface="Arial" pitchFamily="34" charset="0"/>
                <a:cs typeface="Arial" pitchFamily="34" charset="0"/>
              </a:defRPr>
            </a:pPr>
            <a:endParaRPr lang="en-US"/>
          </a:p>
        </c:txPr>
        <c:crossAx val="168905728"/>
        <c:crosses val="autoZero"/>
        <c:auto val="1"/>
        <c:lblAlgn val="ctr"/>
        <c:lblOffset val="100"/>
      </c:catAx>
      <c:valAx>
        <c:axId val="168905728"/>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89867"/>
            </c:manualLayout>
          </c:layout>
        </c:title>
        <c:numFmt formatCode="#,##0" sourceLinked="0"/>
        <c:tickLblPos val="nextTo"/>
        <c:txPr>
          <a:bodyPr/>
          <a:lstStyle/>
          <a:p>
            <a:pPr>
              <a:defRPr>
                <a:latin typeface="Arial" pitchFamily="34" charset="0"/>
                <a:cs typeface="Arial" pitchFamily="34" charset="0"/>
              </a:defRPr>
            </a:pPr>
            <a:endParaRPr lang="en-US"/>
          </a:p>
        </c:txPr>
        <c:crossAx val="168903808"/>
        <c:crosses val="autoZero"/>
        <c:crossBetween val="between"/>
      </c:valAx>
      <c:spPr>
        <a:ln>
          <a:solidFill>
            <a:schemeClr val="tx1"/>
          </a:solidFill>
        </a:ln>
      </c:spPr>
    </c:plotArea>
    <c:legend>
      <c:legendPos val="t"/>
      <c:layout>
        <c:manualLayout>
          <c:xMode val="edge"/>
          <c:yMode val="edge"/>
          <c:x val="0.13972272866293911"/>
          <c:y val="3.7166085946573758E-2"/>
          <c:w val="0.83778094886290011"/>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'\FSC\1571 Statewide 2011 CPP Evaluation\PG&amp;E\Output\[Test Specifications - PG&amp;E.xlsx]In-Sample Validation'!$L$37</c:f>
              <c:strCache>
                <c:ptCount val="1"/>
                <c:pt idx="0">
                  <c:v>Actual kW</c:v>
                </c:pt>
              </c:strCache>
            </c:strRef>
          </c:tx>
          <c:spPr>
            <a:ln>
              <a:solidFill>
                <a:srgbClr val="003366"/>
              </a:solidFill>
            </a:ln>
          </c:spPr>
          <c:marker>
            <c:symbol val="circle"/>
            <c:size val="5"/>
            <c:spPr>
              <a:solidFill>
                <a:schemeClr val="bg1"/>
              </a:solidFill>
              <a:ln w="12700">
                <a:solidFill>
                  <a:srgbClr val="003366"/>
                </a:solidFill>
              </a:ln>
            </c:spPr>
          </c:marker>
          <c:cat>
            <c:numRef>
              <c:f>'\FSC\1571 Statewide 2011 CPP Evaluation\PG&amp;E\Output\[Test Specifications - PG&amp;E.xlsx]In-Sample Validation'!$K$38:$K$65</c:f>
              <c:numCache>
                <c:formatCode>General</c:formatCode>
                <c:ptCount val="28"/>
                <c:pt idx="0">
                  <c:v>70</c:v>
                </c:pt>
                <c:pt idx="1">
                  <c:v>71</c:v>
                </c:pt>
                <c:pt idx="2">
                  <c:v>72</c:v>
                </c:pt>
                <c:pt idx="3">
                  <c:v>73</c:v>
                </c:pt>
                <c:pt idx="4">
                  <c:v>74</c:v>
                </c:pt>
                <c:pt idx="5">
                  <c:v>75</c:v>
                </c:pt>
                <c:pt idx="6">
                  <c:v>76</c:v>
                </c:pt>
                <c:pt idx="7">
                  <c:v>77</c:v>
                </c:pt>
                <c:pt idx="8">
                  <c:v>78</c:v>
                </c:pt>
                <c:pt idx="9">
                  <c:v>79</c:v>
                </c:pt>
                <c:pt idx="10">
                  <c:v>80</c:v>
                </c:pt>
                <c:pt idx="11">
                  <c:v>81</c:v>
                </c:pt>
                <c:pt idx="12">
                  <c:v>82</c:v>
                </c:pt>
                <c:pt idx="13">
                  <c:v>83</c:v>
                </c:pt>
                <c:pt idx="14">
                  <c:v>84</c:v>
                </c:pt>
                <c:pt idx="15">
                  <c:v>85</c:v>
                </c:pt>
                <c:pt idx="16">
                  <c:v>86</c:v>
                </c:pt>
                <c:pt idx="17">
                  <c:v>87</c:v>
                </c:pt>
                <c:pt idx="18">
                  <c:v>88</c:v>
                </c:pt>
                <c:pt idx="19">
                  <c:v>89</c:v>
                </c:pt>
                <c:pt idx="20">
                  <c:v>90</c:v>
                </c:pt>
                <c:pt idx="21">
                  <c:v>91</c:v>
                </c:pt>
                <c:pt idx="22">
                  <c:v>92</c:v>
                </c:pt>
                <c:pt idx="23">
                  <c:v>93</c:v>
                </c:pt>
                <c:pt idx="24">
                  <c:v>94</c:v>
                </c:pt>
                <c:pt idx="25">
                  <c:v>95</c:v>
                </c:pt>
                <c:pt idx="26">
                  <c:v>96</c:v>
                </c:pt>
                <c:pt idx="27">
                  <c:v>97</c:v>
                </c:pt>
              </c:numCache>
            </c:numRef>
          </c:cat>
          <c:val>
            <c:numRef>
              <c:f>'\FSC\1571 Statewide 2011 CPP Evaluation\PG&amp;E\Output\[Test Specifications - PG&amp;E.xlsx]In-Sample Validation'!$L$38:$L$65</c:f>
              <c:numCache>
                <c:formatCode>General</c:formatCode>
                <c:ptCount val="28"/>
                <c:pt idx="0">
                  <c:v>176.28200000000001</c:v>
                </c:pt>
                <c:pt idx="1">
                  <c:v>180.95760000000001</c:v>
                </c:pt>
                <c:pt idx="2">
                  <c:v>181.93600000000001</c:v>
                </c:pt>
                <c:pt idx="3">
                  <c:v>183.9066</c:v>
                </c:pt>
                <c:pt idx="4">
                  <c:v>187.1019</c:v>
                </c:pt>
                <c:pt idx="5">
                  <c:v>192.05349999999999</c:v>
                </c:pt>
                <c:pt idx="6">
                  <c:v>195.56200000000001</c:v>
                </c:pt>
                <c:pt idx="7">
                  <c:v>197.37949999999998</c:v>
                </c:pt>
                <c:pt idx="8">
                  <c:v>198.28150000000002</c:v>
                </c:pt>
                <c:pt idx="9">
                  <c:v>204.95780000000047</c:v>
                </c:pt>
                <c:pt idx="10">
                  <c:v>203.99030000000027</c:v>
                </c:pt>
                <c:pt idx="11">
                  <c:v>203.58880000000067</c:v>
                </c:pt>
                <c:pt idx="12">
                  <c:v>200.6831</c:v>
                </c:pt>
                <c:pt idx="13">
                  <c:v>206.26549999999997</c:v>
                </c:pt>
                <c:pt idx="14">
                  <c:v>211.9649</c:v>
                </c:pt>
                <c:pt idx="15">
                  <c:v>216.49690000000001</c:v>
                </c:pt>
                <c:pt idx="16">
                  <c:v>226.02500000000001</c:v>
                </c:pt>
                <c:pt idx="17">
                  <c:v>220.04220000000001</c:v>
                </c:pt>
                <c:pt idx="18">
                  <c:v>224.92840000000285</c:v>
                </c:pt>
                <c:pt idx="19">
                  <c:v>234.24479999999932</c:v>
                </c:pt>
                <c:pt idx="20">
                  <c:v>236.42680000000001</c:v>
                </c:pt>
                <c:pt idx="21">
                  <c:v>239.88600000000127</c:v>
                </c:pt>
                <c:pt idx="22">
                  <c:v>259.07909999999993</c:v>
                </c:pt>
                <c:pt idx="23">
                  <c:v>247.16909999999999</c:v>
                </c:pt>
                <c:pt idx="24">
                  <c:v>260.04730000000001</c:v>
                </c:pt>
                <c:pt idx="25">
                  <c:v>245.14759999999998</c:v>
                </c:pt>
                <c:pt idx="26">
                  <c:v>265.29089999999923</c:v>
                </c:pt>
                <c:pt idx="27">
                  <c:v>216.51519999999999</c:v>
                </c:pt>
              </c:numCache>
            </c:numRef>
          </c:val>
        </c:ser>
        <c:ser>
          <c:idx val="1"/>
          <c:order val="1"/>
          <c:tx>
            <c:strRef>
              <c:f>'\FSC\1571 Statewide 2011 CPP Evaluation\PG&amp;E\Output\[Test Specifications - PG&amp;E.xlsx]In-Sample Validation'!$M$37</c:f>
              <c:strCache>
                <c:ptCount val="1"/>
                <c:pt idx="0">
                  <c:v>Predicted kW</c:v>
                </c:pt>
              </c:strCache>
            </c:strRef>
          </c:tx>
          <c:spPr>
            <a:ln>
              <a:solidFill>
                <a:srgbClr val="003366"/>
              </a:solidFill>
              <a:prstDash val="dash"/>
            </a:ln>
          </c:spPr>
          <c:marker>
            <c:symbol val="none"/>
          </c:marker>
          <c:cat>
            <c:numRef>
              <c:f>'\FSC\1571 Statewide 2011 CPP Evaluation\PG&amp;E\Output\[Test Specifications - PG&amp;E.xlsx]In-Sample Validation'!$K$38:$K$65</c:f>
              <c:numCache>
                <c:formatCode>General</c:formatCode>
                <c:ptCount val="28"/>
                <c:pt idx="0">
                  <c:v>70</c:v>
                </c:pt>
                <c:pt idx="1">
                  <c:v>71</c:v>
                </c:pt>
                <c:pt idx="2">
                  <c:v>72</c:v>
                </c:pt>
                <c:pt idx="3">
                  <c:v>73</c:v>
                </c:pt>
                <c:pt idx="4">
                  <c:v>74</c:v>
                </c:pt>
                <c:pt idx="5">
                  <c:v>75</c:v>
                </c:pt>
                <c:pt idx="6">
                  <c:v>76</c:v>
                </c:pt>
                <c:pt idx="7">
                  <c:v>77</c:v>
                </c:pt>
                <c:pt idx="8">
                  <c:v>78</c:v>
                </c:pt>
                <c:pt idx="9">
                  <c:v>79</c:v>
                </c:pt>
                <c:pt idx="10">
                  <c:v>80</c:v>
                </c:pt>
                <c:pt idx="11">
                  <c:v>81</c:v>
                </c:pt>
                <c:pt idx="12">
                  <c:v>82</c:v>
                </c:pt>
                <c:pt idx="13">
                  <c:v>83</c:v>
                </c:pt>
                <c:pt idx="14">
                  <c:v>84</c:v>
                </c:pt>
                <c:pt idx="15">
                  <c:v>85</c:v>
                </c:pt>
                <c:pt idx="16">
                  <c:v>86</c:v>
                </c:pt>
                <c:pt idx="17">
                  <c:v>87</c:v>
                </c:pt>
                <c:pt idx="18">
                  <c:v>88</c:v>
                </c:pt>
                <c:pt idx="19">
                  <c:v>89</c:v>
                </c:pt>
                <c:pt idx="20">
                  <c:v>90</c:v>
                </c:pt>
                <c:pt idx="21">
                  <c:v>91</c:v>
                </c:pt>
                <c:pt idx="22">
                  <c:v>92</c:v>
                </c:pt>
                <c:pt idx="23">
                  <c:v>93</c:v>
                </c:pt>
                <c:pt idx="24">
                  <c:v>94</c:v>
                </c:pt>
                <c:pt idx="25">
                  <c:v>95</c:v>
                </c:pt>
                <c:pt idx="26">
                  <c:v>96</c:v>
                </c:pt>
                <c:pt idx="27">
                  <c:v>97</c:v>
                </c:pt>
              </c:numCache>
            </c:numRef>
          </c:cat>
          <c:val>
            <c:numRef>
              <c:f>'\FSC\1571 Statewide 2011 CPP Evaluation\PG&amp;E\Output\[Test Specifications - PG&amp;E.xlsx]In-Sample Validation'!$M$38:$M$65</c:f>
              <c:numCache>
                <c:formatCode>General</c:formatCode>
                <c:ptCount val="28"/>
                <c:pt idx="0">
                  <c:v>175.92740000000262</c:v>
                </c:pt>
                <c:pt idx="1">
                  <c:v>180.03530000000001</c:v>
                </c:pt>
                <c:pt idx="2">
                  <c:v>181.2801</c:v>
                </c:pt>
                <c:pt idx="3">
                  <c:v>182.27599999999998</c:v>
                </c:pt>
                <c:pt idx="4">
                  <c:v>185.84399999999999</c:v>
                </c:pt>
                <c:pt idx="5">
                  <c:v>190.27689999999998</c:v>
                </c:pt>
                <c:pt idx="6">
                  <c:v>194.48250000000004</c:v>
                </c:pt>
                <c:pt idx="7">
                  <c:v>197.02540000000027</c:v>
                </c:pt>
                <c:pt idx="8">
                  <c:v>197.523</c:v>
                </c:pt>
                <c:pt idx="9">
                  <c:v>203.59710000000001</c:v>
                </c:pt>
                <c:pt idx="10">
                  <c:v>201.36880000000087</c:v>
                </c:pt>
                <c:pt idx="11">
                  <c:v>202.01240000000001</c:v>
                </c:pt>
                <c:pt idx="12">
                  <c:v>199.91720000000001</c:v>
                </c:pt>
                <c:pt idx="13">
                  <c:v>205.55240000000262</c:v>
                </c:pt>
                <c:pt idx="14">
                  <c:v>210.053</c:v>
                </c:pt>
                <c:pt idx="15">
                  <c:v>214.24109999999999</c:v>
                </c:pt>
                <c:pt idx="16">
                  <c:v>223.16559999999998</c:v>
                </c:pt>
                <c:pt idx="17">
                  <c:v>217.72579999999999</c:v>
                </c:pt>
                <c:pt idx="18">
                  <c:v>224.16750000000002</c:v>
                </c:pt>
                <c:pt idx="19">
                  <c:v>231.04429999999999</c:v>
                </c:pt>
                <c:pt idx="20">
                  <c:v>229.66800000000001</c:v>
                </c:pt>
                <c:pt idx="21">
                  <c:v>234.5172</c:v>
                </c:pt>
                <c:pt idx="22">
                  <c:v>248.47989999999999</c:v>
                </c:pt>
                <c:pt idx="23">
                  <c:v>235.38120000000268</c:v>
                </c:pt>
                <c:pt idx="24">
                  <c:v>253.86920000000001</c:v>
                </c:pt>
                <c:pt idx="25">
                  <c:v>242.6902</c:v>
                </c:pt>
                <c:pt idx="26">
                  <c:v>257.60750000000002</c:v>
                </c:pt>
                <c:pt idx="27">
                  <c:v>216.63150000000002</c:v>
                </c:pt>
              </c:numCache>
            </c:numRef>
          </c:val>
        </c:ser>
        <c:marker val="1"/>
        <c:axId val="168917632"/>
        <c:axId val="168948480"/>
      </c:lineChart>
      <c:catAx>
        <c:axId val="168917632"/>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Temperature</a:t>
                </a:r>
              </a:p>
            </c:rich>
          </c:tx>
          <c:layout>
            <c:manualLayout>
              <c:xMode val="edge"/>
              <c:yMode val="edge"/>
              <c:x val="0.4814561635546456"/>
              <c:y val="0.90871665432064896"/>
            </c:manualLayout>
          </c:layout>
        </c:title>
        <c:numFmt formatCode="General" sourceLinked="1"/>
        <c:tickLblPos val="nextTo"/>
        <c:txPr>
          <a:bodyPr/>
          <a:lstStyle/>
          <a:p>
            <a:pPr>
              <a:defRPr>
                <a:latin typeface="Arial" pitchFamily="34" charset="0"/>
                <a:cs typeface="Arial" pitchFamily="34" charset="0"/>
              </a:defRPr>
            </a:pPr>
            <a:endParaRPr lang="en-US"/>
          </a:p>
        </c:txPr>
        <c:crossAx val="168948480"/>
        <c:crosses val="autoZero"/>
        <c:auto val="1"/>
        <c:lblAlgn val="ctr"/>
        <c:lblOffset val="100"/>
        <c:tickLblSkip val="5"/>
        <c:tickMarkSkip val="1"/>
      </c:catAx>
      <c:valAx>
        <c:axId val="168948480"/>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223"/>
            </c:manualLayout>
          </c:layout>
        </c:title>
        <c:numFmt formatCode="#,##0" sourceLinked="0"/>
        <c:tickLblPos val="nextTo"/>
        <c:txPr>
          <a:bodyPr/>
          <a:lstStyle/>
          <a:p>
            <a:pPr>
              <a:defRPr>
                <a:latin typeface="Arial" pitchFamily="34" charset="0"/>
                <a:cs typeface="Arial" pitchFamily="34" charset="0"/>
              </a:defRPr>
            </a:pPr>
            <a:endParaRPr lang="en-US"/>
          </a:p>
        </c:txPr>
        <c:crossAx val="168917632"/>
        <c:crosses val="autoZero"/>
        <c:crossBetween val="between"/>
      </c:valAx>
      <c:spPr>
        <a:ln>
          <a:solidFill>
            <a:schemeClr val="tx1"/>
          </a:solidFill>
        </a:ln>
      </c:spPr>
    </c:plotArea>
    <c:legend>
      <c:legendPos val="t"/>
      <c:layout>
        <c:manualLayout>
          <c:xMode val="edge"/>
          <c:yMode val="edge"/>
          <c:x val="0.13528387081666321"/>
          <c:y val="2.7886043058648852E-2"/>
          <c:w val="0.46567839464949601"/>
          <c:h val="7.9172366121272708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'Out-of-Sample Tests'!$B$41</c:f>
              <c:strCache>
                <c:ptCount val="1"/>
                <c:pt idx="0">
                  <c:v>Actual kW</c:v>
                </c:pt>
              </c:strCache>
            </c:strRef>
          </c:tx>
          <c:spPr>
            <a:ln>
              <a:solidFill>
                <a:srgbClr val="003366"/>
              </a:solidFill>
            </a:ln>
          </c:spPr>
          <c:marker>
            <c:symbol val="circle"/>
            <c:size val="5"/>
            <c:spPr>
              <a:solidFill>
                <a:schemeClr val="bg1"/>
              </a:solidFill>
              <a:ln w="12700">
                <a:solidFill>
                  <a:srgbClr val="003366"/>
                </a:solidFill>
              </a:ln>
            </c:spPr>
          </c:marker>
          <c:val>
            <c:numRef>
              <c:f>'Out-of-Sample Tests'!$B$42:$B$65</c:f>
              <c:numCache>
                <c:formatCode>0.00</c:formatCode>
                <c:ptCount val="24"/>
                <c:pt idx="0">
                  <c:v>165.6926</c:v>
                </c:pt>
                <c:pt idx="1">
                  <c:v>159.86770000000001</c:v>
                </c:pt>
                <c:pt idx="2">
                  <c:v>156.1258</c:v>
                </c:pt>
                <c:pt idx="3">
                  <c:v>155.6053</c:v>
                </c:pt>
                <c:pt idx="4">
                  <c:v>163.14339999999999</c:v>
                </c:pt>
                <c:pt idx="5">
                  <c:v>179.899</c:v>
                </c:pt>
                <c:pt idx="6">
                  <c:v>200.53559999999999</c:v>
                </c:pt>
                <c:pt idx="7">
                  <c:v>221.68550000000002</c:v>
                </c:pt>
                <c:pt idx="8">
                  <c:v>241.0231</c:v>
                </c:pt>
                <c:pt idx="9">
                  <c:v>256.38260000000002</c:v>
                </c:pt>
                <c:pt idx="10">
                  <c:v>270.01669999999899</c:v>
                </c:pt>
                <c:pt idx="11">
                  <c:v>275.13049999999993</c:v>
                </c:pt>
                <c:pt idx="12">
                  <c:v>276.81049999999999</c:v>
                </c:pt>
                <c:pt idx="13">
                  <c:v>278.68029999999999</c:v>
                </c:pt>
                <c:pt idx="14">
                  <c:v>276.28909999999894</c:v>
                </c:pt>
                <c:pt idx="15">
                  <c:v>268.57849999999894</c:v>
                </c:pt>
                <c:pt idx="16">
                  <c:v>259.09379999999823</c:v>
                </c:pt>
                <c:pt idx="17">
                  <c:v>245.0762</c:v>
                </c:pt>
                <c:pt idx="18">
                  <c:v>228.0385</c:v>
                </c:pt>
                <c:pt idx="19">
                  <c:v>218.95840000000291</c:v>
                </c:pt>
                <c:pt idx="20">
                  <c:v>210.93090000000001</c:v>
                </c:pt>
                <c:pt idx="21">
                  <c:v>198.21459999999658</c:v>
                </c:pt>
                <c:pt idx="22">
                  <c:v>188.16649999999998</c:v>
                </c:pt>
                <c:pt idx="23">
                  <c:v>181.38420000000067</c:v>
                </c:pt>
              </c:numCache>
            </c:numRef>
          </c:val>
        </c:ser>
        <c:ser>
          <c:idx val="1"/>
          <c:order val="1"/>
          <c:tx>
            <c:strRef>
              <c:f>'Out-of-Sample Tests'!$C$41</c:f>
              <c:strCache>
                <c:ptCount val="1"/>
                <c:pt idx="0">
                  <c:v>Predicted kW</c:v>
                </c:pt>
              </c:strCache>
            </c:strRef>
          </c:tx>
          <c:spPr>
            <a:ln>
              <a:solidFill>
                <a:srgbClr val="003366"/>
              </a:solidFill>
              <a:prstDash val="dash"/>
            </a:ln>
          </c:spPr>
          <c:marker>
            <c:symbol val="none"/>
          </c:marker>
          <c:val>
            <c:numRef>
              <c:f>'Out-of-Sample Tests'!$C$42:$C$65</c:f>
              <c:numCache>
                <c:formatCode>0.00</c:formatCode>
                <c:ptCount val="24"/>
                <c:pt idx="0">
                  <c:v>166.5642</c:v>
                </c:pt>
                <c:pt idx="1">
                  <c:v>159.94280000000001</c:v>
                </c:pt>
                <c:pt idx="2">
                  <c:v>156.13979999999998</c:v>
                </c:pt>
                <c:pt idx="3">
                  <c:v>155.65969999999999</c:v>
                </c:pt>
                <c:pt idx="4">
                  <c:v>162.14389999999995</c:v>
                </c:pt>
                <c:pt idx="5">
                  <c:v>179.71659999999972</c:v>
                </c:pt>
                <c:pt idx="6">
                  <c:v>199.37290000000004</c:v>
                </c:pt>
                <c:pt idx="7">
                  <c:v>219.84210000000004</c:v>
                </c:pt>
                <c:pt idx="8">
                  <c:v>238.53730000000004</c:v>
                </c:pt>
                <c:pt idx="9">
                  <c:v>255.0461</c:v>
                </c:pt>
                <c:pt idx="10">
                  <c:v>269.0976</c:v>
                </c:pt>
                <c:pt idx="11">
                  <c:v>275.92039999999338</c:v>
                </c:pt>
                <c:pt idx="12">
                  <c:v>277.6841</c:v>
                </c:pt>
                <c:pt idx="13">
                  <c:v>278.28399999999863</c:v>
                </c:pt>
                <c:pt idx="14">
                  <c:v>276.2998</c:v>
                </c:pt>
                <c:pt idx="15">
                  <c:v>269.02780000000001</c:v>
                </c:pt>
                <c:pt idx="16">
                  <c:v>259.82589999999999</c:v>
                </c:pt>
                <c:pt idx="17">
                  <c:v>245.35530000000207</c:v>
                </c:pt>
                <c:pt idx="18">
                  <c:v>227.8655</c:v>
                </c:pt>
                <c:pt idx="19">
                  <c:v>218.02190000000004</c:v>
                </c:pt>
                <c:pt idx="20">
                  <c:v>210.76519999999999</c:v>
                </c:pt>
                <c:pt idx="21">
                  <c:v>197.68290000000007</c:v>
                </c:pt>
                <c:pt idx="22">
                  <c:v>188.0675</c:v>
                </c:pt>
                <c:pt idx="23">
                  <c:v>179.38680000000087</c:v>
                </c:pt>
              </c:numCache>
            </c:numRef>
          </c:val>
        </c:ser>
        <c:marker val="1"/>
        <c:axId val="168961920"/>
        <c:axId val="168968192"/>
      </c:lineChart>
      <c:catAx>
        <c:axId val="168961920"/>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838"/>
              <c:y val="0.90871665432064896"/>
            </c:manualLayout>
          </c:layout>
        </c:title>
        <c:tickLblPos val="nextTo"/>
        <c:txPr>
          <a:bodyPr/>
          <a:lstStyle/>
          <a:p>
            <a:pPr>
              <a:defRPr>
                <a:latin typeface="Arial" pitchFamily="34" charset="0"/>
                <a:cs typeface="Arial" pitchFamily="34" charset="0"/>
              </a:defRPr>
            </a:pPr>
            <a:endParaRPr lang="en-US"/>
          </a:p>
        </c:txPr>
        <c:crossAx val="168968192"/>
        <c:crosses val="autoZero"/>
        <c:auto val="1"/>
        <c:lblAlgn val="ctr"/>
        <c:lblOffset val="100"/>
      </c:catAx>
      <c:valAx>
        <c:axId val="168968192"/>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51"/>
            </c:manualLayout>
          </c:layout>
        </c:title>
        <c:numFmt formatCode="#,##0" sourceLinked="0"/>
        <c:tickLblPos val="nextTo"/>
        <c:txPr>
          <a:bodyPr/>
          <a:lstStyle/>
          <a:p>
            <a:pPr>
              <a:defRPr>
                <a:latin typeface="Arial" pitchFamily="34" charset="0"/>
                <a:cs typeface="Arial" pitchFamily="34" charset="0"/>
              </a:defRPr>
            </a:pPr>
            <a:endParaRPr lang="en-US"/>
          </a:p>
        </c:txPr>
        <c:crossAx val="168961920"/>
        <c:crosses val="autoZero"/>
        <c:crossBetween val="between"/>
      </c:valAx>
      <c:spPr>
        <a:ln>
          <a:solidFill>
            <a:schemeClr val="tx1"/>
          </a:solidFill>
        </a:ln>
      </c:spPr>
    </c:plotArea>
    <c:legend>
      <c:legendPos val="t"/>
      <c:layout>
        <c:manualLayout>
          <c:xMode val="edge"/>
          <c:yMode val="edge"/>
          <c:x val="0.13972272866293911"/>
          <c:y val="3.7166085946573751E-2"/>
          <c:w val="0.83778094886289989"/>
          <c:h val="7.9271676406302879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Sheet3!$D$2</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Sheet3!$D$3:$D$26</c:f>
              <c:numCache>
                <c:formatCode>General</c:formatCode>
                <c:ptCount val="24"/>
                <c:pt idx="0">
                  <c:v>156.90100000000001</c:v>
                </c:pt>
                <c:pt idx="1">
                  <c:v>151.07489999999999</c:v>
                </c:pt>
                <c:pt idx="2">
                  <c:v>146.00530000000001</c:v>
                </c:pt>
                <c:pt idx="3">
                  <c:v>145.86670000000001</c:v>
                </c:pt>
                <c:pt idx="4">
                  <c:v>153.7003</c:v>
                </c:pt>
                <c:pt idx="5">
                  <c:v>169.24669999999998</c:v>
                </c:pt>
                <c:pt idx="6">
                  <c:v>186.63059999999999</c:v>
                </c:pt>
                <c:pt idx="7">
                  <c:v>205.38910000000001</c:v>
                </c:pt>
                <c:pt idx="8">
                  <c:v>219.91579999999999</c:v>
                </c:pt>
                <c:pt idx="9">
                  <c:v>233.3047</c:v>
                </c:pt>
                <c:pt idx="10">
                  <c:v>244.85510000000087</c:v>
                </c:pt>
                <c:pt idx="11">
                  <c:v>252.52080000000001</c:v>
                </c:pt>
                <c:pt idx="12">
                  <c:v>253.23179999999999</c:v>
                </c:pt>
                <c:pt idx="13">
                  <c:v>251.9109</c:v>
                </c:pt>
                <c:pt idx="14">
                  <c:v>249.84710000000001</c:v>
                </c:pt>
                <c:pt idx="15">
                  <c:v>246.221</c:v>
                </c:pt>
                <c:pt idx="16">
                  <c:v>240.19489999999999</c:v>
                </c:pt>
                <c:pt idx="17">
                  <c:v>227.05410000000001</c:v>
                </c:pt>
                <c:pt idx="18">
                  <c:v>210.67679999999999</c:v>
                </c:pt>
                <c:pt idx="19">
                  <c:v>201.4333</c:v>
                </c:pt>
                <c:pt idx="20">
                  <c:v>193.8169</c:v>
                </c:pt>
                <c:pt idx="21">
                  <c:v>182.84140000000087</c:v>
                </c:pt>
                <c:pt idx="22">
                  <c:v>175.28469999999999</c:v>
                </c:pt>
                <c:pt idx="23">
                  <c:v>167.28700000000001</c:v>
                </c:pt>
              </c:numCache>
            </c:numRef>
          </c:val>
        </c:ser>
        <c:ser>
          <c:idx val="1"/>
          <c:order val="1"/>
          <c:tx>
            <c:strRef>
              <c:f>Sheet3!$E$2</c:f>
              <c:strCache>
                <c:ptCount val="1"/>
                <c:pt idx="0">
                  <c:v>Treatment</c:v>
                </c:pt>
              </c:strCache>
            </c:strRef>
          </c:tx>
          <c:spPr>
            <a:ln>
              <a:solidFill>
                <a:srgbClr val="003366"/>
              </a:solidFill>
              <a:prstDash val="dash"/>
            </a:ln>
          </c:spPr>
          <c:marker>
            <c:symbol val="none"/>
          </c:marker>
          <c:val>
            <c:numRef>
              <c:f>Sheet3!$E$3:$E$26</c:f>
              <c:numCache>
                <c:formatCode>General</c:formatCode>
                <c:ptCount val="24"/>
                <c:pt idx="0">
                  <c:v>154.87520000000001</c:v>
                </c:pt>
                <c:pt idx="1">
                  <c:v>149.80250000000001</c:v>
                </c:pt>
                <c:pt idx="2">
                  <c:v>145.64399999999998</c:v>
                </c:pt>
                <c:pt idx="3">
                  <c:v>145.99210000000087</c:v>
                </c:pt>
                <c:pt idx="4">
                  <c:v>153.2542</c:v>
                </c:pt>
                <c:pt idx="5">
                  <c:v>168.49520000000001</c:v>
                </c:pt>
                <c:pt idx="6">
                  <c:v>186.22220000000004</c:v>
                </c:pt>
                <c:pt idx="7">
                  <c:v>204.36850000000001</c:v>
                </c:pt>
                <c:pt idx="8">
                  <c:v>219.90280000000001</c:v>
                </c:pt>
                <c:pt idx="9">
                  <c:v>233.85610000000167</c:v>
                </c:pt>
                <c:pt idx="10">
                  <c:v>246.43140000000147</c:v>
                </c:pt>
                <c:pt idx="11">
                  <c:v>251.28290000000001</c:v>
                </c:pt>
                <c:pt idx="12">
                  <c:v>252.6686</c:v>
                </c:pt>
                <c:pt idx="13">
                  <c:v>252.97449999999998</c:v>
                </c:pt>
                <c:pt idx="14">
                  <c:v>250.9298</c:v>
                </c:pt>
                <c:pt idx="15">
                  <c:v>246.72899999999998</c:v>
                </c:pt>
                <c:pt idx="16">
                  <c:v>239.8245</c:v>
                </c:pt>
                <c:pt idx="17">
                  <c:v>226.82500000000007</c:v>
                </c:pt>
                <c:pt idx="18">
                  <c:v>210.89500000000001</c:v>
                </c:pt>
                <c:pt idx="19">
                  <c:v>200.45270000000087</c:v>
                </c:pt>
                <c:pt idx="20">
                  <c:v>194.37190000000001</c:v>
                </c:pt>
                <c:pt idx="21">
                  <c:v>183.66949999999997</c:v>
                </c:pt>
                <c:pt idx="22">
                  <c:v>175.03309999999999</c:v>
                </c:pt>
                <c:pt idx="23">
                  <c:v>166.52369999999999</c:v>
                </c:pt>
              </c:numCache>
            </c:numRef>
          </c:val>
        </c:ser>
        <c:marker val="1"/>
        <c:axId val="169013632"/>
        <c:axId val="169015552"/>
      </c:lineChart>
      <c:catAx>
        <c:axId val="169013632"/>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888"/>
              <c:y val="0.90871665432064896"/>
            </c:manualLayout>
          </c:layout>
        </c:title>
        <c:tickLblPos val="nextTo"/>
        <c:txPr>
          <a:bodyPr/>
          <a:lstStyle/>
          <a:p>
            <a:pPr>
              <a:defRPr>
                <a:latin typeface="Arial" pitchFamily="34" charset="0"/>
                <a:cs typeface="Arial" pitchFamily="34" charset="0"/>
              </a:defRPr>
            </a:pPr>
            <a:endParaRPr lang="en-US"/>
          </a:p>
        </c:txPr>
        <c:crossAx val="169015552"/>
        <c:crosses val="autoZero"/>
        <c:auto val="1"/>
        <c:lblAlgn val="ctr"/>
        <c:lblOffset val="100"/>
      </c:catAx>
      <c:valAx>
        <c:axId val="169015552"/>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67"/>
            </c:manualLayout>
          </c:layout>
        </c:title>
        <c:numFmt formatCode="#,##0" sourceLinked="0"/>
        <c:tickLblPos val="nextTo"/>
        <c:txPr>
          <a:bodyPr/>
          <a:lstStyle/>
          <a:p>
            <a:pPr>
              <a:defRPr>
                <a:latin typeface="Arial" pitchFamily="34" charset="0"/>
                <a:cs typeface="Arial" pitchFamily="34" charset="0"/>
              </a:defRPr>
            </a:pPr>
            <a:endParaRPr lang="en-US"/>
          </a:p>
        </c:txPr>
        <c:crossAx val="169013632"/>
        <c:crosses val="autoZero"/>
        <c:crossBetween val="between"/>
      </c:valAx>
      <c:spPr>
        <a:ln>
          <a:solidFill>
            <a:schemeClr val="tx1"/>
          </a:solidFill>
        </a:ln>
      </c:spPr>
    </c:plotArea>
    <c:legend>
      <c:legendPos val="t"/>
      <c:layout>
        <c:manualLayout>
          <c:xMode val="edge"/>
          <c:yMode val="edge"/>
          <c:x val="0.13972272866293911"/>
          <c:y val="3.7166085946573758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Sheet2!$E$2</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Sheet2!$E$3:$E$26</c:f>
              <c:numCache>
                <c:formatCode>General</c:formatCode>
                <c:ptCount val="24"/>
                <c:pt idx="0">
                  <c:v>164.13740000000001</c:v>
                </c:pt>
                <c:pt idx="1">
                  <c:v>157.33170000000001</c:v>
                </c:pt>
                <c:pt idx="2">
                  <c:v>152.7319</c:v>
                </c:pt>
                <c:pt idx="3">
                  <c:v>150.2852</c:v>
                </c:pt>
                <c:pt idx="4">
                  <c:v>154.21089999999998</c:v>
                </c:pt>
                <c:pt idx="5">
                  <c:v>164.1772</c:v>
                </c:pt>
                <c:pt idx="6">
                  <c:v>169.42290000000187</c:v>
                </c:pt>
                <c:pt idx="7">
                  <c:v>179.28579999999999</c:v>
                </c:pt>
                <c:pt idx="8">
                  <c:v>197.22389999999999</c:v>
                </c:pt>
                <c:pt idx="9">
                  <c:v>209.2424</c:v>
                </c:pt>
                <c:pt idx="10">
                  <c:v>221.27909999999972</c:v>
                </c:pt>
                <c:pt idx="11">
                  <c:v>222.4967</c:v>
                </c:pt>
                <c:pt idx="12">
                  <c:v>215.67529999999999</c:v>
                </c:pt>
                <c:pt idx="13">
                  <c:v>211.74789999999999</c:v>
                </c:pt>
                <c:pt idx="14">
                  <c:v>208.27889999999999</c:v>
                </c:pt>
                <c:pt idx="15">
                  <c:v>211.42920000000001</c:v>
                </c:pt>
                <c:pt idx="16">
                  <c:v>210.73319999999998</c:v>
                </c:pt>
                <c:pt idx="17">
                  <c:v>201.99710000000007</c:v>
                </c:pt>
                <c:pt idx="18">
                  <c:v>197.0051</c:v>
                </c:pt>
                <c:pt idx="19">
                  <c:v>190.24209999999999</c:v>
                </c:pt>
                <c:pt idx="20">
                  <c:v>187.27799999999999</c:v>
                </c:pt>
                <c:pt idx="21">
                  <c:v>180.23449999999997</c:v>
                </c:pt>
                <c:pt idx="22">
                  <c:v>172.7371</c:v>
                </c:pt>
                <c:pt idx="23">
                  <c:v>166.01079999999999</c:v>
                </c:pt>
              </c:numCache>
            </c:numRef>
          </c:val>
        </c:ser>
        <c:ser>
          <c:idx val="1"/>
          <c:order val="1"/>
          <c:tx>
            <c:strRef>
              <c:f>Sheet2!$F$2</c:f>
              <c:strCache>
                <c:ptCount val="1"/>
                <c:pt idx="0">
                  <c:v>Treatment</c:v>
                </c:pt>
              </c:strCache>
            </c:strRef>
          </c:tx>
          <c:spPr>
            <a:ln>
              <a:solidFill>
                <a:srgbClr val="003366"/>
              </a:solidFill>
              <a:prstDash val="dash"/>
            </a:ln>
          </c:spPr>
          <c:marker>
            <c:symbol val="none"/>
          </c:marker>
          <c:val>
            <c:numRef>
              <c:f>Sheet2!$F$3:$F$26</c:f>
              <c:numCache>
                <c:formatCode>General</c:formatCode>
                <c:ptCount val="24"/>
                <c:pt idx="0">
                  <c:v>159.33780000000004</c:v>
                </c:pt>
                <c:pt idx="1">
                  <c:v>153.96800000000007</c:v>
                </c:pt>
                <c:pt idx="2">
                  <c:v>148.6026</c:v>
                </c:pt>
                <c:pt idx="3">
                  <c:v>146.9598</c:v>
                </c:pt>
                <c:pt idx="4">
                  <c:v>149.47050000000002</c:v>
                </c:pt>
                <c:pt idx="5">
                  <c:v>154.37860000000001</c:v>
                </c:pt>
                <c:pt idx="6">
                  <c:v>160.08670000000001</c:v>
                </c:pt>
                <c:pt idx="7">
                  <c:v>171.74539999999999</c:v>
                </c:pt>
                <c:pt idx="8">
                  <c:v>185.96640000000087</c:v>
                </c:pt>
                <c:pt idx="9">
                  <c:v>198.40700000000001</c:v>
                </c:pt>
                <c:pt idx="10">
                  <c:v>207.7183</c:v>
                </c:pt>
                <c:pt idx="11">
                  <c:v>206.07309999999998</c:v>
                </c:pt>
                <c:pt idx="12">
                  <c:v>206.7276</c:v>
                </c:pt>
                <c:pt idx="13">
                  <c:v>202.32430000000087</c:v>
                </c:pt>
                <c:pt idx="14">
                  <c:v>199.81949999999998</c:v>
                </c:pt>
                <c:pt idx="15">
                  <c:v>197.58720000000127</c:v>
                </c:pt>
                <c:pt idx="16">
                  <c:v>196.40610000000001</c:v>
                </c:pt>
                <c:pt idx="17">
                  <c:v>193.21159999999998</c:v>
                </c:pt>
                <c:pt idx="18">
                  <c:v>191.02070000000001</c:v>
                </c:pt>
                <c:pt idx="19">
                  <c:v>189.57969999999995</c:v>
                </c:pt>
                <c:pt idx="20">
                  <c:v>183.2354</c:v>
                </c:pt>
                <c:pt idx="21">
                  <c:v>175.37479999999999</c:v>
                </c:pt>
                <c:pt idx="22">
                  <c:v>168.68540000000004</c:v>
                </c:pt>
                <c:pt idx="23">
                  <c:v>162.52830000000247</c:v>
                </c:pt>
              </c:numCache>
            </c:numRef>
          </c:val>
        </c:ser>
        <c:marker val="1"/>
        <c:axId val="169114240"/>
        <c:axId val="169145088"/>
      </c:lineChart>
      <c:catAx>
        <c:axId val="169114240"/>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905"/>
              <c:y val="0.90871665432064896"/>
            </c:manualLayout>
          </c:layout>
        </c:title>
        <c:tickLblPos val="nextTo"/>
        <c:txPr>
          <a:bodyPr/>
          <a:lstStyle/>
          <a:p>
            <a:pPr>
              <a:defRPr>
                <a:latin typeface="Arial" pitchFamily="34" charset="0"/>
                <a:cs typeface="Arial" pitchFamily="34" charset="0"/>
              </a:defRPr>
            </a:pPr>
            <a:endParaRPr lang="en-US"/>
          </a:p>
        </c:txPr>
        <c:crossAx val="169145088"/>
        <c:crosses val="autoZero"/>
        <c:auto val="1"/>
        <c:lblAlgn val="ctr"/>
        <c:lblOffset val="100"/>
      </c:catAx>
      <c:valAx>
        <c:axId val="169145088"/>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76"/>
            </c:manualLayout>
          </c:layout>
        </c:title>
        <c:numFmt formatCode="#,##0" sourceLinked="0"/>
        <c:tickLblPos val="nextTo"/>
        <c:txPr>
          <a:bodyPr/>
          <a:lstStyle/>
          <a:p>
            <a:pPr>
              <a:defRPr>
                <a:latin typeface="Arial" pitchFamily="34" charset="0"/>
                <a:cs typeface="Arial" pitchFamily="34" charset="0"/>
              </a:defRPr>
            </a:pPr>
            <a:endParaRPr lang="en-US"/>
          </a:p>
        </c:txPr>
        <c:crossAx val="169114240"/>
        <c:crosses val="autoZero"/>
        <c:crossBetween val="between"/>
      </c:valAx>
      <c:spPr>
        <a:solidFill>
          <a:schemeClr val="bg1"/>
        </a:solidFill>
        <a:ln>
          <a:solidFill>
            <a:schemeClr val="tx1"/>
          </a:solidFill>
        </a:ln>
      </c:spPr>
    </c:plotArea>
    <c:legend>
      <c:legendPos val="t"/>
      <c:layout>
        <c:manualLayout>
          <c:xMode val="edge"/>
          <c:yMode val="edge"/>
          <c:x val="0.13972272866293911"/>
          <c:y val="3.7166085946573758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Sheet2!$E$28</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Sheet2!$E$29:$E$52</c:f>
              <c:numCache>
                <c:formatCode>General</c:formatCode>
                <c:ptCount val="24"/>
                <c:pt idx="0">
                  <c:v>163.5598</c:v>
                </c:pt>
                <c:pt idx="1">
                  <c:v>156.59890000000001</c:v>
                </c:pt>
                <c:pt idx="2">
                  <c:v>151.80110000000047</c:v>
                </c:pt>
                <c:pt idx="3">
                  <c:v>150.39730000000247</c:v>
                </c:pt>
                <c:pt idx="4">
                  <c:v>159.61759999999998</c:v>
                </c:pt>
                <c:pt idx="5">
                  <c:v>176.16389999999998</c:v>
                </c:pt>
                <c:pt idx="6">
                  <c:v>207.2088</c:v>
                </c:pt>
                <c:pt idx="7">
                  <c:v>235.12120000000004</c:v>
                </c:pt>
                <c:pt idx="8">
                  <c:v>261.50029999999964</c:v>
                </c:pt>
                <c:pt idx="9">
                  <c:v>286.19799999999969</c:v>
                </c:pt>
                <c:pt idx="10">
                  <c:v>302.60980000000438</c:v>
                </c:pt>
                <c:pt idx="11">
                  <c:v>307.19709999999969</c:v>
                </c:pt>
                <c:pt idx="12">
                  <c:v>305.37639999999863</c:v>
                </c:pt>
                <c:pt idx="13">
                  <c:v>304.06</c:v>
                </c:pt>
                <c:pt idx="14">
                  <c:v>295.29689999999869</c:v>
                </c:pt>
                <c:pt idx="15">
                  <c:v>282.17630000000003</c:v>
                </c:pt>
                <c:pt idx="16">
                  <c:v>268.82299999999969</c:v>
                </c:pt>
                <c:pt idx="17">
                  <c:v>251.9102</c:v>
                </c:pt>
                <c:pt idx="18">
                  <c:v>228.5651</c:v>
                </c:pt>
                <c:pt idx="19">
                  <c:v>215.6917</c:v>
                </c:pt>
                <c:pt idx="20">
                  <c:v>208.01319999999998</c:v>
                </c:pt>
                <c:pt idx="21">
                  <c:v>192.5428</c:v>
                </c:pt>
                <c:pt idx="22">
                  <c:v>181.9931</c:v>
                </c:pt>
                <c:pt idx="23">
                  <c:v>170.54949999999999</c:v>
                </c:pt>
              </c:numCache>
            </c:numRef>
          </c:val>
        </c:ser>
        <c:ser>
          <c:idx val="1"/>
          <c:order val="1"/>
          <c:tx>
            <c:strRef>
              <c:f>Sheet2!$F$28</c:f>
              <c:strCache>
                <c:ptCount val="1"/>
                <c:pt idx="0">
                  <c:v>Treatment</c:v>
                </c:pt>
              </c:strCache>
            </c:strRef>
          </c:tx>
          <c:spPr>
            <a:ln>
              <a:solidFill>
                <a:srgbClr val="003366"/>
              </a:solidFill>
              <a:prstDash val="dash"/>
            </a:ln>
          </c:spPr>
          <c:marker>
            <c:symbol val="none"/>
          </c:marker>
          <c:val>
            <c:numRef>
              <c:f>Sheet2!$F$29:$F$52</c:f>
              <c:numCache>
                <c:formatCode>General</c:formatCode>
                <c:ptCount val="24"/>
                <c:pt idx="0">
                  <c:v>166.37820000000067</c:v>
                </c:pt>
                <c:pt idx="1">
                  <c:v>160.5275</c:v>
                </c:pt>
                <c:pt idx="2">
                  <c:v>157.69890000000001</c:v>
                </c:pt>
                <c:pt idx="3">
                  <c:v>156.9427</c:v>
                </c:pt>
                <c:pt idx="4">
                  <c:v>166.36620000000067</c:v>
                </c:pt>
                <c:pt idx="5">
                  <c:v>184.37810000000007</c:v>
                </c:pt>
                <c:pt idx="6">
                  <c:v>208.3880000000029</c:v>
                </c:pt>
                <c:pt idx="7">
                  <c:v>235.51859999999999</c:v>
                </c:pt>
                <c:pt idx="8">
                  <c:v>261.33920000000001</c:v>
                </c:pt>
                <c:pt idx="9">
                  <c:v>281.89659999999623</c:v>
                </c:pt>
                <c:pt idx="10">
                  <c:v>291.21080000000001</c:v>
                </c:pt>
                <c:pt idx="11">
                  <c:v>279.32299999999969</c:v>
                </c:pt>
                <c:pt idx="12">
                  <c:v>279.37880000000001</c:v>
                </c:pt>
                <c:pt idx="13">
                  <c:v>282.55500000000001</c:v>
                </c:pt>
                <c:pt idx="14">
                  <c:v>278.1902</c:v>
                </c:pt>
                <c:pt idx="15">
                  <c:v>266.28749999999923</c:v>
                </c:pt>
                <c:pt idx="16">
                  <c:v>254.32320000000001</c:v>
                </c:pt>
                <c:pt idx="17">
                  <c:v>239.2062</c:v>
                </c:pt>
                <c:pt idx="18">
                  <c:v>222.83230000000285</c:v>
                </c:pt>
                <c:pt idx="19">
                  <c:v>216.96369999999999</c:v>
                </c:pt>
                <c:pt idx="20">
                  <c:v>207.62110000000001</c:v>
                </c:pt>
                <c:pt idx="21">
                  <c:v>196.1773</c:v>
                </c:pt>
                <c:pt idx="22">
                  <c:v>184.22150000000002</c:v>
                </c:pt>
                <c:pt idx="23">
                  <c:v>174.61459999999647</c:v>
                </c:pt>
              </c:numCache>
            </c:numRef>
          </c:val>
        </c:ser>
        <c:marker val="1"/>
        <c:axId val="169235584"/>
        <c:axId val="169237504"/>
      </c:lineChart>
      <c:catAx>
        <c:axId val="169235584"/>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927"/>
              <c:y val="0.90871665432064896"/>
            </c:manualLayout>
          </c:layout>
        </c:title>
        <c:tickLblPos val="nextTo"/>
        <c:txPr>
          <a:bodyPr/>
          <a:lstStyle/>
          <a:p>
            <a:pPr>
              <a:defRPr>
                <a:latin typeface="Arial" pitchFamily="34" charset="0"/>
                <a:cs typeface="Arial" pitchFamily="34" charset="0"/>
              </a:defRPr>
            </a:pPr>
            <a:endParaRPr lang="en-US"/>
          </a:p>
        </c:txPr>
        <c:crossAx val="169237504"/>
        <c:crosses val="autoZero"/>
        <c:auto val="1"/>
        <c:lblAlgn val="ctr"/>
        <c:lblOffset val="100"/>
      </c:catAx>
      <c:valAx>
        <c:axId val="169237504"/>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81"/>
            </c:manualLayout>
          </c:layout>
        </c:title>
        <c:numFmt formatCode="#,##0" sourceLinked="0"/>
        <c:tickLblPos val="nextTo"/>
        <c:txPr>
          <a:bodyPr/>
          <a:lstStyle/>
          <a:p>
            <a:pPr>
              <a:defRPr>
                <a:latin typeface="Arial" pitchFamily="34" charset="0"/>
                <a:cs typeface="Arial" pitchFamily="34" charset="0"/>
              </a:defRPr>
            </a:pPr>
            <a:endParaRPr lang="en-US"/>
          </a:p>
        </c:txPr>
        <c:crossAx val="169235584"/>
        <c:crosses val="autoZero"/>
        <c:crossBetween val="between"/>
      </c:valAx>
      <c:spPr>
        <a:ln>
          <a:solidFill>
            <a:schemeClr val="tx1"/>
          </a:solidFill>
        </a:ln>
      </c:spPr>
    </c:plotArea>
    <c:legend>
      <c:legendPos val="t"/>
      <c:layout>
        <c:manualLayout>
          <c:xMode val="edge"/>
          <c:yMode val="edge"/>
          <c:x val="0.13972272866293911"/>
          <c:y val="3.7166085946573758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'[2]In-Sample Validation'!$Q$37</c:f>
              <c:strCache>
                <c:ptCount val="1"/>
                <c:pt idx="0">
                  <c:v>Actual kW</c:v>
                </c:pt>
              </c:strCache>
            </c:strRef>
          </c:tx>
          <c:spPr>
            <a:ln>
              <a:solidFill>
                <a:srgbClr val="003366"/>
              </a:solidFill>
            </a:ln>
          </c:spPr>
          <c:marker>
            <c:symbol val="circle"/>
            <c:size val="5"/>
            <c:spPr>
              <a:solidFill>
                <a:schemeClr val="bg1"/>
              </a:solidFill>
              <a:ln w="12700">
                <a:solidFill>
                  <a:srgbClr val="003366"/>
                </a:solidFill>
              </a:ln>
            </c:spPr>
          </c:marker>
          <c:cat>
            <c:numRef>
              <c:f>'[2]In-Sample Validation'!$P$38:$P$65</c:f>
              <c:numCache>
                <c:formatCode>General</c:formatCode>
                <c:ptCount val="28"/>
                <c:pt idx="0">
                  <c:v>70</c:v>
                </c:pt>
                <c:pt idx="1">
                  <c:v>71</c:v>
                </c:pt>
                <c:pt idx="2">
                  <c:v>72</c:v>
                </c:pt>
                <c:pt idx="3">
                  <c:v>73</c:v>
                </c:pt>
                <c:pt idx="4">
                  <c:v>74</c:v>
                </c:pt>
                <c:pt idx="5">
                  <c:v>75</c:v>
                </c:pt>
                <c:pt idx="6">
                  <c:v>76</c:v>
                </c:pt>
                <c:pt idx="7">
                  <c:v>77</c:v>
                </c:pt>
                <c:pt idx="8">
                  <c:v>78</c:v>
                </c:pt>
                <c:pt idx="9">
                  <c:v>79</c:v>
                </c:pt>
                <c:pt idx="10">
                  <c:v>80</c:v>
                </c:pt>
                <c:pt idx="11">
                  <c:v>81</c:v>
                </c:pt>
                <c:pt idx="12">
                  <c:v>82</c:v>
                </c:pt>
                <c:pt idx="13">
                  <c:v>83</c:v>
                </c:pt>
                <c:pt idx="14">
                  <c:v>84</c:v>
                </c:pt>
                <c:pt idx="15">
                  <c:v>85</c:v>
                </c:pt>
                <c:pt idx="16">
                  <c:v>86</c:v>
                </c:pt>
                <c:pt idx="17">
                  <c:v>87</c:v>
                </c:pt>
                <c:pt idx="18">
                  <c:v>88</c:v>
                </c:pt>
                <c:pt idx="19">
                  <c:v>89</c:v>
                </c:pt>
                <c:pt idx="20">
                  <c:v>90</c:v>
                </c:pt>
                <c:pt idx="21">
                  <c:v>91</c:v>
                </c:pt>
                <c:pt idx="22">
                  <c:v>92</c:v>
                </c:pt>
                <c:pt idx="23">
                  <c:v>93</c:v>
                </c:pt>
                <c:pt idx="24">
                  <c:v>94</c:v>
                </c:pt>
                <c:pt idx="25">
                  <c:v>95</c:v>
                </c:pt>
                <c:pt idx="26">
                  <c:v>96</c:v>
                </c:pt>
                <c:pt idx="27">
                  <c:v>97</c:v>
                </c:pt>
              </c:numCache>
            </c:numRef>
          </c:cat>
          <c:val>
            <c:numRef>
              <c:f>'[2]In-Sample Validation'!$Q$38:$Q$65</c:f>
              <c:numCache>
                <c:formatCode>General</c:formatCode>
                <c:ptCount val="28"/>
                <c:pt idx="0">
                  <c:v>206.2259</c:v>
                </c:pt>
                <c:pt idx="1">
                  <c:v>209.32420000000027</c:v>
                </c:pt>
                <c:pt idx="2">
                  <c:v>212.00379999999998</c:v>
                </c:pt>
                <c:pt idx="3">
                  <c:v>213.53569999999999</c:v>
                </c:pt>
                <c:pt idx="4">
                  <c:v>215.47620000000001</c:v>
                </c:pt>
                <c:pt idx="5">
                  <c:v>217.7517</c:v>
                </c:pt>
                <c:pt idx="6">
                  <c:v>221.37830000000127</c:v>
                </c:pt>
                <c:pt idx="7">
                  <c:v>220.61939999999998</c:v>
                </c:pt>
                <c:pt idx="8">
                  <c:v>221.21159999999998</c:v>
                </c:pt>
                <c:pt idx="9">
                  <c:v>225.93810000000047</c:v>
                </c:pt>
                <c:pt idx="10">
                  <c:v>231.48250000000004</c:v>
                </c:pt>
                <c:pt idx="11">
                  <c:v>238.4349</c:v>
                </c:pt>
                <c:pt idx="12">
                  <c:v>235.64</c:v>
                </c:pt>
                <c:pt idx="13">
                  <c:v>235.44140000000004</c:v>
                </c:pt>
                <c:pt idx="14">
                  <c:v>235.78459999999998</c:v>
                </c:pt>
                <c:pt idx="15">
                  <c:v>242.7011</c:v>
                </c:pt>
                <c:pt idx="16">
                  <c:v>238.86700000000027</c:v>
                </c:pt>
                <c:pt idx="17">
                  <c:v>233.90459999999999</c:v>
                </c:pt>
                <c:pt idx="18">
                  <c:v>253.04250000000002</c:v>
                </c:pt>
                <c:pt idx="19">
                  <c:v>219.3425</c:v>
                </c:pt>
                <c:pt idx="20">
                  <c:v>226.34059999999999</c:v>
                </c:pt>
                <c:pt idx="21">
                  <c:v>235.84730000000027</c:v>
                </c:pt>
                <c:pt idx="22">
                  <c:v>245.7912</c:v>
                </c:pt>
                <c:pt idx="23">
                  <c:v>277.10329999999999</c:v>
                </c:pt>
                <c:pt idx="24">
                  <c:v>273.96899999999869</c:v>
                </c:pt>
                <c:pt idx="25">
                  <c:v>284.90619999999143</c:v>
                </c:pt>
                <c:pt idx="26">
                  <c:v>275.0849</c:v>
                </c:pt>
                <c:pt idx="27">
                  <c:v>281.22909999999899</c:v>
                </c:pt>
              </c:numCache>
            </c:numRef>
          </c:val>
        </c:ser>
        <c:ser>
          <c:idx val="1"/>
          <c:order val="1"/>
          <c:tx>
            <c:strRef>
              <c:f>'[2]In-Sample Validation'!$R$37</c:f>
              <c:strCache>
                <c:ptCount val="1"/>
                <c:pt idx="0">
                  <c:v>Predicted kW</c:v>
                </c:pt>
              </c:strCache>
            </c:strRef>
          </c:tx>
          <c:spPr>
            <a:ln>
              <a:solidFill>
                <a:srgbClr val="003366"/>
              </a:solidFill>
              <a:prstDash val="dash"/>
            </a:ln>
          </c:spPr>
          <c:marker>
            <c:symbol val="none"/>
          </c:marker>
          <c:cat>
            <c:numRef>
              <c:f>'[2]In-Sample Validation'!$P$38:$P$65</c:f>
              <c:numCache>
                <c:formatCode>General</c:formatCode>
                <c:ptCount val="28"/>
                <c:pt idx="0">
                  <c:v>70</c:v>
                </c:pt>
                <c:pt idx="1">
                  <c:v>71</c:v>
                </c:pt>
                <c:pt idx="2">
                  <c:v>72</c:v>
                </c:pt>
                <c:pt idx="3">
                  <c:v>73</c:v>
                </c:pt>
                <c:pt idx="4">
                  <c:v>74</c:v>
                </c:pt>
                <c:pt idx="5">
                  <c:v>75</c:v>
                </c:pt>
                <c:pt idx="6">
                  <c:v>76</c:v>
                </c:pt>
                <c:pt idx="7">
                  <c:v>77</c:v>
                </c:pt>
                <c:pt idx="8">
                  <c:v>78</c:v>
                </c:pt>
                <c:pt idx="9">
                  <c:v>79</c:v>
                </c:pt>
                <c:pt idx="10">
                  <c:v>80</c:v>
                </c:pt>
                <c:pt idx="11">
                  <c:v>81</c:v>
                </c:pt>
                <c:pt idx="12">
                  <c:v>82</c:v>
                </c:pt>
                <c:pt idx="13">
                  <c:v>83</c:v>
                </c:pt>
                <c:pt idx="14">
                  <c:v>84</c:v>
                </c:pt>
                <c:pt idx="15">
                  <c:v>85</c:v>
                </c:pt>
                <c:pt idx="16">
                  <c:v>86</c:v>
                </c:pt>
                <c:pt idx="17">
                  <c:v>87</c:v>
                </c:pt>
                <c:pt idx="18">
                  <c:v>88</c:v>
                </c:pt>
                <c:pt idx="19">
                  <c:v>89</c:v>
                </c:pt>
                <c:pt idx="20">
                  <c:v>90</c:v>
                </c:pt>
                <c:pt idx="21">
                  <c:v>91</c:v>
                </c:pt>
                <c:pt idx="22">
                  <c:v>92</c:v>
                </c:pt>
                <c:pt idx="23">
                  <c:v>93</c:v>
                </c:pt>
                <c:pt idx="24">
                  <c:v>94</c:v>
                </c:pt>
                <c:pt idx="25">
                  <c:v>95</c:v>
                </c:pt>
                <c:pt idx="26">
                  <c:v>96</c:v>
                </c:pt>
                <c:pt idx="27">
                  <c:v>97</c:v>
                </c:pt>
              </c:numCache>
            </c:numRef>
          </c:cat>
          <c:val>
            <c:numRef>
              <c:f>'[2]In-Sample Validation'!$R$38:$R$65</c:f>
              <c:numCache>
                <c:formatCode>General</c:formatCode>
                <c:ptCount val="28"/>
                <c:pt idx="0">
                  <c:v>205.9753</c:v>
                </c:pt>
                <c:pt idx="1">
                  <c:v>208.14830000000001</c:v>
                </c:pt>
                <c:pt idx="2">
                  <c:v>211.2217</c:v>
                </c:pt>
                <c:pt idx="3">
                  <c:v>211.86090000000004</c:v>
                </c:pt>
                <c:pt idx="4">
                  <c:v>213.12010000000001</c:v>
                </c:pt>
                <c:pt idx="5">
                  <c:v>215.5292</c:v>
                </c:pt>
                <c:pt idx="6">
                  <c:v>218.24209999999999</c:v>
                </c:pt>
                <c:pt idx="7">
                  <c:v>217.95030000000187</c:v>
                </c:pt>
                <c:pt idx="8">
                  <c:v>218.06950000000001</c:v>
                </c:pt>
                <c:pt idx="9">
                  <c:v>222.50909999999999</c:v>
                </c:pt>
                <c:pt idx="10">
                  <c:v>228.37969999999999</c:v>
                </c:pt>
                <c:pt idx="11">
                  <c:v>235.71299999999999</c:v>
                </c:pt>
                <c:pt idx="12">
                  <c:v>234.91140000000001</c:v>
                </c:pt>
                <c:pt idx="13">
                  <c:v>233.17979999999972</c:v>
                </c:pt>
                <c:pt idx="14">
                  <c:v>234.4307</c:v>
                </c:pt>
                <c:pt idx="15">
                  <c:v>243.7114</c:v>
                </c:pt>
                <c:pt idx="16">
                  <c:v>237.816</c:v>
                </c:pt>
                <c:pt idx="17">
                  <c:v>232.8486</c:v>
                </c:pt>
                <c:pt idx="18">
                  <c:v>250.23159999999999</c:v>
                </c:pt>
                <c:pt idx="19">
                  <c:v>227.30110000000047</c:v>
                </c:pt>
                <c:pt idx="20">
                  <c:v>227.7518</c:v>
                </c:pt>
                <c:pt idx="21">
                  <c:v>235.6679</c:v>
                </c:pt>
                <c:pt idx="22">
                  <c:v>240.30180000000001</c:v>
                </c:pt>
                <c:pt idx="23">
                  <c:v>275.80410000000001</c:v>
                </c:pt>
                <c:pt idx="24">
                  <c:v>273.50259999999969</c:v>
                </c:pt>
                <c:pt idx="25">
                  <c:v>279.81869999999969</c:v>
                </c:pt>
                <c:pt idx="26">
                  <c:v>277.49589999999893</c:v>
                </c:pt>
                <c:pt idx="27">
                  <c:v>281.7482</c:v>
                </c:pt>
              </c:numCache>
            </c:numRef>
          </c:val>
        </c:ser>
        <c:marker val="1"/>
        <c:axId val="169266176"/>
        <c:axId val="169940096"/>
      </c:lineChart>
      <c:catAx>
        <c:axId val="169266176"/>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Temperature</a:t>
                </a:r>
              </a:p>
            </c:rich>
          </c:tx>
          <c:layout>
            <c:manualLayout>
              <c:xMode val="edge"/>
              <c:yMode val="edge"/>
              <c:x val="0.48145616355464693"/>
              <c:y val="0.90871665432064896"/>
            </c:manualLayout>
          </c:layout>
        </c:title>
        <c:numFmt formatCode="General" sourceLinked="1"/>
        <c:tickLblPos val="nextTo"/>
        <c:spPr>
          <a:noFill/>
        </c:spPr>
        <c:txPr>
          <a:bodyPr/>
          <a:lstStyle/>
          <a:p>
            <a:pPr>
              <a:defRPr>
                <a:latin typeface="Arial" pitchFamily="34" charset="0"/>
                <a:cs typeface="Arial" pitchFamily="34" charset="0"/>
              </a:defRPr>
            </a:pPr>
            <a:endParaRPr lang="en-US"/>
          </a:p>
        </c:txPr>
        <c:crossAx val="169940096"/>
        <c:crosses val="autoZero"/>
        <c:auto val="1"/>
        <c:lblAlgn val="ctr"/>
        <c:lblOffset val="100"/>
        <c:tickLblSkip val="5"/>
        <c:tickMarkSkip val="5"/>
      </c:catAx>
      <c:valAx>
        <c:axId val="169940096"/>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248"/>
            </c:manualLayout>
          </c:layout>
        </c:title>
        <c:numFmt formatCode="#,##0" sourceLinked="0"/>
        <c:tickLblPos val="nextTo"/>
        <c:txPr>
          <a:bodyPr/>
          <a:lstStyle/>
          <a:p>
            <a:pPr>
              <a:defRPr>
                <a:latin typeface="Arial" pitchFamily="34" charset="0"/>
                <a:cs typeface="Arial" pitchFamily="34" charset="0"/>
              </a:defRPr>
            </a:pPr>
            <a:endParaRPr lang="en-US"/>
          </a:p>
        </c:txPr>
        <c:crossAx val="169266176"/>
        <c:crosses val="autoZero"/>
        <c:crossBetween val="between"/>
      </c:valAx>
      <c:spPr>
        <a:ln>
          <a:solidFill>
            <a:schemeClr val="tx1"/>
          </a:solidFill>
        </a:ln>
      </c:spPr>
    </c:plotArea>
    <c:legend>
      <c:legendPos val="t"/>
      <c:layout>
        <c:manualLayout>
          <c:xMode val="edge"/>
          <c:yMode val="edge"/>
          <c:x val="0.13528387081666321"/>
          <c:y val="2.7886043058648852E-2"/>
          <c:w val="0.46567839464949651"/>
          <c:h val="7.9172366121272708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pivotSource>
    <c:name>[Weather Ranking Aggregate Load Exercise .xlsx]Sheet5!PivotTable2</c:name>
    <c:fmtId val="-1"/>
  </c:pivotSource>
  <c:chart>
    <c:pivotFmts>
      <c:pivotFmt>
        <c:idx val="0"/>
      </c:pivotFmt>
      <c:pivotFmt>
        <c:idx val="1"/>
      </c:pivotFmt>
      <c:pivotFmt>
        <c:idx val="2"/>
      </c:pivotFmt>
      <c:pivotFmt>
        <c:idx val="3"/>
      </c:pivotFmt>
      <c:pivotFmt>
        <c:idx val="4"/>
      </c:pivotFmt>
      <c:pivotFmt>
        <c:idx val="5"/>
      </c:pivotFmt>
      <c:pivotFmt>
        <c:idx val="6"/>
      </c:pivotFmt>
      <c:pivotFmt>
        <c:idx val="7"/>
      </c:pivotFmt>
      <c:pivotFmt>
        <c:idx val="8"/>
        <c:spPr>
          <a:ln w="63500"/>
        </c:spPr>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s>
    <c:plotArea>
      <c:layout/>
      <c:lineChart>
        <c:grouping val="standard"/>
        <c:ser>
          <c:idx val="0"/>
          <c:order val="0"/>
          <c:tx>
            <c:strRef>
              <c:f>Sheet5!$B$1:$B$2</c:f>
              <c:strCache>
                <c:ptCount val="1"/>
                <c:pt idx="0">
                  <c:v>27-Aug-11</c:v>
                </c:pt>
              </c:strCache>
            </c:strRef>
          </c:tx>
          <c:spPr>
            <a:ln w="63500"/>
          </c:spPr>
          <c:cat>
            <c:strRef>
              <c:f>Sheet5!$A$3:$A$27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Sheet5!$B$3:$B$27</c:f>
              <c:numCache>
                <c:formatCode>General</c:formatCode>
                <c:ptCount val="24"/>
                <c:pt idx="0">
                  <c:v>161.09840000000167</c:v>
                </c:pt>
                <c:pt idx="1">
                  <c:v>156.20479999999998</c:v>
                </c:pt>
                <c:pt idx="2">
                  <c:v>151.1944</c:v>
                </c:pt>
                <c:pt idx="3">
                  <c:v>149.53140000000027</c:v>
                </c:pt>
                <c:pt idx="4">
                  <c:v>151.9605</c:v>
                </c:pt>
                <c:pt idx="5">
                  <c:v>157.4468</c:v>
                </c:pt>
                <c:pt idx="6">
                  <c:v>162.02379999999999</c:v>
                </c:pt>
                <c:pt idx="7">
                  <c:v>172.34290000000001</c:v>
                </c:pt>
                <c:pt idx="8">
                  <c:v>185.5087</c:v>
                </c:pt>
                <c:pt idx="9">
                  <c:v>197.45410000000001</c:v>
                </c:pt>
                <c:pt idx="10">
                  <c:v>205.2011</c:v>
                </c:pt>
                <c:pt idx="11">
                  <c:v>195.47240000000087</c:v>
                </c:pt>
                <c:pt idx="12">
                  <c:v>196.21059999999972</c:v>
                </c:pt>
                <c:pt idx="13">
                  <c:v>191.9401</c:v>
                </c:pt>
                <c:pt idx="14">
                  <c:v>189.8065</c:v>
                </c:pt>
                <c:pt idx="15">
                  <c:v>187.99760000000001</c:v>
                </c:pt>
                <c:pt idx="16">
                  <c:v>186.91579999999999</c:v>
                </c:pt>
                <c:pt idx="17">
                  <c:v>184.45700000000087</c:v>
                </c:pt>
                <c:pt idx="18">
                  <c:v>185.95820000000282</c:v>
                </c:pt>
                <c:pt idx="19">
                  <c:v>185.27059999999992</c:v>
                </c:pt>
                <c:pt idx="20">
                  <c:v>179.38030000000282</c:v>
                </c:pt>
                <c:pt idx="21">
                  <c:v>171.77609999999999</c:v>
                </c:pt>
                <c:pt idx="22">
                  <c:v>167.14919999999998</c:v>
                </c:pt>
                <c:pt idx="23">
                  <c:v>163.23939999999999</c:v>
                </c:pt>
              </c:numCache>
            </c:numRef>
          </c:val>
        </c:ser>
        <c:ser>
          <c:idx val="1"/>
          <c:order val="1"/>
          <c:tx>
            <c:strRef>
              <c:f>Sheet5!$C$1:$C$2</c:f>
              <c:strCache>
                <c:ptCount val="1"/>
                <c:pt idx="0">
                  <c:v>25-Sep-10</c:v>
                </c:pt>
              </c:strCache>
            </c:strRef>
          </c:tx>
          <c:cat>
            <c:strRef>
              <c:f>Sheet5!$A$3:$A$27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Sheet5!$C$3:$C$27</c:f>
              <c:numCache>
                <c:formatCode>General</c:formatCode>
                <c:ptCount val="24"/>
                <c:pt idx="0">
                  <c:v>151.82800000000267</c:v>
                </c:pt>
                <c:pt idx="1">
                  <c:v>145.94730000000001</c:v>
                </c:pt>
                <c:pt idx="2">
                  <c:v>142.26089999999999</c:v>
                </c:pt>
                <c:pt idx="3">
                  <c:v>139.53730000000004</c:v>
                </c:pt>
                <c:pt idx="4">
                  <c:v>141.72979999999998</c:v>
                </c:pt>
                <c:pt idx="5">
                  <c:v>147.101</c:v>
                </c:pt>
                <c:pt idx="6">
                  <c:v>151.4186</c:v>
                </c:pt>
                <c:pt idx="7">
                  <c:v>155.98320000000001</c:v>
                </c:pt>
                <c:pt idx="8">
                  <c:v>168.476</c:v>
                </c:pt>
                <c:pt idx="9">
                  <c:v>180.7217</c:v>
                </c:pt>
                <c:pt idx="10">
                  <c:v>190.34240000000167</c:v>
                </c:pt>
                <c:pt idx="11">
                  <c:v>199.52010000000001</c:v>
                </c:pt>
                <c:pt idx="12">
                  <c:v>202.36670000000001</c:v>
                </c:pt>
                <c:pt idx="13">
                  <c:v>201.88000000000127</c:v>
                </c:pt>
                <c:pt idx="14">
                  <c:v>198.8235</c:v>
                </c:pt>
                <c:pt idx="15">
                  <c:v>200.0908</c:v>
                </c:pt>
                <c:pt idx="16">
                  <c:v>197.89850000000001</c:v>
                </c:pt>
                <c:pt idx="17">
                  <c:v>191.74029999999999</c:v>
                </c:pt>
                <c:pt idx="18">
                  <c:v>184.7389</c:v>
                </c:pt>
                <c:pt idx="19">
                  <c:v>181.80550000000002</c:v>
                </c:pt>
                <c:pt idx="20">
                  <c:v>174.27559999999932</c:v>
                </c:pt>
                <c:pt idx="21">
                  <c:v>165.69559999999998</c:v>
                </c:pt>
                <c:pt idx="22">
                  <c:v>157.80130000000167</c:v>
                </c:pt>
                <c:pt idx="23">
                  <c:v>149.69130000000001</c:v>
                </c:pt>
              </c:numCache>
            </c:numRef>
          </c:val>
        </c:ser>
        <c:ser>
          <c:idx val="2"/>
          <c:order val="2"/>
          <c:tx>
            <c:strRef>
              <c:f>Sheet5!$D$1:$D$2</c:f>
              <c:strCache>
                <c:ptCount val="1"/>
                <c:pt idx="0">
                  <c:v>5-Sep-09</c:v>
                </c:pt>
              </c:strCache>
            </c:strRef>
          </c:tx>
          <c:cat>
            <c:strRef>
              <c:f>Sheet5!$A$3:$A$27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Sheet5!$D$3:$D$27</c:f>
              <c:numCache>
                <c:formatCode>General</c:formatCode>
                <c:ptCount val="24"/>
                <c:pt idx="0">
                  <c:v>169.0265</c:v>
                </c:pt>
                <c:pt idx="1">
                  <c:v>161.7312</c:v>
                </c:pt>
                <c:pt idx="2">
                  <c:v>157.25150000000002</c:v>
                </c:pt>
                <c:pt idx="3">
                  <c:v>154.71589999999998</c:v>
                </c:pt>
                <c:pt idx="4">
                  <c:v>157.02250000000001</c:v>
                </c:pt>
                <c:pt idx="5">
                  <c:v>162.6893</c:v>
                </c:pt>
                <c:pt idx="6">
                  <c:v>168.10479999999998</c:v>
                </c:pt>
                <c:pt idx="7">
                  <c:v>174.44</c:v>
                </c:pt>
                <c:pt idx="8">
                  <c:v>186.33720000000127</c:v>
                </c:pt>
                <c:pt idx="9">
                  <c:v>197.89080000000001</c:v>
                </c:pt>
                <c:pt idx="10">
                  <c:v>207.6669</c:v>
                </c:pt>
                <c:pt idx="11">
                  <c:v>212.04810000000001</c:v>
                </c:pt>
                <c:pt idx="12">
                  <c:v>213.2182</c:v>
                </c:pt>
                <c:pt idx="13">
                  <c:v>211.5044</c:v>
                </c:pt>
                <c:pt idx="14">
                  <c:v>210.29750000000001</c:v>
                </c:pt>
                <c:pt idx="15">
                  <c:v>207.85040000000294</c:v>
                </c:pt>
                <c:pt idx="16">
                  <c:v>204.64850000000001</c:v>
                </c:pt>
                <c:pt idx="17">
                  <c:v>197.38570000000001</c:v>
                </c:pt>
                <c:pt idx="18">
                  <c:v>190.5085</c:v>
                </c:pt>
                <c:pt idx="19">
                  <c:v>188.05200000000067</c:v>
                </c:pt>
                <c:pt idx="20">
                  <c:v>182.1506</c:v>
                </c:pt>
                <c:pt idx="21">
                  <c:v>172.75280000000001</c:v>
                </c:pt>
                <c:pt idx="22">
                  <c:v>165.85560000000001</c:v>
                </c:pt>
                <c:pt idx="23">
                  <c:v>158.9161</c:v>
                </c:pt>
              </c:numCache>
            </c:numRef>
          </c:val>
        </c:ser>
        <c:ser>
          <c:idx val="3"/>
          <c:order val="3"/>
          <c:tx>
            <c:strRef>
              <c:f>Sheet5!$E$1:$E$2</c:f>
              <c:strCache>
                <c:ptCount val="1"/>
                <c:pt idx="0">
                  <c:v>18-Jul-09</c:v>
                </c:pt>
              </c:strCache>
            </c:strRef>
          </c:tx>
          <c:cat>
            <c:strRef>
              <c:f>Sheet5!$A$3:$A$27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Sheet5!$E$3:$E$27</c:f>
              <c:numCache>
                <c:formatCode>General</c:formatCode>
                <c:ptCount val="24"/>
                <c:pt idx="0">
                  <c:v>163.95760000000001</c:v>
                </c:pt>
                <c:pt idx="1">
                  <c:v>156.41290000000001</c:v>
                </c:pt>
                <c:pt idx="2">
                  <c:v>150.98700000000107</c:v>
                </c:pt>
                <c:pt idx="3">
                  <c:v>149.76859999999999</c:v>
                </c:pt>
                <c:pt idx="4">
                  <c:v>151.8297</c:v>
                </c:pt>
                <c:pt idx="5">
                  <c:v>157.43880000000001</c:v>
                </c:pt>
                <c:pt idx="6">
                  <c:v>161.3596</c:v>
                </c:pt>
                <c:pt idx="7">
                  <c:v>169.97369999999998</c:v>
                </c:pt>
                <c:pt idx="8">
                  <c:v>183.91730000000001</c:v>
                </c:pt>
                <c:pt idx="9">
                  <c:v>197.29389999999998</c:v>
                </c:pt>
                <c:pt idx="10">
                  <c:v>206.23549999999997</c:v>
                </c:pt>
                <c:pt idx="11">
                  <c:v>209.93190000000001</c:v>
                </c:pt>
                <c:pt idx="12">
                  <c:v>213.29069999999999</c:v>
                </c:pt>
                <c:pt idx="13">
                  <c:v>209.55020000000007</c:v>
                </c:pt>
                <c:pt idx="14">
                  <c:v>208.37989999999999</c:v>
                </c:pt>
                <c:pt idx="15">
                  <c:v>203.82560000000001</c:v>
                </c:pt>
                <c:pt idx="16">
                  <c:v>200.75710000000001</c:v>
                </c:pt>
                <c:pt idx="17">
                  <c:v>196.65180000000001</c:v>
                </c:pt>
                <c:pt idx="18">
                  <c:v>191.26830000000001</c:v>
                </c:pt>
                <c:pt idx="19">
                  <c:v>185.6293</c:v>
                </c:pt>
                <c:pt idx="20">
                  <c:v>185.01820000000001</c:v>
                </c:pt>
                <c:pt idx="21">
                  <c:v>175.84989999999999</c:v>
                </c:pt>
                <c:pt idx="22">
                  <c:v>169.58220000000227</c:v>
                </c:pt>
                <c:pt idx="23">
                  <c:v>160.83800000000087</c:v>
                </c:pt>
              </c:numCache>
            </c:numRef>
          </c:val>
        </c:ser>
        <c:ser>
          <c:idx val="4"/>
          <c:order val="4"/>
          <c:tx>
            <c:strRef>
              <c:f>Sheet5!$F$1:$F$2</c:f>
              <c:strCache>
                <c:ptCount val="1"/>
                <c:pt idx="0">
                  <c:v>11-Jul-09</c:v>
                </c:pt>
              </c:strCache>
            </c:strRef>
          </c:tx>
          <c:cat>
            <c:strRef>
              <c:f>Sheet5!$A$3:$A$27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Sheet5!$F$3:$F$27</c:f>
              <c:numCache>
                <c:formatCode>General</c:formatCode>
                <c:ptCount val="24"/>
                <c:pt idx="0">
                  <c:v>157.15379999999999</c:v>
                </c:pt>
                <c:pt idx="1">
                  <c:v>150.3742</c:v>
                </c:pt>
                <c:pt idx="2">
                  <c:v>146.84379999999999</c:v>
                </c:pt>
                <c:pt idx="3">
                  <c:v>144.23399999999998</c:v>
                </c:pt>
                <c:pt idx="4">
                  <c:v>144.15440000000001</c:v>
                </c:pt>
                <c:pt idx="5">
                  <c:v>148.7286</c:v>
                </c:pt>
                <c:pt idx="6">
                  <c:v>154.261</c:v>
                </c:pt>
                <c:pt idx="7">
                  <c:v>164.5787</c:v>
                </c:pt>
                <c:pt idx="8">
                  <c:v>177.66459999999998</c:v>
                </c:pt>
                <c:pt idx="9">
                  <c:v>188.34300000000002</c:v>
                </c:pt>
                <c:pt idx="10">
                  <c:v>198.14569999999998</c:v>
                </c:pt>
                <c:pt idx="11">
                  <c:v>202.39800000000147</c:v>
                </c:pt>
                <c:pt idx="12">
                  <c:v>203.68900000000002</c:v>
                </c:pt>
                <c:pt idx="13">
                  <c:v>200.98010000000087</c:v>
                </c:pt>
                <c:pt idx="14">
                  <c:v>199.4897</c:v>
                </c:pt>
                <c:pt idx="15">
                  <c:v>197.99120000000067</c:v>
                </c:pt>
                <c:pt idx="16">
                  <c:v>196.0325</c:v>
                </c:pt>
                <c:pt idx="17">
                  <c:v>188.78620000000001</c:v>
                </c:pt>
                <c:pt idx="18">
                  <c:v>182.35380000000001</c:v>
                </c:pt>
                <c:pt idx="19">
                  <c:v>175.74479999999932</c:v>
                </c:pt>
                <c:pt idx="20">
                  <c:v>171.73840000000001</c:v>
                </c:pt>
                <c:pt idx="21">
                  <c:v>164.54429999999999</c:v>
                </c:pt>
                <c:pt idx="22">
                  <c:v>159.6259</c:v>
                </c:pt>
                <c:pt idx="23">
                  <c:v>153.46770000000001</c:v>
                </c:pt>
              </c:numCache>
            </c:numRef>
          </c:val>
        </c:ser>
        <c:marker val="1"/>
        <c:axId val="171259008"/>
        <c:axId val="171260928"/>
      </c:lineChart>
      <c:catAx>
        <c:axId val="171259008"/>
        <c:scaling>
          <c:orientation val="minMax"/>
        </c:scaling>
        <c:axPos val="b"/>
        <c:title>
          <c:tx>
            <c:rich>
              <a:bodyPr/>
              <a:lstStyle/>
              <a:p>
                <a:pPr>
                  <a:defRPr/>
                </a:pPr>
                <a:r>
                  <a:rPr lang="en-US"/>
                  <a:t>Hour Ending</a:t>
                </a:r>
              </a:p>
            </c:rich>
          </c:tx>
        </c:title>
        <c:tickLblPos val="nextTo"/>
        <c:crossAx val="171260928"/>
        <c:crosses val="autoZero"/>
        <c:lblAlgn val="ctr"/>
        <c:lblOffset val="100"/>
        <c:tickMarkSkip val="1"/>
      </c:catAx>
      <c:valAx>
        <c:axId val="171260928"/>
        <c:scaling>
          <c:orientation val="minMax"/>
          <c:max val="220"/>
          <c:min val="120"/>
        </c:scaling>
        <c:axPos val="l"/>
        <c:majorGridlines/>
        <c:title>
          <c:tx>
            <c:rich>
              <a:bodyPr rot="-5400000" vert="horz"/>
              <a:lstStyle/>
              <a:p>
                <a:pPr>
                  <a:defRPr/>
                </a:pPr>
                <a:r>
                  <a:rPr lang="en-US"/>
                  <a:t>Average kW Per Customer</a:t>
                </a:r>
              </a:p>
            </c:rich>
          </c:tx>
        </c:title>
        <c:numFmt formatCode="General" sourceLinked="1"/>
        <c:tickLblPos val="nextTo"/>
        <c:crossAx val="171259008"/>
        <c:crosses val="autoZero"/>
        <c:crossBetween val="between"/>
      </c:valAx>
    </c:plotArea>
    <c:legend>
      <c:legendPos val="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pivotSource>
    <c:name>[Weather Ranking Aggregate Load Exercise .xlsx]Sheet6!PivotTable3</c:name>
    <c:fmtId val="-1"/>
  </c:pivotSource>
  <c:chart>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spPr>
          <a:ln w="63500"/>
        </c:spPr>
      </c:pivotFmt>
      <c:pivotFmt>
        <c:idx val="10"/>
      </c:pivotFmt>
      <c:pivotFmt>
        <c:idx val="11"/>
      </c:pivotFmt>
      <c:pivotFmt>
        <c:idx val="12"/>
      </c:pivotFmt>
      <c:pivotFmt>
        <c:idx val="13"/>
      </c:pivotFmt>
      <c:pivotFmt>
        <c:idx val="14"/>
      </c:pivotFmt>
    </c:pivotFmts>
    <c:plotArea>
      <c:layout/>
      <c:lineChart>
        <c:grouping val="standard"/>
        <c:ser>
          <c:idx val="0"/>
          <c:order val="0"/>
          <c:tx>
            <c:strRef>
              <c:f>Sheet6!$B$1:$B$2</c:f>
              <c:strCache>
                <c:ptCount val="1"/>
                <c:pt idx="0">
                  <c:v>26-Aug-09</c:v>
                </c:pt>
              </c:strCache>
            </c:strRef>
          </c:tx>
          <c:cat>
            <c:strRef>
              <c:f>Sheet6!$A$3:$A$27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Sheet6!$B$3:$B$27</c:f>
              <c:numCache>
                <c:formatCode>General</c:formatCode>
                <c:ptCount val="24"/>
                <c:pt idx="0">
                  <c:v>161.77569999999992</c:v>
                </c:pt>
                <c:pt idx="1">
                  <c:v>154.5966</c:v>
                </c:pt>
                <c:pt idx="2">
                  <c:v>150.73769999999999</c:v>
                </c:pt>
                <c:pt idx="3">
                  <c:v>150.0949</c:v>
                </c:pt>
                <c:pt idx="4">
                  <c:v>155.43550000000002</c:v>
                </c:pt>
                <c:pt idx="5">
                  <c:v>169.59459999999999</c:v>
                </c:pt>
                <c:pt idx="6">
                  <c:v>186.15820000000087</c:v>
                </c:pt>
                <c:pt idx="7">
                  <c:v>207.2243</c:v>
                </c:pt>
                <c:pt idx="8">
                  <c:v>230.35320000000004</c:v>
                </c:pt>
                <c:pt idx="9">
                  <c:v>248.52680000000001</c:v>
                </c:pt>
                <c:pt idx="10">
                  <c:v>266.14940000000723</c:v>
                </c:pt>
                <c:pt idx="11">
                  <c:v>268.98399999999663</c:v>
                </c:pt>
                <c:pt idx="12">
                  <c:v>267.73519999999189</c:v>
                </c:pt>
                <c:pt idx="13">
                  <c:v>265.7244</c:v>
                </c:pt>
                <c:pt idx="14">
                  <c:v>262.73599999999863</c:v>
                </c:pt>
                <c:pt idx="15">
                  <c:v>255.35300000000001</c:v>
                </c:pt>
                <c:pt idx="16">
                  <c:v>248.29379999999998</c:v>
                </c:pt>
                <c:pt idx="17">
                  <c:v>239.7586</c:v>
                </c:pt>
                <c:pt idx="18">
                  <c:v>224.04469999999998</c:v>
                </c:pt>
                <c:pt idx="19">
                  <c:v>214.93020000000001</c:v>
                </c:pt>
                <c:pt idx="20">
                  <c:v>205.90040000000027</c:v>
                </c:pt>
                <c:pt idx="21">
                  <c:v>192.37180000000001</c:v>
                </c:pt>
                <c:pt idx="22">
                  <c:v>181.7878</c:v>
                </c:pt>
                <c:pt idx="23">
                  <c:v>173.60650000000001</c:v>
                </c:pt>
              </c:numCache>
            </c:numRef>
          </c:val>
        </c:ser>
        <c:ser>
          <c:idx val="1"/>
          <c:order val="1"/>
          <c:tx>
            <c:strRef>
              <c:f>Sheet6!$C$1:$C$2</c:f>
              <c:strCache>
                <c:ptCount val="1"/>
                <c:pt idx="0">
                  <c:v>2-Sep-09</c:v>
                </c:pt>
              </c:strCache>
            </c:strRef>
          </c:tx>
          <c:cat>
            <c:strRef>
              <c:f>Sheet6!$A$3:$A$27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Sheet6!$C$3:$C$27</c:f>
              <c:numCache>
                <c:formatCode>General</c:formatCode>
                <c:ptCount val="24"/>
                <c:pt idx="0">
                  <c:v>172.9393</c:v>
                </c:pt>
                <c:pt idx="1">
                  <c:v>166.2073</c:v>
                </c:pt>
                <c:pt idx="2">
                  <c:v>162.25820000000004</c:v>
                </c:pt>
                <c:pt idx="3">
                  <c:v>164.89220000000267</c:v>
                </c:pt>
                <c:pt idx="4">
                  <c:v>173.35800000000276</c:v>
                </c:pt>
                <c:pt idx="5">
                  <c:v>191.71489999999972</c:v>
                </c:pt>
                <c:pt idx="6">
                  <c:v>214.5256</c:v>
                </c:pt>
                <c:pt idx="7">
                  <c:v>236.40940000000001</c:v>
                </c:pt>
                <c:pt idx="8">
                  <c:v>257.25450000000001</c:v>
                </c:pt>
                <c:pt idx="9">
                  <c:v>273.16430000000008</c:v>
                </c:pt>
                <c:pt idx="10">
                  <c:v>285.94709999999969</c:v>
                </c:pt>
                <c:pt idx="11">
                  <c:v>293.01829999999899</c:v>
                </c:pt>
                <c:pt idx="12">
                  <c:v>290.48589999999899</c:v>
                </c:pt>
                <c:pt idx="13">
                  <c:v>291.9298</c:v>
                </c:pt>
                <c:pt idx="14">
                  <c:v>289.33089999999999</c:v>
                </c:pt>
                <c:pt idx="15">
                  <c:v>278.48469999999969</c:v>
                </c:pt>
                <c:pt idx="16">
                  <c:v>268.81349999999969</c:v>
                </c:pt>
                <c:pt idx="17">
                  <c:v>254.768</c:v>
                </c:pt>
                <c:pt idx="18">
                  <c:v>234.2689</c:v>
                </c:pt>
                <c:pt idx="19">
                  <c:v>228.60120000000001</c:v>
                </c:pt>
                <c:pt idx="20">
                  <c:v>221.39330000000001</c:v>
                </c:pt>
                <c:pt idx="21">
                  <c:v>206.42100000000067</c:v>
                </c:pt>
                <c:pt idx="22">
                  <c:v>195.23519999999999</c:v>
                </c:pt>
                <c:pt idx="23">
                  <c:v>186.23050000000001</c:v>
                </c:pt>
              </c:numCache>
            </c:numRef>
          </c:val>
        </c:ser>
        <c:ser>
          <c:idx val="2"/>
          <c:order val="2"/>
          <c:tx>
            <c:strRef>
              <c:f>Sheet6!$D$1:$D$2</c:f>
              <c:strCache>
                <c:ptCount val="1"/>
                <c:pt idx="0">
                  <c:v>18-Aug-10</c:v>
                </c:pt>
              </c:strCache>
            </c:strRef>
          </c:tx>
          <c:cat>
            <c:strRef>
              <c:f>Sheet6!$A$3:$A$27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Sheet6!$D$3:$D$27</c:f>
              <c:numCache>
                <c:formatCode>General</c:formatCode>
                <c:ptCount val="24"/>
                <c:pt idx="0">
                  <c:v>166.5488</c:v>
                </c:pt>
                <c:pt idx="1">
                  <c:v>159.96680000000001</c:v>
                </c:pt>
                <c:pt idx="2">
                  <c:v>156.33010000000004</c:v>
                </c:pt>
                <c:pt idx="3">
                  <c:v>157.2971</c:v>
                </c:pt>
                <c:pt idx="4">
                  <c:v>164.48660000000001</c:v>
                </c:pt>
                <c:pt idx="5">
                  <c:v>183.084</c:v>
                </c:pt>
                <c:pt idx="6">
                  <c:v>200.5949</c:v>
                </c:pt>
                <c:pt idx="7">
                  <c:v>219.65550000000002</c:v>
                </c:pt>
                <c:pt idx="8">
                  <c:v>235.39530000000047</c:v>
                </c:pt>
                <c:pt idx="9">
                  <c:v>250.50479999999999</c:v>
                </c:pt>
                <c:pt idx="10">
                  <c:v>261.2881999999916</c:v>
                </c:pt>
                <c:pt idx="11">
                  <c:v>265.58210000000003</c:v>
                </c:pt>
                <c:pt idx="12">
                  <c:v>268.166</c:v>
                </c:pt>
                <c:pt idx="13">
                  <c:v>265.04660000000001</c:v>
                </c:pt>
                <c:pt idx="14">
                  <c:v>260.74470000000002</c:v>
                </c:pt>
                <c:pt idx="15">
                  <c:v>253.83760000000001</c:v>
                </c:pt>
                <c:pt idx="16">
                  <c:v>246.0575</c:v>
                </c:pt>
                <c:pt idx="17">
                  <c:v>235.45120000000207</c:v>
                </c:pt>
                <c:pt idx="18">
                  <c:v>219.964</c:v>
                </c:pt>
                <c:pt idx="19">
                  <c:v>211.559</c:v>
                </c:pt>
                <c:pt idx="20">
                  <c:v>204.42220000000276</c:v>
                </c:pt>
                <c:pt idx="21">
                  <c:v>192.15550000000002</c:v>
                </c:pt>
                <c:pt idx="22">
                  <c:v>182.87840000000207</c:v>
                </c:pt>
                <c:pt idx="23">
                  <c:v>176.80950000000001</c:v>
                </c:pt>
              </c:numCache>
            </c:numRef>
          </c:val>
        </c:ser>
        <c:ser>
          <c:idx val="3"/>
          <c:order val="3"/>
          <c:tx>
            <c:strRef>
              <c:f>Sheet6!$E$1:$E$2</c:f>
              <c:strCache>
                <c:ptCount val="1"/>
                <c:pt idx="0">
                  <c:v>6-Sep-11</c:v>
                </c:pt>
              </c:strCache>
            </c:strRef>
          </c:tx>
          <c:cat>
            <c:strRef>
              <c:f>Sheet6!$A$3:$A$27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Sheet6!$E$3:$E$27</c:f>
              <c:numCache>
                <c:formatCode>General</c:formatCode>
                <c:ptCount val="24"/>
                <c:pt idx="0">
                  <c:v>142.44479999999999</c:v>
                </c:pt>
                <c:pt idx="1">
                  <c:v>138.97220000000004</c:v>
                </c:pt>
                <c:pt idx="2">
                  <c:v>138.55040000000147</c:v>
                </c:pt>
                <c:pt idx="3">
                  <c:v>141.75389999999999</c:v>
                </c:pt>
                <c:pt idx="4">
                  <c:v>150.93540000000004</c:v>
                </c:pt>
                <c:pt idx="5">
                  <c:v>169.19750000000002</c:v>
                </c:pt>
                <c:pt idx="6">
                  <c:v>192.3245</c:v>
                </c:pt>
                <c:pt idx="7">
                  <c:v>213.9</c:v>
                </c:pt>
                <c:pt idx="8">
                  <c:v>233.66150000000002</c:v>
                </c:pt>
                <c:pt idx="9">
                  <c:v>248.02440000000001</c:v>
                </c:pt>
                <c:pt idx="10">
                  <c:v>260.4298</c:v>
                </c:pt>
                <c:pt idx="11">
                  <c:v>267.05009999999999</c:v>
                </c:pt>
                <c:pt idx="12">
                  <c:v>275.71940000000001</c:v>
                </c:pt>
                <c:pt idx="13">
                  <c:v>283.80430000000001</c:v>
                </c:pt>
                <c:pt idx="14">
                  <c:v>279.91549999999899</c:v>
                </c:pt>
                <c:pt idx="15">
                  <c:v>274.04050000000001</c:v>
                </c:pt>
                <c:pt idx="16">
                  <c:v>263.29599999999863</c:v>
                </c:pt>
                <c:pt idx="17">
                  <c:v>247.0538</c:v>
                </c:pt>
                <c:pt idx="18">
                  <c:v>228.32910000000001</c:v>
                </c:pt>
                <c:pt idx="19">
                  <c:v>219.85400000000001</c:v>
                </c:pt>
                <c:pt idx="20">
                  <c:v>208.1071</c:v>
                </c:pt>
                <c:pt idx="21">
                  <c:v>193.95210000000247</c:v>
                </c:pt>
                <c:pt idx="22">
                  <c:v>185.2774</c:v>
                </c:pt>
                <c:pt idx="23">
                  <c:v>177.38180000000187</c:v>
                </c:pt>
              </c:numCache>
            </c:numRef>
          </c:val>
        </c:ser>
        <c:ser>
          <c:idx val="4"/>
          <c:order val="4"/>
          <c:tx>
            <c:strRef>
              <c:f>Sheet6!$F$1:$F$2</c:f>
              <c:strCache>
                <c:ptCount val="1"/>
                <c:pt idx="0">
                  <c:v>7-Sep-11</c:v>
                </c:pt>
              </c:strCache>
            </c:strRef>
          </c:tx>
          <c:spPr>
            <a:ln w="63500"/>
          </c:spPr>
          <c:cat>
            <c:strRef>
              <c:f>Sheet6!$A$3:$A$27</c:f>
              <c:strCach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strCache>
            </c:strRef>
          </c:cat>
          <c:val>
            <c:numRef>
              <c:f>Sheet6!$F$3:$F$27</c:f>
              <c:numCache>
                <c:formatCode>General</c:formatCode>
                <c:ptCount val="24"/>
                <c:pt idx="0">
                  <c:v>169.04859999999999</c:v>
                </c:pt>
                <c:pt idx="1">
                  <c:v>163.2551</c:v>
                </c:pt>
                <c:pt idx="2">
                  <c:v>159.30280000000027</c:v>
                </c:pt>
                <c:pt idx="3">
                  <c:v>159.71850000000001</c:v>
                </c:pt>
                <c:pt idx="4">
                  <c:v>168.62</c:v>
                </c:pt>
                <c:pt idx="5">
                  <c:v>185.62469999999999</c:v>
                </c:pt>
                <c:pt idx="6">
                  <c:v>208.38100000000227</c:v>
                </c:pt>
                <c:pt idx="7">
                  <c:v>232.50979999999998</c:v>
                </c:pt>
                <c:pt idx="8">
                  <c:v>254.2603</c:v>
                </c:pt>
                <c:pt idx="9">
                  <c:v>274.01529999999963</c:v>
                </c:pt>
                <c:pt idx="10">
                  <c:v>281.37819999999869</c:v>
                </c:pt>
                <c:pt idx="11">
                  <c:v>269.9479</c:v>
                </c:pt>
                <c:pt idx="12">
                  <c:v>270.53199999999669</c:v>
                </c:pt>
                <c:pt idx="13">
                  <c:v>273.101</c:v>
                </c:pt>
                <c:pt idx="14">
                  <c:v>269.11829999999969</c:v>
                </c:pt>
                <c:pt idx="15">
                  <c:v>257.50729999999999</c:v>
                </c:pt>
                <c:pt idx="16">
                  <c:v>245.51369999999972</c:v>
                </c:pt>
                <c:pt idx="17">
                  <c:v>230.39660000000001</c:v>
                </c:pt>
                <c:pt idx="18">
                  <c:v>218.47919999999999</c:v>
                </c:pt>
                <c:pt idx="19">
                  <c:v>213.8348</c:v>
                </c:pt>
                <c:pt idx="20">
                  <c:v>205.1677</c:v>
                </c:pt>
                <c:pt idx="21">
                  <c:v>195.27859999999998</c:v>
                </c:pt>
                <c:pt idx="22">
                  <c:v>184.5231</c:v>
                </c:pt>
                <c:pt idx="23">
                  <c:v>176.47499999999999</c:v>
                </c:pt>
              </c:numCache>
            </c:numRef>
          </c:val>
        </c:ser>
        <c:marker val="1"/>
        <c:axId val="171309312"/>
        <c:axId val="176914816"/>
      </c:lineChart>
      <c:catAx>
        <c:axId val="171309312"/>
        <c:scaling>
          <c:orientation val="minMax"/>
        </c:scaling>
        <c:axPos val="b"/>
        <c:title>
          <c:tx>
            <c:rich>
              <a:bodyPr/>
              <a:lstStyle/>
              <a:p>
                <a:pPr>
                  <a:defRPr/>
                </a:pPr>
                <a:r>
                  <a:rPr lang="en-US"/>
                  <a:t>Hour Ending</a:t>
                </a:r>
              </a:p>
            </c:rich>
          </c:tx>
        </c:title>
        <c:tickLblPos val="nextTo"/>
        <c:crossAx val="176914816"/>
        <c:crosses val="autoZero"/>
        <c:auto val="1"/>
        <c:lblAlgn val="ctr"/>
        <c:lblOffset val="100"/>
      </c:catAx>
      <c:valAx>
        <c:axId val="176914816"/>
        <c:scaling>
          <c:orientation val="minMax"/>
          <c:max val="300"/>
          <c:min val="120"/>
        </c:scaling>
        <c:axPos val="l"/>
        <c:majorGridlines/>
        <c:title>
          <c:tx>
            <c:rich>
              <a:bodyPr rot="-5400000" vert="horz"/>
              <a:lstStyle/>
              <a:p>
                <a:pPr>
                  <a:defRPr/>
                </a:pPr>
                <a:r>
                  <a:rPr lang="en-US"/>
                  <a:t>Average kW Per Customer</a:t>
                </a:r>
              </a:p>
            </c:rich>
          </c:tx>
        </c:title>
        <c:numFmt formatCode="General" sourceLinked="1"/>
        <c:tickLblPos val="nextTo"/>
        <c:crossAx val="171309312"/>
        <c:crosses val="autoZero"/>
        <c:crossBetween val="between"/>
      </c:valAx>
    </c:plotArea>
    <c:legend>
      <c:legendPos val="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Sheet1!$M$1</c:f>
              <c:strCache>
                <c:ptCount val="1"/>
                <c:pt idx="0">
                  <c:v>pct_impact</c:v>
                </c:pt>
              </c:strCache>
            </c:strRef>
          </c:tx>
          <c:spPr>
            <a:ln w="28575">
              <a:noFill/>
            </a:ln>
          </c:spPr>
          <c:trendline>
            <c:trendlineType val="linear"/>
          </c:trendline>
          <c:xVal>
            <c:numRef>
              <c:f>Sheet1!$K$2:$K$15</c:f>
              <c:numCache>
                <c:formatCode>General</c:formatCode>
                <c:ptCount val="14"/>
                <c:pt idx="0">
                  <c:v>357.26089999999999</c:v>
                </c:pt>
                <c:pt idx="1">
                  <c:v>345.63829999999899</c:v>
                </c:pt>
                <c:pt idx="2">
                  <c:v>349.33119999999809</c:v>
                </c:pt>
                <c:pt idx="3">
                  <c:v>199.51900000000001</c:v>
                </c:pt>
                <c:pt idx="4">
                  <c:v>338.4855999999981</c:v>
                </c:pt>
                <c:pt idx="5">
                  <c:v>263.26649999999893</c:v>
                </c:pt>
                <c:pt idx="6">
                  <c:v>245.96359999999999</c:v>
                </c:pt>
                <c:pt idx="7">
                  <c:v>164.65170000000001</c:v>
                </c:pt>
                <c:pt idx="8">
                  <c:v>220.6765</c:v>
                </c:pt>
                <c:pt idx="9">
                  <c:v>176.59870000000001</c:v>
                </c:pt>
                <c:pt idx="10">
                  <c:v>436.22739999999834</c:v>
                </c:pt>
                <c:pt idx="11">
                  <c:v>293.92699999999797</c:v>
                </c:pt>
                <c:pt idx="12">
                  <c:v>225.90630000000004</c:v>
                </c:pt>
                <c:pt idx="13">
                  <c:v>333.14970000000147</c:v>
                </c:pt>
              </c:numCache>
            </c:numRef>
          </c:xVal>
          <c:yVal>
            <c:numRef>
              <c:f>Sheet1!$M$2:$M$15</c:f>
              <c:numCache>
                <c:formatCode>0%</c:formatCode>
                <c:ptCount val="14"/>
                <c:pt idx="0">
                  <c:v>9.7596600000000047E-2</c:v>
                </c:pt>
                <c:pt idx="1">
                  <c:v>7.2074200000000019E-2</c:v>
                </c:pt>
                <c:pt idx="2">
                  <c:v>0.11745929999999995</c:v>
                </c:pt>
                <c:pt idx="3">
                  <c:v>-1.2577000000000001E-3</c:v>
                </c:pt>
                <c:pt idx="4">
                  <c:v>4.0682099999999999E-2</c:v>
                </c:pt>
                <c:pt idx="5">
                  <c:v>3.1351400000000001E-2</c:v>
                </c:pt>
                <c:pt idx="6">
                  <c:v>2.7067400000000002E-2</c:v>
                </c:pt>
                <c:pt idx="7">
                  <c:v>1.1466400000000041E-2</c:v>
                </c:pt>
                <c:pt idx="8">
                  <c:v>4.1932900000000023E-2</c:v>
                </c:pt>
                <c:pt idx="9">
                  <c:v>2.0209499999999998E-2</c:v>
                </c:pt>
                <c:pt idx="10">
                  <c:v>3.9069899999999998E-2</c:v>
                </c:pt>
                <c:pt idx="11">
                  <c:v>6.7358600000000352E-2</c:v>
                </c:pt>
                <c:pt idx="12">
                  <c:v>5.8700500000000023E-2</c:v>
                </c:pt>
                <c:pt idx="13">
                  <c:v>3.955510000000001E-2</c:v>
                </c:pt>
              </c:numCache>
            </c:numRef>
          </c:yVal>
        </c:ser>
        <c:axId val="176925696"/>
        <c:axId val="176940160"/>
      </c:scatterChart>
      <c:valAx>
        <c:axId val="176925696"/>
        <c:scaling>
          <c:orientation val="minMax"/>
        </c:scaling>
        <c:axPos val="b"/>
        <c:title>
          <c:tx>
            <c:rich>
              <a:bodyPr/>
              <a:lstStyle/>
              <a:p>
                <a:pPr>
                  <a:defRPr/>
                </a:pPr>
                <a:r>
                  <a:rPr lang="en-US"/>
                  <a:t>Total CDH</a:t>
                </a:r>
              </a:p>
            </c:rich>
          </c:tx>
        </c:title>
        <c:numFmt formatCode="General" sourceLinked="1"/>
        <c:tickLblPos val="nextTo"/>
        <c:crossAx val="176940160"/>
        <c:crosses val="autoZero"/>
        <c:crossBetween val="midCat"/>
      </c:valAx>
      <c:valAx>
        <c:axId val="176940160"/>
        <c:scaling>
          <c:orientation val="minMax"/>
        </c:scaling>
        <c:axPos val="l"/>
        <c:majorGridlines/>
        <c:title>
          <c:tx>
            <c:rich>
              <a:bodyPr rot="-5400000" vert="horz"/>
              <a:lstStyle/>
              <a:p>
                <a:pPr>
                  <a:defRPr/>
                </a:pPr>
                <a:r>
                  <a:rPr lang="en-US"/>
                  <a:t>Percent Impact</a:t>
                </a:r>
              </a:p>
            </c:rich>
          </c:tx>
        </c:title>
        <c:numFmt formatCode="0%" sourceLinked="1"/>
        <c:tickLblPos val="nextTo"/>
        <c:crossAx val="176925696"/>
        <c:crosses val="autoZero"/>
        <c:crossBetween val="midCat"/>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bar"/>
        <c:grouping val="clustered"/>
        <c:ser>
          <c:idx val="0"/>
          <c:order val="0"/>
          <c:tx>
            <c:strRef>
              <c:f>'Event Impact by Industry'!$H$13</c:f>
              <c:strCache>
                <c:ptCount val="1"/>
                <c:pt idx="0">
                  <c:v>Percent of Load</c:v>
                </c:pt>
              </c:strCache>
            </c:strRef>
          </c:tx>
          <c:cat>
            <c:strRef>
              <c:f>'Event Impact by Industry'!$E$14:$E$21</c:f>
              <c:strCache>
                <c:ptCount val="8"/>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pt idx="7">
                  <c:v>Other or Unknown</c:v>
                </c:pt>
              </c:strCache>
            </c:strRef>
          </c:cat>
          <c:val>
            <c:numRef>
              <c:f>'Event Impact by Industry'!$H$14:$H$21</c:f>
              <c:numCache>
                <c:formatCode>0%</c:formatCode>
                <c:ptCount val="8"/>
                <c:pt idx="0">
                  <c:v>1.9434636397583381E-2</c:v>
                </c:pt>
                <c:pt idx="1">
                  <c:v>0.27272184317745868</c:v>
                </c:pt>
                <c:pt idx="2">
                  <c:v>0.17003826733121141</c:v>
                </c:pt>
                <c:pt idx="3">
                  <c:v>8.0503758928065161E-2</c:v>
                </c:pt>
                <c:pt idx="4">
                  <c:v>0.23424589482378491</c:v>
                </c:pt>
                <c:pt idx="5">
                  <c:v>0.11449938233712491</c:v>
                </c:pt>
                <c:pt idx="6">
                  <c:v>9.9060439720034227E-2</c:v>
                </c:pt>
                <c:pt idx="7">
                  <c:v>9.6605606355353417E-3</c:v>
                </c:pt>
              </c:numCache>
            </c:numRef>
          </c:val>
        </c:ser>
        <c:ser>
          <c:idx val="1"/>
          <c:order val="1"/>
          <c:tx>
            <c:strRef>
              <c:f>'Event Impact by Industry'!$I$13</c:f>
              <c:strCache>
                <c:ptCount val="1"/>
                <c:pt idx="0">
                  <c:v>Percent of Impacts</c:v>
                </c:pt>
              </c:strCache>
            </c:strRef>
          </c:tx>
          <c:cat>
            <c:strRef>
              <c:f>'Event Impact by Industry'!$E$14:$E$21</c:f>
              <c:strCache>
                <c:ptCount val="8"/>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pt idx="7">
                  <c:v>Other or Unknown</c:v>
                </c:pt>
              </c:strCache>
            </c:strRef>
          </c:cat>
          <c:val>
            <c:numRef>
              <c:f>'Event Impact by Industry'!$I$14:$I$21</c:f>
              <c:numCache>
                <c:formatCode>0%</c:formatCode>
                <c:ptCount val="8"/>
                <c:pt idx="0">
                  <c:v>7.1469249200414699E-3</c:v>
                </c:pt>
                <c:pt idx="1">
                  <c:v>0.67847074048337996</c:v>
                </c:pt>
                <c:pt idx="2">
                  <c:v>0.25527647469417358</c:v>
                </c:pt>
                <c:pt idx="3">
                  <c:v>4.9480007263702198E-2</c:v>
                </c:pt>
                <c:pt idx="4">
                  <c:v>0</c:v>
                </c:pt>
                <c:pt idx="5">
                  <c:v>0</c:v>
                </c:pt>
                <c:pt idx="6">
                  <c:v>7.4847296311308098E-3</c:v>
                </c:pt>
                <c:pt idx="7">
                  <c:v>1.966789349466808E-2</c:v>
                </c:pt>
              </c:numCache>
            </c:numRef>
          </c:val>
        </c:ser>
        <c:ser>
          <c:idx val="2"/>
          <c:order val="2"/>
          <c:tx>
            <c:strRef>
              <c:f>'Event Impact by Industry'!$J$13</c:f>
              <c:strCache>
                <c:ptCount val="1"/>
                <c:pt idx="0">
                  <c:v>Percent of Customers</c:v>
                </c:pt>
              </c:strCache>
            </c:strRef>
          </c:tx>
          <c:cat>
            <c:strRef>
              <c:f>'Event Impact by Industry'!$E$14:$E$21</c:f>
              <c:strCache>
                <c:ptCount val="8"/>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pt idx="7">
                  <c:v>Other or Unknown</c:v>
                </c:pt>
              </c:strCache>
            </c:strRef>
          </c:cat>
          <c:val>
            <c:numRef>
              <c:f>'Event Impact by Industry'!$J$14:$J$21</c:f>
              <c:numCache>
                <c:formatCode>0%</c:formatCode>
                <c:ptCount val="8"/>
                <c:pt idx="0">
                  <c:v>2.4950099800399198E-2</c:v>
                </c:pt>
                <c:pt idx="1">
                  <c:v>0.25848303393213584</c:v>
                </c:pt>
                <c:pt idx="2">
                  <c:v>0.16999334664005344</c:v>
                </c:pt>
                <c:pt idx="3">
                  <c:v>6.9527611443779114E-2</c:v>
                </c:pt>
                <c:pt idx="4">
                  <c:v>0.25681969394544907</c:v>
                </c:pt>
                <c:pt idx="5">
                  <c:v>0.12874251497005987</c:v>
                </c:pt>
                <c:pt idx="6">
                  <c:v>7.8176979374584163E-2</c:v>
                </c:pt>
                <c:pt idx="7">
                  <c:v>1.330671989354624E-2</c:v>
                </c:pt>
              </c:numCache>
            </c:numRef>
          </c:val>
        </c:ser>
        <c:axId val="164904960"/>
        <c:axId val="164906496"/>
      </c:barChart>
      <c:catAx>
        <c:axId val="164904960"/>
        <c:scaling>
          <c:orientation val="minMax"/>
        </c:scaling>
        <c:axPos val="l"/>
        <c:majorGridlines/>
        <c:tickLblPos val="nextTo"/>
        <c:crossAx val="164906496"/>
        <c:crosses val="autoZero"/>
        <c:auto val="1"/>
        <c:lblAlgn val="ctr"/>
        <c:lblOffset val="100"/>
      </c:catAx>
      <c:valAx>
        <c:axId val="164906496"/>
        <c:scaling>
          <c:orientation val="minMax"/>
        </c:scaling>
        <c:axPos val="b"/>
        <c:majorGridlines/>
        <c:title>
          <c:tx>
            <c:rich>
              <a:bodyPr/>
              <a:lstStyle/>
              <a:p>
                <a:pPr>
                  <a:defRPr/>
                </a:pPr>
                <a:r>
                  <a:rPr lang="en-US"/>
                  <a:t>Percent of Program Total</a:t>
                </a:r>
              </a:p>
            </c:rich>
          </c:tx>
        </c:title>
        <c:numFmt formatCode="0%" sourceLinked="1"/>
        <c:tickLblPos val="nextTo"/>
        <c:crossAx val="164904960"/>
        <c:crosses val="autoZero"/>
        <c:crossBetween val="between"/>
      </c:val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barChart>
        <c:barDir val="bar"/>
        <c:grouping val="clustered"/>
        <c:ser>
          <c:idx val="0"/>
          <c:order val="0"/>
          <c:tx>
            <c:strRef>
              <c:f>'Event Impact by Industry'!$G$12</c:f>
              <c:strCache>
                <c:ptCount val="1"/>
                <c:pt idx="0">
                  <c:v>Percent of Load</c:v>
                </c:pt>
              </c:strCache>
            </c:strRef>
          </c:tx>
          <c:cat>
            <c:strRef>
              <c:f>'Event Impact by Industry'!$D$13:$D$19</c:f>
              <c:strCache>
                <c:ptCount val="7"/>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strCache>
            </c:strRef>
          </c:cat>
          <c:val>
            <c:numRef>
              <c:f>'Event Impact by Industry'!$G$13:$G$19</c:f>
              <c:numCache>
                <c:formatCode>0%</c:formatCode>
                <c:ptCount val="7"/>
                <c:pt idx="0">
                  <c:v>1.9506693351892371E-2</c:v>
                </c:pt>
                <c:pt idx="1">
                  <c:v>0.14015000890934967</c:v>
                </c:pt>
                <c:pt idx="2">
                  <c:v>0.10853590106465368</c:v>
                </c:pt>
                <c:pt idx="3">
                  <c:v>8.9662240126576767E-2</c:v>
                </c:pt>
                <c:pt idx="4">
                  <c:v>0.43809318977086364</c:v>
                </c:pt>
                <c:pt idx="5">
                  <c:v>9.8725864773202332E-2</c:v>
                </c:pt>
                <c:pt idx="6">
                  <c:v>0.10269905574378529</c:v>
                </c:pt>
              </c:numCache>
            </c:numRef>
          </c:val>
        </c:ser>
        <c:ser>
          <c:idx val="1"/>
          <c:order val="1"/>
          <c:tx>
            <c:strRef>
              <c:f>'Event Impact by Industry'!$H$12</c:f>
              <c:strCache>
                <c:ptCount val="1"/>
                <c:pt idx="0">
                  <c:v>Percent of Impacts</c:v>
                </c:pt>
              </c:strCache>
            </c:strRef>
          </c:tx>
          <c:cat>
            <c:strRef>
              <c:f>'Event Impact by Industry'!$D$13:$D$19</c:f>
              <c:strCache>
                <c:ptCount val="7"/>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strCache>
            </c:strRef>
          </c:cat>
          <c:val>
            <c:numRef>
              <c:f>'Event Impact by Industry'!$H$13:$H$19</c:f>
              <c:numCache>
                <c:formatCode>0%</c:formatCode>
                <c:ptCount val="7"/>
                <c:pt idx="0">
                  <c:v>0.15634190154900851</c:v>
                </c:pt>
                <c:pt idx="1">
                  <c:v>0.19067495395034817</c:v>
                </c:pt>
                <c:pt idx="2">
                  <c:v>0.28585033240135693</c:v>
                </c:pt>
                <c:pt idx="3">
                  <c:v>6.0478133602343803E-2</c:v>
                </c:pt>
                <c:pt idx="4">
                  <c:v>0.2865090471962628</c:v>
                </c:pt>
                <c:pt idx="5">
                  <c:v>0</c:v>
                </c:pt>
                <c:pt idx="6">
                  <c:v>5.3183926251522434E-2</c:v>
                </c:pt>
              </c:numCache>
            </c:numRef>
          </c:val>
        </c:ser>
        <c:ser>
          <c:idx val="2"/>
          <c:order val="2"/>
          <c:tx>
            <c:strRef>
              <c:f>'Event Impact by Industry'!$I$12</c:f>
              <c:strCache>
                <c:ptCount val="1"/>
                <c:pt idx="0">
                  <c:v>Percent of Customers</c:v>
                </c:pt>
              </c:strCache>
            </c:strRef>
          </c:tx>
          <c:cat>
            <c:strRef>
              <c:f>'Event Impact by Industry'!$D$13:$D$19</c:f>
              <c:strCache>
                <c:ptCount val="7"/>
                <c:pt idx="0">
                  <c:v>Agriculture, Mining &amp; Construction</c:v>
                </c:pt>
                <c:pt idx="1">
                  <c:v>Manufacturing</c:v>
                </c:pt>
                <c:pt idx="2">
                  <c:v>Wholesale, Transport &amp; Other Utilities</c:v>
                </c:pt>
                <c:pt idx="3">
                  <c:v>Retail Stores</c:v>
                </c:pt>
                <c:pt idx="4">
                  <c:v>Offices, Hotels, Finance, Services</c:v>
                </c:pt>
                <c:pt idx="5">
                  <c:v>Schools</c:v>
                </c:pt>
                <c:pt idx="6">
                  <c:v>Institutional/Government</c:v>
                </c:pt>
              </c:strCache>
            </c:strRef>
          </c:cat>
          <c:val>
            <c:numRef>
              <c:f>'Event Impact by Industry'!$I$13:$I$19</c:f>
              <c:numCache>
                <c:formatCode>0%</c:formatCode>
                <c:ptCount val="7"/>
                <c:pt idx="0">
                  <c:v>1.2374323279195671E-2</c:v>
                </c:pt>
                <c:pt idx="1">
                  <c:v>0.12761020881670534</c:v>
                </c:pt>
                <c:pt idx="2">
                  <c:v>0.18870843000773777</c:v>
                </c:pt>
                <c:pt idx="3">
                  <c:v>8.1206496519721574E-2</c:v>
                </c:pt>
                <c:pt idx="4">
                  <c:v>0.29389017788090255</c:v>
                </c:pt>
                <c:pt idx="5">
                  <c:v>0.17710750193348787</c:v>
                </c:pt>
                <c:pt idx="6">
                  <c:v>0.11910286156225842</c:v>
                </c:pt>
              </c:numCache>
            </c:numRef>
          </c:val>
        </c:ser>
        <c:axId val="164940416"/>
        <c:axId val="164942208"/>
      </c:barChart>
      <c:catAx>
        <c:axId val="164940416"/>
        <c:scaling>
          <c:orientation val="minMax"/>
        </c:scaling>
        <c:axPos val="l"/>
        <c:majorGridlines/>
        <c:tickLblPos val="nextTo"/>
        <c:crossAx val="164942208"/>
        <c:crosses val="autoZero"/>
        <c:auto val="1"/>
        <c:lblAlgn val="ctr"/>
        <c:lblOffset val="100"/>
      </c:catAx>
      <c:valAx>
        <c:axId val="164942208"/>
        <c:scaling>
          <c:orientation val="minMax"/>
        </c:scaling>
        <c:axPos val="b"/>
        <c:majorGridlines/>
        <c:title>
          <c:tx>
            <c:rich>
              <a:bodyPr/>
              <a:lstStyle/>
              <a:p>
                <a:pPr>
                  <a:defRPr/>
                </a:pPr>
                <a:r>
                  <a:rPr lang="en-US"/>
                  <a:t>Percent of Program Total</a:t>
                </a:r>
              </a:p>
            </c:rich>
          </c:tx>
        </c:title>
        <c:numFmt formatCode="0%" sourceLinked="1"/>
        <c:tickLblPos val="nextTo"/>
        <c:crossAx val="164940416"/>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'Out-of-Sample Tests'!$B$41</c:f>
              <c:strCache>
                <c:ptCount val="1"/>
                <c:pt idx="0">
                  <c:v>Actual kW</c:v>
                </c:pt>
              </c:strCache>
            </c:strRef>
          </c:tx>
          <c:spPr>
            <a:ln>
              <a:solidFill>
                <a:srgbClr val="003366"/>
              </a:solidFill>
            </a:ln>
          </c:spPr>
          <c:marker>
            <c:symbol val="circle"/>
            <c:size val="5"/>
            <c:spPr>
              <a:solidFill>
                <a:schemeClr val="bg1"/>
              </a:solidFill>
              <a:ln w="12700">
                <a:solidFill>
                  <a:srgbClr val="003366"/>
                </a:solidFill>
              </a:ln>
            </c:spPr>
          </c:marker>
          <c:val>
            <c:numRef>
              <c:f>'Out-of-Sample Tests'!$B$42:$B$65</c:f>
              <c:numCache>
                <c:formatCode>0.00</c:formatCode>
                <c:ptCount val="24"/>
                <c:pt idx="0">
                  <c:v>186.03369999999998</c:v>
                </c:pt>
                <c:pt idx="1">
                  <c:v>181.58969999999999</c:v>
                </c:pt>
                <c:pt idx="2">
                  <c:v>178.8896</c:v>
                </c:pt>
                <c:pt idx="3">
                  <c:v>180.08070000000001</c:v>
                </c:pt>
                <c:pt idx="4">
                  <c:v>190.25530000000001</c:v>
                </c:pt>
                <c:pt idx="5">
                  <c:v>207.74409999999995</c:v>
                </c:pt>
                <c:pt idx="6">
                  <c:v>235.67299999999997</c:v>
                </c:pt>
                <c:pt idx="7">
                  <c:v>261.37979999999999</c:v>
                </c:pt>
                <c:pt idx="8">
                  <c:v>279.86020000000002</c:v>
                </c:pt>
                <c:pt idx="9">
                  <c:v>294.81060000000002</c:v>
                </c:pt>
                <c:pt idx="10">
                  <c:v>307.32420000000002</c:v>
                </c:pt>
                <c:pt idx="11">
                  <c:v>310.30919999999969</c:v>
                </c:pt>
                <c:pt idx="12">
                  <c:v>309.01369999999969</c:v>
                </c:pt>
                <c:pt idx="13">
                  <c:v>310.80549999999999</c:v>
                </c:pt>
                <c:pt idx="14">
                  <c:v>306.91989999999993</c:v>
                </c:pt>
                <c:pt idx="15">
                  <c:v>296.09099999999899</c:v>
                </c:pt>
                <c:pt idx="16">
                  <c:v>282.04329999999999</c:v>
                </c:pt>
                <c:pt idx="17">
                  <c:v>265.28209999999899</c:v>
                </c:pt>
                <c:pt idx="18">
                  <c:v>246.31100000000001</c:v>
                </c:pt>
                <c:pt idx="19">
                  <c:v>237.37569999999999</c:v>
                </c:pt>
                <c:pt idx="20">
                  <c:v>230.88530000000227</c:v>
                </c:pt>
                <c:pt idx="21">
                  <c:v>218.82100000000167</c:v>
                </c:pt>
                <c:pt idx="22">
                  <c:v>207.50040000000001</c:v>
                </c:pt>
                <c:pt idx="23">
                  <c:v>198.9751</c:v>
                </c:pt>
              </c:numCache>
            </c:numRef>
          </c:val>
        </c:ser>
        <c:ser>
          <c:idx val="1"/>
          <c:order val="1"/>
          <c:tx>
            <c:strRef>
              <c:f>'Out-of-Sample Tests'!$C$41</c:f>
              <c:strCache>
                <c:ptCount val="1"/>
                <c:pt idx="0">
                  <c:v>Predicted kW</c:v>
                </c:pt>
              </c:strCache>
            </c:strRef>
          </c:tx>
          <c:spPr>
            <a:ln>
              <a:solidFill>
                <a:srgbClr val="003366"/>
              </a:solidFill>
              <a:prstDash val="dash"/>
            </a:ln>
          </c:spPr>
          <c:marker>
            <c:symbol val="none"/>
          </c:marker>
          <c:val>
            <c:numRef>
              <c:f>'Out-of-Sample Tests'!$C$42:$C$65</c:f>
              <c:numCache>
                <c:formatCode>0.00</c:formatCode>
                <c:ptCount val="24"/>
                <c:pt idx="0">
                  <c:v>183.00710000000001</c:v>
                </c:pt>
                <c:pt idx="1">
                  <c:v>178.7988</c:v>
                </c:pt>
                <c:pt idx="2">
                  <c:v>176.69449999999998</c:v>
                </c:pt>
                <c:pt idx="3">
                  <c:v>176.69359999999998</c:v>
                </c:pt>
                <c:pt idx="4">
                  <c:v>185.27869999999999</c:v>
                </c:pt>
                <c:pt idx="5">
                  <c:v>201.78389999999999</c:v>
                </c:pt>
                <c:pt idx="6">
                  <c:v>226.91130000000001</c:v>
                </c:pt>
                <c:pt idx="7">
                  <c:v>251.24779999999998</c:v>
                </c:pt>
                <c:pt idx="8">
                  <c:v>272.49389999999869</c:v>
                </c:pt>
                <c:pt idx="9">
                  <c:v>288.99019999999263</c:v>
                </c:pt>
                <c:pt idx="10">
                  <c:v>302.4674</c:v>
                </c:pt>
                <c:pt idx="11">
                  <c:v>306.22509999999869</c:v>
                </c:pt>
                <c:pt idx="12">
                  <c:v>305.63200000000001</c:v>
                </c:pt>
                <c:pt idx="13">
                  <c:v>308.0641</c:v>
                </c:pt>
                <c:pt idx="14">
                  <c:v>303.8005</c:v>
                </c:pt>
                <c:pt idx="15">
                  <c:v>293.09179999999623</c:v>
                </c:pt>
                <c:pt idx="16">
                  <c:v>278.98309999999663</c:v>
                </c:pt>
                <c:pt idx="17">
                  <c:v>261.80770000000001</c:v>
                </c:pt>
                <c:pt idx="18">
                  <c:v>243.68900000000002</c:v>
                </c:pt>
                <c:pt idx="19">
                  <c:v>234.45860000000027</c:v>
                </c:pt>
                <c:pt idx="20">
                  <c:v>226.83700000000007</c:v>
                </c:pt>
                <c:pt idx="21">
                  <c:v>215.39090000000004</c:v>
                </c:pt>
                <c:pt idx="22">
                  <c:v>204.26929999999999</c:v>
                </c:pt>
                <c:pt idx="23">
                  <c:v>195.20439999999999</c:v>
                </c:pt>
              </c:numCache>
            </c:numRef>
          </c:val>
        </c:ser>
        <c:marker val="1"/>
        <c:axId val="167643776"/>
        <c:axId val="167662336"/>
      </c:lineChart>
      <c:catAx>
        <c:axId val="167643776"/>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838"/>
              <c:y val="0.90871665432064896"/>
            </c:manualLayout>
          </c:layout>
        </c:title>
        <c:tickLblPos val="nextTo"/>
        <c:txPr>
          <a:bodyPr/>
          <a:lstStyle/>
          <a:p>
            <a:pPr>
              <a:defRPr>
                <a:latin typeface="Arial" pitchFamily="34" charset="0"/>
                <a:cs typeface="Arial" pitchFamily="34" charset="0"/>
              </a:defRPr>
            </a:pPr>
            <a:endParaRPr lang="en-US"/>
          </a:p>
        </c:txPr>
        <c:crossAx val="167662336"/>
        <c:crosses val="autoZero"/>
        <c:auto val="1"/>
        <c:lblAlgn val="ctr"/>
        <c:lblOffset val="100"/>
      </c:catAx>
      <c:valAx>
        <c:axId val="167662336"/>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51"/>
            </c:manualLayout>
          </c:layout>
        </c:title>
        <c:numFmt formatCode="#,##0" sourceLinked="0"/>
        <c:tickLblPos val="nextTo"/>
        <c:txPr>
          <a:bodyPr/>
          <a:lstStyle/>
          <a:p>
            <a:pPr>
              <a:defRPr>
                <a:latin typeface="Arial" pitchFamily="34" charset="0"/>
                <a:cs typeface="Arial" pitchFamily="34" charset="0"/>
              </a:defRPr>
            </a:pPr>
            <a:endParaRPr lang="en-US"/>
          </a:p>
        </c:txPr>
        <c:crossAx val="167643776"/>
        <c:crosses val="autoZero"/>
        <c:crossBetween val="between"/>
      </c:valAx>
      <c:spPr>
        <a:ln>
          <a:solidFill>
            <a:schemeClr val="tx1"/>
          </a:solidFill>
        </a:ln>
      </c:spPr>
    </c:plotArea>
    <c:legend>
      <c:legendPos val="t"/>
      <c:layout>
        <c:manualLayout>
          <c:xMode val="edge"/>
          <c:yMode val="edge"/>
          <c:x val="0.13972272866293911"/>
          <c:y val="3.7166085946573842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solidFill>
      <a:schemeClr val="bg1"/>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Sheet3!$D$2</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Sheet3!$D$3:$D$26</c:f>
              <c:numCache>
                <c:formatCode>General</c:formatCode>
                <c:ptCount val="24"/>
                <c:pt idx="0">
                  <c:v>175.27509999999998</c:v>
                </c:pt>
                <c:pt idx="1">
                  <c:v>171.05090000000001</c:v>
                </c:pt>
                <c:pt idx="2">
                  <c:v>167.88080000000087</c:v>
                </c:pt>
                <c:pt idx="3">
                  <c:v>168.39810000000207</c:v>
                </c:pt>
                <c:pt idx="4">
                  <c:v>176.16850000000002</c:v>
                </c:pt>
                <c:pt idx="5">
                  <c:v>193.5087</c:v>
                </c:pt>
                <c:pt idx="6">
                  <c:v>218.20529999999999</c:v>
                </c:pt>
                <c:pt idx="7">
                  <c:v>241.28059999999999</c:v>
                </c:pt>
                <c:pt idx="8">
                  <c:v>260.84269999999998</c:v>
                </c:pt>
                <c:pt idx="9">
                  <c:v>276.97819999999138</c:v>
                </c:pt>
                <c:pt idx="10">
                  <c:v>291.07549999999969</c:v>
                </c:pt>
                <c:pt idx="11">
                  <c:v>293.28059999999869</c:v>
                </c:pt>
                <c:pt idx="12">
                  <c:v>289.31450000000001</c:v>
                </c:pt>
                <c:pt idx="13">
                  <c:v>292.88889999999969</c:v>
                </c:pt>
                <c:pt idx="14">
                  <c:v>288.80340000000001</c:v>
                </c:pt>
                <c:pt idx="15">
                  <c:v>276.89169999999899</c:v>
                </c:pt>
                <c:pt idx="16">
                  <c:v>261.54109999999969</c:v>
                </c:pt>
                <c:pt idx="17">
                  <c:v>242.92850000000001</c:v>
                </c:pt>
                <c:pt idx="18">
                  <c:v>226.88810000000313</c:v>
                </c:pt>
                <c:pt idx="19">
                  <c:v>218.77259999999998</c:v>
                </c:pt>
                <c:pt idx="20">
                  <c:v>211.30100000000004</c:v>
                </c:pt>
                <c:pt idx="21">
                  <c:v>201.93840000000247</c:v>
                </c:pt>
                <c:pt idx="22">
                  <c:v>192.4717</c:v>
                </c:pt>
                <c:pt idx="23">
                  <c:v>183.72319999999999</c:v>
                </c:pt>
              </c:numCache>
            </c:numRef>
          </c:val>
        </c:ser>
        <c:ser>
          <c:idx val="1"/>
          <c:order val="1"/>
          <c:tx>
            <c:strRef>
              <c:f>Sheet3!$E$2</c:f>
              <c:strCache>
                <c:ptCount val="1"/>
                <c:pt idx="0">
                  <c:v>Treatment</c:v>
                </c:pt>
              </c:strCache>
            </c:strRef>
          </c:tx>
          <c:spPr>
            <a:ln>
              <a:solidFill>
                <a:srgbClr val="003366"/>
              </a:solidFill>
              <a:prstDash val="dash"/>
            </a:ln>
          </c:spPr>
          <c:marker>
            <c:symbol val="none"/>
          </c:marker>
          <c:val>
            <c:numRef>
              <c:f>Sheet3!$E$3:$E$26</c:f>
              <c:numCache>
                <c:formatCode>General</c:formatCode>
                <c:ptCount val="24"/>
                <c:pt idx="0">
                  <c:v>176.75449999999998</c:v>
                </c:pt>
                <c:pt idx="1">
                  <c:v>172.41120000000001</c:v>
                </c:pt>
                <c:pt idx="2">
                  <c:v>168.79969999999992</c:v>
                </c:pt>
                <c:pt idx="3">
                  <c:v>170.08180000000004</c:v>
                </c:pt>
                <c:pt idx="4">
                  <c:v>178.2362</c:v>
                </c:pt>
                <c:pt idx="5">
                  <c:v>195.88890000000302</c:v>
                </c:pt>
                <c:pt idx="6">
                  <c:v>221.06399999999999</c:v>
                </c:pt>
                <c:pt idx="7">
                  <c:v>244.37349999999998</c:v>
                </c:pt>
                <c:pt idx="8">
                  <c:v>264.09719999999669</c:v>
                </c:pt>
                <c:pt idx="9">
                  <c:v>279.185</c:v>
                </c:pt>
                <c:pt idx="10">
                  <c:v>293.65600000000001</c:v>
                </c:pt>
                <c:pt idx="11">
                  <c:v>295.94299999999993</c:v>
                </c:pt>
                <c:pt idx="12">
                  <c:v>293.02159999999623</c:v>
                </c:pt>
                <c:pt idx="13">
                  <c:v>296.16989999999998</c:v>
                </c:pt>
                <c:pt idx="14">
                  <c:v>291.86239999999964</c:v>
                </c:pt>
                <c:pt idx="15">
                  <c:v>278.98629999999247</c:v>
                </c:pt>
                <c:pt idx="16">
                  <c:v>263.80849999999964</c:v>
                </c:pt>
                <c:pt idx="17">
                  <c:v>244.96210000000067</c:v>
                </c:pt>
                <c:pt idx="18">
                  <c:v>227.66630000000001</c:v>
                </c:pt>
                <c:pt idx="19">
                  <c:v>219.70740000000001</c:v>
                </c:pt>
                <c:pt idx="20">
                  <c:v>212.33070000000001</c:v>
                </c:pt>
                <c:pt idx="21">
                  <c:v>202.27879999999999</c:v>
                </c:pt>
                <c:pt idx="22">
                  <c:v>192.893</c:v>
                </c:pt>
                <c:pt idx="23">
                  <c:v>184.64179999999999</c:v>
                </c:pt>
              </c:numCache>
            </c:numRef>
          </c:val>
        </c:ser>
        <c:marker val="1"/>
        <c:axId val="167691776"/>
        <c:axId val="167693696"/>
      </c:lineChart>
      <c:catAx>
        <c:axId val="167691776"/>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894"/>
              <c:y val="0.90871665432064896"/>
            </c:manualLayout>
          </c:layout>
        </c:title>
        <c:tickLblPos val="nextTo"/>
        <c:txPr>
          <a:bodyPr/>
          <a:lstStyle/>
          <a:p>
            <a:pPr>
              <a:defRPr>
                <a:latin typeface="Arial" pitchFamily="34" charset="0"/>
                <a:cs typeface="Arial" pitchFamily="34" charset="0"/>
              </a:defRPr>
            </a:pPr>
            <a:endParaRPr lang="en-US"/>
          </a:p>
        </c:txPr>
        <c:crossAx val="167693696"/>
        <c:crosses val="autoZero"/>
        <c:auto val="1"/>
        <c:lblAlgn val="ctr"/>
        <c:lblOffset val="100"/>
      </c:catAx>
      <c:valAx>
        <c:axId val="167693696"/>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73"/>
            </c:manualLayout>
          </c:layout>
        </c:title>
        <c:numFmt formatCode="#,##0" sourceLinked="0"/>
        <c:tickLblPos val="nextTo"/>
        <c:txPr>
          <a:bodyPr/>
          <a:lstStyle/>
          <a:p>
            <a:pPr>
              <a:defRPr>
                <a:latin typeface="Arial" pitchFamily="34" charset="0"/>
                <a:cs typeface="Arial" pitchFamily="34" charset="0"/>
              </a:defRPr>
            </a:pPr>
            <a:endParaRPr lang="en-US"/>
          </a:p>
        </c:txPr>
        <c:crossAx val="167691776"/>
        <c:crosses val="autoZero"/>
        <c:crossBetween val="between"/>
      </c:valAx>
      <c:spPr>
        <a:ln>
          <a:solidFill>
            <a:schemeClr val="tx1"/>
          </a:solidFill>
        </a:ln>
      </c:spPr>
    </c:plotArea>
    <c:legend>
      <c:legendPos val="t"/>
      <c:layout>
        <c:manualLayout>
          <c:xMode val="edge"/>
          <c:yMode val="edge"/>
          <c:x val="0.13972272866293911"/>
          <c:y val="3.7166085946573758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Sheet2!$E$2</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Sheet2!$E$3:$E$26</c:f>
              <c:numCache>
                <c:formatCode>General</c:formatCode>
                <c:ptCount val="24"/>
                <c:pt idx="0">
                  <c:v>169.91890000000001</c:v>
                </c:pt>
                <c:pt idx="1">
                  <c:v>167.19309999999999</c:v>
                </c:pt>
                <c:pt idx="2">
                  <c:v>164.34210000000004</c:v>
                </c:pt>
                <c:pt idx="3">
                  <c:v>165.1422</c:v>
                </c:pt>
                <c:pt idx="4">
                  <c:v>174.5334</c:v>
                </c:pt>
                <c:pt idx="5">
                  <c:v>192.39510000000001</c:v>
                </c:pt>
                <c:pt idx="6">
                  <c:v>217.91200000000001</c:v>
                </c:pt>
                <c:pt idx="7">
                  <c:v>241.35860000000127</c:v>
                </c:pt>
                <c:pt idx="8">
                  <c:v>265.55669999999969</c:v>
                </c:pt>
                <c:pt idx="9">
                  <c:v>280.91860000000003</c:v>
                </c:pt>
                <c:pt idx="10">
                  <c:v>295.86930000000001</c:v>
                </c:pt>
                <c:pt idx="11">
                  <c:v>299.101</c:v>
                </c:pt>
                <c:pt idx="12">
                  <c:v>297.76139999999663</c:v>
                </c:pt>
                <c:pt idx="13">
                  <c:v>301.23699999999207</c:v>
                </c:pt>
                <c:pt idx="14">
                  <c:v>296.16640000000001</c:v>
                </c:pt>
                <c:pt idx="15">
                  <c:v>282.98219999999623</c:v>
                </c:pt>
                <c:pt idx="16">
                  <c:v>268.26429999999999</c:v>
                </c:pt>
                <c:pt idx="17">
                  <c:v>248.70830000000001</c:v>
                </c:pt>
                <c:pt idx="18">
                  <c:v>231.78059999999999</c:v>
                </c:pt>
                <c:pt idx="19">
                  <c:v>222.88840000000448</c:v>
                </c:pt>
                <c:pt idx="20">
                  <c:v>215.64339999999999</c:v>
                </c:pt>
                <c:pt idx="21">
                  <c:v>204.45020000000127</c:v>
                </c:pt>
                <c:pt idx="22">
                  <c:v>195.10820000000001</c:v>
                </c:pt>
                <c:pt idx="23">
                  <c:v>185.53549999999998</c:v>
                </c:pt>
              </c:numCache>
            </c:numRef>
          </c:val>
        </c:ser>
        <c:ser>
          <c:idx val="1"/>
          <c:order val="1"/>
          <c:tx>
            <c:strRef>
              <c:f>Sheet2!$F$2</c:f>
              <c:strCache>
                <c:ptCount val="1"/>
                <c:pt idx="0">
                  <c:v>Treatment</c:v>
                </c:pt>
              </c:strCache>
            </c:strRef>
          </c:tx>
          <c:spPr>
            <a:ln>
              <a:solidFill>
                <a:srgbClr val="003366"/>
              </a:solidFill>
              <a:prstDash val="dash"/>
            </a:ln>
          </c:spPr>
          <c:marker>
            <c:symbol val="none"/>
          </c:marker>
          <c:val>
            <c:numRef>
              <c:f>Sheet2!$F$3:$F$26</c:f>
              <c:numCache>
                <c:formatCode>General</c:formatCode>
                <c:ptCount val="24"/>
                <c:pt idx="0">
                  <c:v>172.22120000000001</c:v>
                </c:pt>
                <c:pt idx="1">
                  <c:v>168.44299999999998</c:v>
                </c:pt>
                <c:pt idx="2">
                  <c:v>165.43280000000001</c:v>
                </c:pt>
                <c:pt idx="3">
                  <c:v>167.73979999999995</c:v>
                </c:pt>
                <c:pt idx="4">
                  <c:v>177.42640000000227</c:v>
                </c:pt>
                <c:pt idx="5">
                  <c:v>196.82560000000001</c:v>
                </c:pt>
                <c:pt idx="6">
                  <c:v>223.90880000000001</c:v>
                </c:pt>
                <c:pt idx="7">
                  <c:v>248.3185</c:v>
                </c:pt>
                <c:pt idx="8">
                  <c:v>269.34179999999969</c:v>
                </c:pt>
                <c:pt idx="9">
                  <c:v>284.78919999999869</c:v>
                </c:pt>
                <c:pt idx="10">
                  <c:v>300.12700000000001</c:v>
                </c:pt>
                <c:pt idx="11">
                  <c:v>302.09269999999964</c:v>
                </c:pt>
                <c:pt idx="12">
                  <c:v>297.95329999999899</c:v>
                </c:pt>
                <c:pt idx="13">
                  <c:v>296.30290000000002</c:v>
                </c:pt>
                <c:pt idx="14">
                  <c:v>279.11790000000002</c:v>
                </c:pt>
                <c:pt idx="15">
                  <c:v>266.90329999999869</c:v>
                </c:pt>
                <c:pt idx="16">
                  <c:v>252.58830000000285</c:v>
                </c:pt>
                <c:pt idx="17">
                  <c:v>234.33350000000002</c:v>
                </c:pt>
                <c:pt idx="18">
                  <c:v>222.75290000000001</c:v>
                </c:pt>
                <c:pt idx="19">
                  <c:v>217.64009999999999</c:v>
                </c:pt>
                <c:pt idx="20">
                  <c:v>211.98090000000047</c:v>
                </c:pt>
                <c:pt idx="21">
                  <c:v>202.13750000000002</c:v>
                </c:pt>
                <c:pt idx="22">
                  <c:v>192.74429999999998</c:v>
                </c:pt>
                <c:pt idx="23">
                  <c:v>185.44240000000067</c:v>
                </c:pt>
              </c:numCache>
            </c:numRef>
          </c:val>
        </c:ser>
        <c:marker val="1"/>
        <c:axId val="168250752"/>
        <c:axId val="168265216"/>
      </c:lineChart>
      <c:catAx>
        <c:axId val="168250752"/>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916"/>
              <c:y val="0.90871665432064896"/>
            </c:manualLayout>
          </c:layout>
        </c:title>
        <c:tickLblPos val="nextTo"/>
        <c:txPr>
          <a:bodyPr/>
          <a:lstStyle/>
          <a:p>
            <a:pPr>
              <a:defRPr>
                <a:latin typeface="Arial" pitchFamily="34" charset="0"/>
                <a:cs typeface="Arial" pitchFamily="34" charset="0"/>
              </a:defRPr>
            </a:pPr>
            <a:endParaRPr lang="en-US"/>
          </a:p>
        </c:txPr>
        <c:crossAx val="168265216"/>
        <c:crosses val="autoZero"/>
        <c:auto val="1"/>
        <c:lblAlgn val="ctr"/>
        <c:lblOffset val="100"/>
      </c:catAx>
      <c:valAx>
        <c:axId val="168265216"/>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078"/>
            </c:manualLayout>
          </c:layout>
        </c:title>
        <c:numFmt formatCode="#,##0" sourceLinked="0"/>
        <c:tickLblPos val="nextTo"/>
        <c:txPr>
          <a:bodyPr/>
          <a:lstStyle/>
          <a:p>
            <a:pPr>
              <a:defRPr>
                <a:latin typeface="Arial" pitchFamily="34" charset="0"/>
                <a:cs typeface="Arial" pitchFamily="34" charset="0"/>
              </a:defRPr>
            </a:pPr>
            <a:endParaRPr lang="en-US"/>
          </a:p>
        </c:txPr>
        <c:crossAx val="168250752"/>
        <c:crosses val="autoZero"/>
        <c:crossBetween val="between"/>
      </c:valAx>
      <c:spPr>
        <a:ln>
          <a:solidFill>
            <a:schemeClr val="tx1"/>
          </a:solidFill>
        </a:ln>
      </c:spPr>
    </c:plotArea>
    <c:legend>
      <c:legendPos val="t"/>
      <c:layout>
        <c:manualLayout>
          <c:xMode val="edge"/>
          <c:yMode val="edge"/>
          <c:x val="0.13972272866293911"/>
          <c:y val="3.7166085946573758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'In-Sample Validation'!$L$3</c:f>
              <c:strCache>
                <c:ptCount val="1"/>
                <c:pt idx="0">
                  <c:v>Actual kW</c:v>
                </c:pt>
              </c:strCache>
            </c:strRef>
          </c:tx>
          <c:spPr>
            <a:ln>
              <a:solidFill>
                <a:srgbClr val="003366"/>
              </a:solidFill>
            </a:ln>
          </c:spPr>
          <c:marker>
            <c:symbol val="circle"/>
            <c:size val="5"/>
            <c:spPr>
              <a:solidFill>
                <a:schemeClr val="bg1"/>
              </a:solidFill>
              <a:ln w="12700">
                <a:solidFill>
                  <a:srgbClr val="003366"/>
                </a:solidFill>
              </a:ln>
            </c:spPr>
          </c:marker>
          <c:cat>
            <c:numRef>
              <c:f>'In-Sample Validation'!$K$4:$K$32</c:f>
              <c:numCache>
                <c:formatCode>General</c:formatCode>
                <c:ptCount val="29"/>
                <c:pt idx="0">
                  <c:v>70</c:v>
                </c:pt>
                <c:pt idx="1">
                  <c:v>71</c:v>
                </c:pt>
                <c:pt idx="2">
                  <c:v>72</c:v>
                </c:pt>
                <c:pt idx="3">
                  <c:v>73</c:v>
                </c:pt>
                <c:pt idx="4">
                  <c:v>74</c:v>
                </c:pt>
                <c:pt idx="5">
                  <c:v>75</c:v>
                </c:pt>
                <c:pt idx="6">
                  <c:v>76</c:v>
                </c:pt>
                <c:pt idx="7">
                  <c:v>77</c:v>
                </c:pt>
                <c:pt idx="8">
                  <c:v>78</c:v>
                </c:pt>
                <c:pt idx="9">
                  <c:v>79</c:v>
                </c:pt>
                <c:pt idx="10">
                  <c:v>80</c:v>
                </c:pt>
                <c:pt idx="11">
                  <c:v>81</c:v>
                </c:pt>
                <c:pt idx="12">
                  <c:v>82</c:v>
                </c:pt>
                <c:pt idx="13">
                  <c:v>83</c:v>
                </c:pt>
                <c:pt idx="14">
                  <c:v>84</c:v>
                </c:pt>
                <c:pt idx="15">
                  <c:v>85</c:v>
                </c:pt>
                <c:pt idx="16">
                  <c:v>86</c:v>
                </c:pt>
                <c:pt idx="17">
                  <c:v>87</c:v>
                </c:pt>
                <c:pt idx="18">
                  <c:v>88</c:v>
                </c:pt>
                <c:pt idx="19">
                  <c:v>89</c:v>
                </c:pt>
                <c:pt idx="20">
                  <c:v>90</c:v>
                </c:pt>
                <c:pt idx="21">
                  <c:v>91</c:v>
                </c:pt>
                <c:pt idx="22">
                  <c:v>92</c:v>
                </c:pt>
                <c:pt idx="23">
                  <c:v>93</c:v>
                </c:pt>
                <c:pt idx="24">
                  <c:v>94</c:v>
                </c:pt>
                <c:pt idx="25">
                  <c:v>95</c:v>
                </c:pt>
                <c:pt idx="26">
                  <c:v>96</c:v>
                </c:pt>
                <c:pt idx="27">
                  <c:v>98</c:v>
                </c:pt>
                <c:pt idx="28">
                  <c:v>99</c:v>
                </c:pt>
              </c:numCache>
            </c:numRef>
          </c:cat>
          <c:val>
            <c:numRef>
              <c:f>'In-Sample Validation'!$L$4:$L$32</c:f>
              <c:numCache>
                <c:formatCode>General</c:formatCode>
                <c:ptCount val="29"/>
                <c:pt idx="0">
                  <c:v>225.70159999999998</c:v>
                </c:pt>
                <c:pt idx="1">
                  <c:v>231.25200000000001</c:v>
                </c:pt>
                <c:pt idx="2">
                  <c:v>236.46010000000001</c:v>
                </c:pt>
                <c:pt idx="3">
                  <c:v>232.96880000000004</c:v>
                </c:pt>
                <c:pt idx="4">
                  <c:v>236.238</c:v>
                </c:pt>
                <c:pt idx="5">
                  <c:v>241.31440000000001</c:v>
                </c:pt>
                <c:pt idx="6">
                  <c:v>243.1789</c:v>
                </c:pt>
                <c:pt idx="7">
                  <c:v>244.02600000000001</c:v>
                </c:pt>
                <c:pt idx="8">
                  <c:v>242.98690000000047</c:v>
                </c:pt>
                <c:pt idx="9">
                  <c:v>247.3768</c:v>
                </c:pt>
                <c:pt idx="10">
                  <c:v>249.33740000000236</c:v>
                </c:pt>
                <c:pt idx="11">
                  <c:v>258.07100000000003</c:v>
                </c:pt>
                <c:pt idx="12">
                  <c:v>251.88290000000251</c:v>
                </c:pt>
                <c:pt idx="13">
                  <c:v>253.92660000000001</c:v>
                </c:pt>
                <c:pt idx="14">
                  <c:v>255.29769999999999</c:v>
                </c:pt>
                <c:pt idx="15">
                  <c:v>255.74389999999912</c:v>
                </c:pt>
                <c:pt idx="16">
                  <c:v>267.04379999999969</c:v>
                </c:pt>
                <c:pt idx="17">
                  <c:v>264.26589999999999</c:v>
                </c:pt>
                <c:pt idx="18">
                  <c:v>270.57159999999863</c:v>
                </c:pt>
                <c:pt idx="19">
                  <c:v>277.47169999999869</c:v>
                </c:pt>
                <c:pt idx="20">
                  <c:v>281.69349999999969</c:v>
                </c:pt>
                <c:pt idx="21">
                  <c:v>301.35789999999997</c:v>
                </c:pt>
                <c:pt idx="22">
                  <c:v>275.67869999999999</c:v>
                </c:pt>
                <c:pt idx="23">
                  <c:v>279.87049999999999</c:v>
                </c:pt>
                <c:pt idx="24">
                  <c:v>277.53549999999899</c:v>
                </c:pt>
                <c:pt idx="25">
                  <c:v>316.35050000000001</c:v>
                </c:pt>
                <c:pt idx="26">
                  <c:v>357.1223</c:v>
                </c:pt>
                <c:pt idx="27">
                  <c:v>375.5034</c:v>
                </c:pt>
                <c:pt idx="28">
                  <c:v>374.93149999999366</c:v>
                </c:pt>
              </c:numCache>
            </c:numRef>
          </c:val>
        </c:ser>
        <c:ser>
          <c:idx val="1"/>
          <c:order val="1"/>
          <c:tx>
            <c:strRef>
              <c:f>'In-Sample Validation'!$M$3</c:f>
              <c:strCache>
                <c:ptCount val="1"/>
                <c:pt idx="0">
                  <c:v>Predicted kW</c:v>
                </c:pt>
              </c:strCache>
            </c:strRef>
          </c:tx>
          <c:spPr>
            <a:ln>
              <a:solidFill>
                <a:srgbClr val="003366"/>
              </a:solidFill>
              <a:prstDash val="dash"/>
            </a:ln>
          </c:spPr>
          <c:marker>
            <c:symbol val="none"/>
          </c:marker>
          <c:cat>
            <c:numRef>
              <c:f>'In-Sample Validation'!$K$4:$K$32</c:f>
              <c:numCache>
                <c:formatCode>General</c:formatCode>
                <c:ptCount val="29"/>
                <c:pt idx="0">
                  <c:v>70</c:v>
                </c:pt>
                <c:pt idx="1">
                  <c:v>71</c:v>
                </c:pt>
                <c:pt idx="2">
                  <c:v>72</c:v>
                </c:pt>
                <c:pt idx="3">
                  <c:v>73</c:v>
                </c:pt>
                <c:pt idx="4">
                  <c:v>74</c:v>
                </c:pt>
                <c:pt idx="5">
                  <c:v>75</c:v>
                </c:pt>
                <c:pt idx="6">
                  <c:v>76</c:v>
                </c:pt>
                <c:pt idx="7">
                  <c:v>77</c:v>
                </c:pt>
                <c:pt idx="8">
                  <c:v>78</c:v>
                </c:pt>
                <c:pt idx="9">
                  <c:v>79</c:v>
                </c:pt>
                <c:pt idx="10">
                  <c:v>80</c:v>
                </c:pt>
                <c:pt idx="11">
                  <c:v>81</c:v>
                </c:pt>
                <c:pt idx="12">
                  <c:v>82</c:v>
                </c:pt>
                <c:pt idx="13">
                  <c:v>83</c:v>
                </c:pt>
                <c:pt idx="14">
                  <c:v>84</c:v>
                </c:pt>
                <c:pt idx="15">
                  <c:v>85</c:v>
                </c:pt>
                <c:pt idx="16">
                  <c:v>86</c:v>
                </c:pt>
                <c:pt idx="17">
                  <c:v>87</c:v>
                </c:pt>
                <c:pt idx="18">
                  <c:v>88</c:v>
                </c:pt>
                <c:pt idx="19">
                  <c:v>89</c:v>
                </c:pt>
                <c:pt idx="20">
                  <c:v>90</c:v>
                </c:pt>
                <c:pt idx="21">
                  <c:v>91</c:v>
                </c:pt>
                <c:pt idx="22">
                  <c:v>92</c:v>
                </c:pt>
                <c:pt idx="23">
                  <c:v>93</c:v>
                </c:pt>
                <c:pt idx="24">
                  <c:v>94</c:v>
                </c:pt>
                <c:pt idx="25">
                  <c:v>95</c:v>
                </c:pt>
                <c:pt idx="26">
                  <c:v>96</c:v>
                </c:pt>
                <c:pt idx="27">
                  <c:v>98</c:v>
                </c:pt>
                <c:pt idx="28">
                  <c:v>99</c:v>
                </c:pt>
              </c:numCache>
            </c:numRef>
          </c:cat>
          <c:val>
            <c:numRef>
              <c:f>'In-Sample Validation'!$M$4:$M$32</c:f>
              <c:numCache>
                <c:formatCode>General</c:formatCode>
                <c:ptCount val="29"/>
                <c:pt idx="0">
                  <c:v>224.95320000000001</c:v>
                </c:pt>
                <c:pt idx="1">
                  <c:v>230.13649999999998</c:v>
                </c:pt>
                <c:pt idx="2">
                  <c:v>236.08100000000007</c:v>
                </c:pt>
                <c:pt idx="3">
                  <c:v>231.38100000000227</c:v>
                </c:pt>
                <c:pt idx="4">
                  <c:v>235.21489999999972</c:v>
                </c:pt>
                <c:pt idx="5">
                  <c:v>240.08630000000107</c:v>
                </c:pt>
                <c:pt idx="6">
                  <c:v>241.95040000000233</c:v>
                </c:pt>
                <c:pt idx="7">
                  <c:v>242.58350000000002</c:v>
                </c:pt>
                <c:pt idx="8">
                  <c:v>241.37880000000001</c:v>
                </c:pt>
                <c:pt idx="9">
                  <c:v>245.0239</c:v>
                </c:pt>
                <c:pt idx="10">
                  <c:v>246.05250000000001</c:v>
                </c:pt>
                <c:pt idx="11">
                  <c:v>254.755</c:v>
                </c:pt>
                <c:pt idx="12">
                  <c:v>248.88980000000001</c:v>
                </c:pt>
                <c:pt idx="13">
                  <c:v>251.6669</c:v>
                </c:pt>
                <c:pt idx="14">
                  <c:v>251.2724</c:v>
                </c:pt>
                <c:pt idx="15">
                  <c:v>252.50750000000002</c:v>
                </c:pt>
                <c:pt idx="16">
                  <c:v>264.35669999999999</c:v>
                </c:pt>
                <c:pt idx="17">
                  <c:v>261.30349999999999</c:v>
                </c:pt>
                <c:pt idx="18">
                  <c:v>265.28869999999893</c:v>
                </c:pt>
                <c:pt idx="19">
                  <c:v>274.27209999999963</c:v>
                </c:pt>
                <c:pt idx="20">
                  <c:v>276.96559999999869</c:v>
                </c:pt>
                <c:pt idx="21">
                  <c:v>295.1533</c:v>
                </c:pt>
                <c:pt idx="22">
                  <c:v>275.24609999999899</c:v>
                </c:pt>
                <c:pt idx="23">
                  <c:v>280.38709999999969</c:v>
                </c:pt>
                <c:pt idx="24">
                  <c:v>276.94479999999999</c:v>
                </c:pt>
                <c:pt idx="25">
                  <c:v>311.33549999999963</c:v>
                </c:pt>
                <c:pt idx="26">
                  <c:v>355.95299999999969</c:v>
                </c:pt>
                <c:pt idx="27">
                  <c:v>382.43429999999893</c:v>
                </c:pt>
                <c:pt idx="28">
                  <c:v>380.94990000000001</c:v>
                </c:pt>
              </c:numCache>
            </c:numRef>
          </c:val>
        </c:ser>
        <c:marker val="1"/>
        <c:axId val="168293504"/>
        <c:axId val="168295424"/>
      </c:lineChart>
      <c:catAx>
        <c:axId val="168293504"/>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Temperature</a:t>
                </a:r>
              </a:p>
            </c:rich>
          </c:tx>
          <c:layout>
            <c:manualLayout>
              <c:xMode val="edge"/>
              <c:yMode val="edge"/>
              <c:x val="0.4814561635546466"/>
              <c:y val="0.90871665432064896"/>
            </c:manualLayout>
          </c:layout>
        </c:title>
        <c:numFmt formatCode="General" sourceLinked="1"/>
        <c:tickLblPos val="nextTo"/>
        <c:txPr>
          <a:bodyPr/>
          <a:lstStyle/>
          <a:p>
            <a:pPr>
              <a:defRPr>
                <a:latin typeface="Arial" pitchFamily="34" charset="0"/>
                <a:cs typeface="Arial" pitchFamily="34" charset="0"/>
              </a:defRPr>
            </a:pPr>
            <a:endParaRPr lang="en-US"/>
          </a:p>
        </c:txPr>
        <c:crossAx val="168295424"/>
        <c:crosses val="autoZero"/>
        <c:auto val="1"/>
        <c:lblAlgn val="ctr"/>
        <c:lblOffset val="100"/>
        <c:tickLblSkip val="5"/>
        <c:tickMarkSkip val="5"/>
      </c:catAx>
      <c:valAx>
        <c:axId val="168295424"/>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90242"/>
            </c:manualLayout>
          </c:layout>
        </c:title>
        <c:numFmt formatCode="#,##0" sourceLinked="0"/>
        <c:tickLblPos val="nextTo"/>
        <c:txPr>
          <a:bodyPr/>
          <a:lstStyle/>
          <a:p>
            <a:pPr>
              <a:defRPr>
                <a:latin typeface="Arial" pitchFamily="34" charset="0"/>
                <a:cs typeface="Arial" pitchFamily="34" charset="0"/>
              </a:defRPr>
            </a:pPr>
            <a:endParaRPr lang="en-US"/>
          </a:p>
        </c:txPr>
        <c:crossAx val="168293504"/>
        <c:crosses val="autoZero"/>
        <c:crossBetween val="between"/>
      </c:valAx>
      <c:spPr>
        <a:ln>
          <a:solidFill>
            <a:schemeClr val="tx1"/>
          </a:solidFill>
        </a:ln>
      </c:spPr>
    </c:plotArea>
    <c:legend>
      <c:legendPos val="t"/>
      <c:layout>
        <c:manualLayout>
          <c:xMode val="edge"/>
          <c:yMode val="edge"/>
          <c:x val="0.25069229325483011"/>
          <c:y val="3.2525983667409254E-2"/>
          <c:w val="0.4656783946494964"/>
          <c:h val="7.9172366121272708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'Out-of-Sample Tests'!$B$41</c:f>
              <c:strCache>
                <c:ptCount val="1"/>
                <c:pt idx="0">
                  <c:v>Actual kW</c:v>
                </c:pt>
              </c:strCache>
            </c:strRef>
          </c:tx>
          <c:spPr>
            <a:ln>
              <a:solidFill>
                <a:srgbClr val="003366"/>
              </a:solidFill>
            </a:ln>
          </c:spPr>
          <c:marker>
            <c:symbol val="circle"/>
            <c:size val="5"/>
            <c:spPr>
              <a:solidFill>
                <a:schemeClr val="bg1"/>
              </a:solidFill>
              <a:ln w="12700">
                <a:solidFill>
                  <a:srgbClr val="003366"/>
                </a:solidFill>
              </a:ln>
            </c:spPr>
          </c:marker>
          <c:val>
            <c:numRef>
              <c:f>'Out-of-Sample Tests'!$B$42:$B$65</c:f>
              <c:numCache>
                <c:formatCode>0.00</c:formatCode>
                <c:ptCount val="24"/>
                <c:pt idx="0">
                  <c:v>132.49612000000027</c:v>
                </c:pt>
                <c:pt idx="1">
                  <c:v>128.79353999999998</c:v>
                </c:pt>
                <c:pt idx="2">
                  <c:v>125.13686</c:v>
                </c:pt>
                <c:pt idx="3">
                  <c:v>125.06556</c:v>
                </c:pt>
                <c:pt idx="4">
                  <c:v>132.89177000000001</c:v>
                </c:pt>
                <c:pt idx="5">
                  <c:v>152.99855000000002</c:v>
                </c:pt>
                <c:pt idx="6">
                  <c:v>179.97105000000002</c:v>
                </c:pt>
                <c:pt idx="7">
                  <c:v>201.87266</c:v>
                </c:pt>
                <c:pt idx="8">
                  <c:v>216.99763000000004</c:v>
                </c:pt>
                <c:pt idx="9">
                  <c:v>228.33792000000147</c:v>
                </c:pt>
                <c:pt idx="10">
                  <c:v>238.51725999999999</c:v>
                </c:pt>
                <c:pt idx="11">
                  <c:v>241.39058</c:v>
                </c:pt>
                <c:pt idx="12">
                  <c:v>240.26636999999999</c:v>
                </c:pt>
                <c:pt idx="13">
                  <c:v>242.52967999999998</c:v>
                </c:pt>
                <c:pt idx="14">
                  <c:v>237.72239000000027</c:v>
                </c:pt>
                <c:pt idx="15">
                  <c:v>226.61305999999712</c:v>
                </c:pt>
                <c:pt idx="16">
                  <c:v>211.53647000000001</c:v>
                </c:pt>
                <c:pt idx="17">
                  <c:v>196.17857999999998</c:v>
                </c:pt>
                <c:pt idx="18">
                  <c:v>183.28113000000027</c:v>
                </c:pt>
                <c:pt idx="19">
                  <c:v>177.29228000000001</c:v>
                </c:pt>
                <c:pt idx="20">
                  <c:v>171.40304</c:v>
                </c:pt>
                <c:pt idx="21">
                  <c:v>161.96465000000001</c:v>
                </c:pt>
                <c:pt idx="22">
                  <c:v>149.42497</c:v>
                </c:pt>
                <c:pt idx="23">
                  <c:v>142.05048000000087</c:v>
                </c:pt>
              </c:numCache>
            </c:numRef>
          </c:val>
        </c:ser>
        <c:ser>
          <c:idx val="1"/>
          <c:order val="1"/>
          <c:tx>
            <c:strRef>
              <c:f>'Out-of-Sample Tests'!$C$41</c:f>
              <c:strCache>
                <c:ptCount val="1"/>
                <c:pt idx="0">
                  <c:v>Predicted kW</c:v>
                </c:pt>
              </c:strCache>
            </c:strRef>
          </c:tx>
          <c:spPr>
            <a:ln>
              <a:solidFill>
                <a:srgbClr val="003366"/>
              </a:solidFill>
              <a:prstDash val="dash"/>
            </a:ln>
          </c:spPr>
          <c:marker>
            <c:symbol val="none"/>
          </c:marker>
          <c:val>
            <c:numRef>
              <c:f>'Out-of-Sample Tests'!$C$42:$C$65</c:f>
              <c:numCache>
                <c:formatCode>0.00</c:formatCode>
                <c:ptCount val="24"/>
                <c:pt idx="0">
                  <c:v>130.39580000000001</c:v>
                </c:pt>
                <c:pt idx="1">
                  <c:v>126.6147</c:v>
                </c:pt>
                <c:pt idx="2">
                  <c:v>123.04519999999999</c:v>
                </c:pt>
                <c:pt idx="3">
                  <c:v>122.95150000000002</c:v>
                </c:pt>
                <c:pt idx="4">
                  <c:v>130.41369999999998</c:v>
                </c:pt>
                <c:pt idx="5">
                  <c:v>149.86420000000001</c:v>
                </c:pt>
                <c:pt idx="6">
                  <c:v>176.14689999999999</c:v>
                </c:pt>
                <c:pt idx="7">
                  <c:v>197.95150000000001</c:v>
                </c:pt>
                <c:pt idx="8">
                  <c:v>214.47399999999999</c:v>
                </c:pt>
                <c:pt idx="9">
                  <c:v>225.88060000000004</c:v>
                </c:pt>
                <c:pt idx="10">
                  <c:v>235.86190000000047</c:v>
                </c:pt>
                <c:pt idx="11">
                  <c:v>239.071</c:v>
                </c:pt>
                <c:pt idx="12">
                  <c:v>238.2954</c:v>
                </c:pt>
                <c:pt idx="13">
                  <c:v>240.71599999999998</c:v>
                </c:pt>
                <c:pt idx="14">
                  <c:v>236.10489999999999</c:v>
                </c:pt>
                <c:pt idx="15">
                  <c:v>224.54939999999999</c:v>
                </c:pt>
                <c:pt idx="16">
                  <c:v>208.9753</c:v>
                </c:pt>
                <c:pt idx="17">
                  <c:v>193.69880000000001</c:v>
                </c:pt>
                <c:pt idx="18">
                  <c:v>180.8151</c:v>
                </c:pt>
                <c:pt idx="19">
                  <c:v>175.0994</c:v>
                </c:pt>
                <c:pt idx="20">
                  <c:v>168.89150000000001</c:v>
                </c:pt>
                <c:pt idx="21">
                  <c:v>159.54659999999998</c:v>
                </c:pt>
                <c:pt idx="22">
                  <c:v>147.06230000000087</c:v>
                </c:pt>
                <c:pt idx="23">
                  <c:v>139.68989999999999</c:v>
                </c:pt>
              </c:numCache>
            </c:numRef>
          </c:val>
        </c:ser>
        <c:marker val="1"/>
        <c:axId val="168345984"/>
        <c:axId val="168347904"/>
      </c:lineChart>
      <c:catAx>
        <c:axId val="168345984"/>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6"/>
              <c:y val="0.90871665432064896"/>
            </c:manualLayout>
          </c:layout>
        </c:title>
        <c:tickLblPos val="nextTo"/>
        <c:txPr>
          <a:bodyPr/>
          <a:lstStyle/>
          <a:p>
            <a:pPr>
              <a:defRPr>
                <a:latin typeface="Arial" pitchFamily="34" charset="0"/>
                <a:cs typeface="Arial" pitchFamily="34" charset="0"/>
              </a:defRPr>
            </a:pPr>
            <a:endParaRPr lang="en-US"/>
          </a:p>
        </c:txPr>
        <c:crossAx val="168347904"/>
        <c:crosses val="autoZero"/>
        <c:auto val="1"/>
        <c:lblAlgn val="ctr"/>
        <c:lblOffset val="100"/>
      </c:catAx>
      <c:valAx>
        <c:axId val="168347904"/>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89976"/>
            </c:manualLayout>
          </c:layout>
        </c:title>
        <c:numFmt formatCode="#,##0" sourceLinked="0"/>
        <c:tickLblPos val="nextTo"/>
        <c:txPr>
          <a:bodyPr/>
          <a:lstStyle/>
          <a:p>
            <a:pPr>
              <a:defRPr>
                <a:latin typeface="Arial" pitchFamily="34" charset="0"/>
                <a:cs typeface="Arial" pitchFamily="34" charset="0"/>
              </a:defRPr>
            </a:pPr>
            <a:endParaRPr lang="en-US"/>
          </a:p>
        </c:txPr>
        <c:crossAx val="168345984"/>
        <c:crosses val="autoZero"/>
        <c:crossBetween val="between"/>
      </c:valAx>
      <c:spPr>
        <a:ln>
          <a:solidFill>
            <a:schemeClr val="tx1"/>
          </a:solidFill>
        </a:ln>
      </c:spPr>
    </c:plotArea>
    <c:legend>
      <c:legendPos val="t"/>
      <c:layout>
        <c:manualLayout>
          <c:xMode val="edge"/>
          <c:yMode val="edge"/>
          <c:x val="0.13972272866293911"/>
          <c:y val="3.7166085946573751E-2"/>
          <c:w val="0.83778094886289989"/>
          <c:h val="7.9271676406302879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no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3863531351407099"/>
          <c:y val="0.14466240500425251"/>
          <c:w val="0.84624507170709462"/>
          <c:h val="0.6578675226572287"/>
        </c:manualLayout>
      </c:layout>
      <c:lineChart>
        <c:grouping val="standard"/>
        <c:ser>
          <c:idx val="0"/>
          <c:order val="0"/>
          <c:tx>
            <c:strRef>
              <c:f>Sheet2!$E$2</c:f>
              <c:strCache>
                <c:ptCount val="1"/>
                <c:pt idx="0">
                  <c:v>Control</c:v>
                </c:pt>
              </c:strCache>
            </c:strRef>
          </c:tx>
          <c:spPr>
            <a:ln>
              <a:solidFill>
                <a:srgbClr val="003366"/>
              </a:solidFill>
            </a:ln>
          </c:spPr>
          <c:marker>
            <c:symbol val="circle"/>
            <c:size val="5"/>
            <c:spPr>
              <a:solidFill>
                <a:schemeClr val="bg1"/>
              </a:solidFill>
              <a:ln w="12700">
                <a:solidFill>
                  <a:srgbClr val="003366"/>
                </a:solidFill>
              </a:ln>
            </c:spPr>
          </c:marker>
          <c:val>
            <c:numRef>
              <c:f>Sheet2!$E$3:$E$26</c:f>
              <c:numCache>
                <c:formatCode>General</c:formatCode>
                <c:ptCount val="24"/>
                <c:pt idx="0">
                  <c:v>132.65050000000002</c:v>
                </c:pt>
                <c:pt idx="1">
                  <c:v>129.00359999999998</c:v>
                </c:pt>
                <c:pt idx="2">
                  <c:v>128.86790000000047</c:v>
                </c:pt>
                <c:pt idx="3">
                  <c:v>137.8706</c:v>
                </c:pt>
                <c:pt idx="4">
                  <c:v>160.2088</c:v>
                </c:pt>
                <c:pt idx="5">
                  <c:v>185.75820000000004</c:v>
                </c:pt>
                <c:pt idx="6">
                  <c:v>206.47499999999999</c:v>
                </c:pt>
                <c:pt idx="7">
                  <c:v>221.0376</c:v>
                </c:pt>
                <c:pt idx="8">
                  <c:v>231.31810000000004</c:v>
                </c:pt>
                <c:pt idx="9">
                  <c:v>240.15100000000001</c:v>
                </c:pt>
                <c:pt idx="10">
                  <c:v>241.53559999999999</c:v>
                </c:pt>
                <c:pt idx="11">
                  <c:v>238.73779999999999</c:v>
                </c:pt>
                <c:pt idx="12">
                  <c:v>241.8169</c:v>
                </c:pt>
                <c:pt idx="13">
                  <c:v>235.80349999999999</c:v>
                </c:pt>
                <c:pt idx="14">
                  <c:v>225.51379999999995</c:v>
                </c:pt>
                <c:pt idx="15">
                  <c:v>211.53050000000002</c:v>
                </c:pt>
                <c:pt idx="16">
                  <c:v>196.13499999999999</c:v>
                </c:pt>
                <c:pt idx="17">
                  <c:v>184.78559999999999</c:v>
                </c:pt>
                <c:pt idx="18">
                  <c:v>181.57499999999999</c:v>
                </c:pt>
                <c:pt idx="19">
                  <c:v>178.83700000000007</c:v>
                </c:pt>
                <c:pt idx="20">
                  <c:v>170.33200000000087</c:v>
                </c:pt>
                <c:pt idx="21">
                  <c:v>157.25830000000047</c:v>
                </c:pt>
                <c:pt idx="22">
                  <c:v>150.28720000000001</c:v>
                </c:pt>
                <c:pt idx="23">
                  <c:v>143.99860000000001</c:v>
                </c:pt>
              </c:numCache>
            </c:numRef>
          </c:val>
        </c:ser>
        <c:ser>
          <c:idx val="1"/>
          <c:order val="1"/>
          <c:tx>
            <c:strRef>
              <c:f>Sheet2!$F$2</c:f>
              <c:strCache>
                <c:ptCount val="1"/>
                <c:pt idx="0">
                  <c:v>Treatment</c:v>
                </c:pt>
              </c:strCache>
            </c:strRef>
          </c:tx>
          <c:spPr>
            <a:ln>
              <a:solidFill>
                <a:srgbClr val="003366"/>
              </a:solidFill>
              <a:prstDash val="dash"/>
            </a:ln>
          </c:spPr>
          <c:marker>
            <c:symbol val="none"/>
          </c:marker>
          <c:val>
            <c:numRef>
              <c:f>Sheet2!$F$3:$F$26</c:f>
              <c:numCache>
                <c:formatCode>General</c:formatCode>
                <c:ptCount val="24"/>
                <c:pt idx="0">
                  <c:v>133.40244000000138</c:v>
                </c:pt>
                <c:pt idx="1">
                  <c:v>129.60988999999998</c:v>
                </c:pt>
                <c:pt idx="2">
                  <c:v>129.66724000000067</c:v>
                </c:pt>
                <c:pt idx="3">
                  <c:v>138.86796000000001</c:v>
                </c:pt>
                <c:pt idx="4">
                  <c:v>162.02022000000099</c:v>
                </c:pt>
                <c:pt idx="5">
                  <c:v>187.62849000000099</c:v>
                </c:pt>
                <c:pt idx="6">
                  <c:v>208.65207000000001</c:v>
                </c:pt>
                <c:pt idx="7">
                  <c:v>223.55163000000007</c:v>
                </c:pt>
                <c:pt idx="8">
                  <c:v>233.82985000000002</c:v>
                </c:pt>
                <c:pt idx="9">
                  <c:v>243.29949999999999</c:v>
                </c:pt>
                <c:pt idx="10">
                  <c:v>244.15685999999999</c:v>
                </c:pt>
                <c:pt idx="11">
                  <c:v>241.02694000000099</c:v>
                </c:pt>
                <c:pt idx="12">
                  <c:v>243.65627000000001</c:v>
                </c:pt>
                <c:pt idx="13">
                  <c:v>237.48809000000099</c:v>
                </c:pt>
                <c:pt idx="14">
                  <c:v>226.49700000000001</c:v>
                </c:pt>
                <c:pt idx="15">
                  <c:v>210.88040000000132</c:v>
                </c:pt>
                <c:pt idx="16">
                  <c:v>195.15568999999999</c:v>
                </c:pt>
                <c:pt idx="17">
                  <c:v>184.35605000000001</c:v>
                </c:pt>
                <c:pt idx="18">
                  <c:v>180.69248000000007</c:v>
                </c:pt>
                <c:pt idx="19">
                  <c:v>177.23021</c:v>
                </c:pt>
                <c:pt idx="20">
                  <c:v>169.00154000000001</c:v>
                </c:pt>
                <c:pt idx="21">
                  <c:v>156.41218000000001</c:v>
                </c:pt>
                <c:pt idx="22">
                  <c:v>149.88654000000099</c:v>
                </c:pt>
                <c:pt idx="23">
                  <c:v>143.65343000000001</c:v>
                </c:pt>
              </c:numCache>
            </c:numRef>
          </c:val>
        </c:ser>
        <c:marker val="1"/>
        <c:axId val="168839808"/>
        <c:axId val="168854272"/>
      </c:lineChart>
      <c:catAx>
        <c:axId val="168839808"/>
        <c:scaling>
          <c:orientation val="minMax"/>
        </c:scaling>
        <c:axPos val="b"/>
        <c:majorGridlines/>
        <c:title>
          <c:tx>
            <c:rich>
              <a:bodyPr/>
              <a:lstStyle/>
              <a:p>
                <a:pPr>
                  <a:defRPr>
                    <a:latin typeface="Arial" pitchFamily="34" charset="0"/>
                    <a:cs typeface="Arial" pitchFamily="34" charset="0"/>
                  </a:defRPr>
                </a:pPr>
                <a:r>
                  <a:rPr lang="en-US">
                    <a:latin typeface="Arial" pitchFamily="34" charset="0"/>
                    <a:cs typeface="Arial" pitchFamily="34" charset="0"/>
                  </a:rPr>
                  <a:t>Hour Ending</a:t>
                </a:r>
              </a:p>
            </c:rich>
          </c:tx>
          <c:layout>
            <c:manualLayout>
              <c:xMode val="edge"/>
              <c:yMode val="edge"/>
              <c:x val="0.48145616355463267"/>
              <c:y val="0.90871665432064896"/>
            </c:manualLayout>
          </c:layout>
        </c:title>
        <c:tickLblPos val="nextTo"/>
        <c:txPr>
          <a:bodyPr/>
          <a:lstStyle/>
          <a:p>
            <a:pPr>
              <a:defRPr>
                <a:latin typeface="Arial" pitchFamily="34" charset="0"/>
                <a:cs typeface="Arial" pitchFamily="34" charset="0"/>
              </a:defRPr>
            </a:pPr>
            <a:endParaRPr lang="en-US"/>
          </a:p>
        </c:txPr>
        <c:crossAx val="168854272"/>
        <c:crosses val="autoZero"/>
        <c:auto val="1"/>
        <c:lblAlgn val="ctr"/>
        <c:lblOffset val="100"/>
      </c:catAx>
      <c:valAx>
        <c:axId val="168854272"/>
        <c:scaling>
          <c:orientation val="minMax"/>
        </c:scaling>
        <c:axPos val="l"/>
        <c:majorGridlines/>
        <c:title>
          <c:tx>
            <c:rich>
              <a:bodyPr rot="-5400000" vert="horz"/>
              <a:lstStyle/>
              <a:p>
                <a:pPr>
                  <a:defRPr>
                    <a:latin typeface="Arial" pitchFamily="34" charset="0"/>
                    <a:cs typeface="Arial" pitchFamily="34" charset="0"/>
                  </a:defRPr>
                </a:pPr>
                <a:r>
                  <a:rPr lang="en-US">
                    <a:latin typeface="Arial" pitchFamily="34" charset="0"/>
                    <a:cs typeface="Arial" pitchFamily="34" charset="0"/>
                  </a:rPr>
                  <a:t>Average kW per Customer</a:t>
                </a:r>
              </a:p>
            </c:rich>
          </c:tx>
          <c:layout>
            <c:manualLayout>
              <c:xMode val="edge"/>
              <c:yMode val="edge"/>
              <c:x val="1.068191012299009E-2"/>
              <c:y val="0.15395392649089876"/>
            </c:manualLayout>
          </c:layout>
        </c:title>
        <c:numFmt formatCode="#,##0" sourceLinked="0"/>
        <c:tickLblPos val="nextTo"/>
        <c:txPr>
          <a:bodyPr/>
          <a:lstStyle/>
          <a:p>
            <a:pPr>
              <a:defRPr>
                <a:latin typeface="Arial" pitchFamily="34" charset="0"/>
                <a:cs typeface="Arial" pitchFamily="34" charset="0"/>
              </a:defRPr>
            </a:pPr>
            <a:endParaRPr lang="en-US"/>
          </a:p>
        </c:txPr>
        <c:crossAx val="168839808"/>
        <c:crosses val="autoZero"/>
        <c:crossBetween val="between"/>
      </c:valAx>
      <c:spPr>
        <a:ln>
          <a:solidFill>
            <a:schemeClr val="tx1"/>
          </a:solidFill>
        </a:ln>
      </c:spPr>
    </c:plotArea>
    <c:legend>
      <c:legendPos val="t"/>
      <c:layout>
        <c:manualLayout>
          <c:xMode val="edge"/>
          <c:yMode val="edge"/>
          <c:x val="0.13972272866293911"/>
          <c:y val="3.7166085946573758E-2"/>
          <c:w val="0.83778094886289989"/>
          <c:h val="7.9271676406302893E-2"/>
        </c:manualLayout>
      </c:layout>
      <c:spPr>
        <a:solidFill>
          <a:schemeClr val="bg1"/>
        </a:solidFill>
        <a:ln>
          <a:solidFill>
            <a:schemeClr val="tx1"/>
          </a:solidFill>
        </a:ln>
      </c:spPr>
      <c:txPr>
        <a:bodyPr/>
        <a:lstStyle/>
        <a:p>
          <a:pPr>
            <a:defRPr b="1">
              <a:latin typeface="Arial" pitchFamily="34" charset="0"/>
              <a:cs typeface="Arial" pitchFamily="34" charset="0"/>
            </a:defRPr>
          </a:pPr>
          <a:endParaRPr lang="en-US"/>
        </a:p>
      </c:txPr>
    </c:legend>
    <c:plotVisOnly val="1"/>
    <c:dispBlanksAs val="gap"/>
  </c:chart>
  <c:spPr>
    <a:solidFill>
      <a:schemeClr val="bg1"/>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8CF19-2B1D-4F3D-B927-F4019F62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33808</Words>
  <Characters>192707</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FSC Group</Company>
  <LinksUpToDate>false</LinksUpToDate>
  <CharactersWithSpaces>226063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Rohde</dc:creator>
  <cp:lastModifiedBy>Kathryn E Smith</cp:lastModifiedBy>
  <cp:revision>4</cp:revision>
  <cp:lastPrinted>2012-05-21T18:25:00Z</cp:lastPrinted>
  <dcterms:created xsi:type="dcterms:W3CDTF">2012-05-30T20:51:00Z</dcterms:created>
  <dcterms:modified xsi:type="dcterms:W3CDTF">2012-05-31T19:19:00Z</dcterms:modified>
</cp:coreProperties>
</file>