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344" w:rsidRPr="001A42F0" w:rsidRDefault="0021074D">
      <w:pPr>
        <w:pStyle w:val="Heading1"/>
        <w:jc w:val="center"/>
        <w:rPr>
          <w:b/>
          <w:bCs/>
          <w:sz w:val="24"/>
        </w:rPr>
      </w:pPr>
      <w:r w:rsidRPr="001A42F0">
        <w:rPr>
          <w:b/>
          <w:bCs/>
          <w:sz w:val="24"/>
        </w:rPr>
        <w:t xml:space="preserve">Confirmation </w:t>
      </w:r>
      <w:r w:rsidR="003B300F" w:rsidRPr="001A42F0">
        <w:rPr>
          <w:b/>
          <w:bCs/>
          <w:sz w:val="24"/>
        </w:rPr>
        <w:t>for</w:t>
      </w:r>
      <w:r w:rsidRPr="001A42F0">
        <w:rPr>
          <w:b/>
          <w:bCs/>
          <w:sz w:val="24"/>
        </w:rPr>
        <w:t xml:space="preserve"> Resource Adequacy Capacity Product</w:t>
      </w:r>
    </w:p>
    <w:p w:rsidR="00995CF5" w:rsidRPr="001A42F0" w:rsidRDefault="00A02344">
      <w:pPr>
        <w:pStyle w:val="Heading1"/>
        <w:jc w:val="center"/>
        <w:rPr>
          <w:bCs/>
          <w:sz w:val="22"/>
          <w:szCs w:val="22"/>
        </w:rPr>
      </w:pPr>
      <w:r w:rsidRPr="001A42F0">
        <w:rPr>
          <w:bCs/>
          <w:sz w:val="22"/>
          <w:szCs w:val="22"/>
        </w:rPr>
        <w:t>Resource Adequacy Contract Number:</w:t>
      </w:r>
      <w:r w:rsidR="0021074D" w:rsidRPr="001A42F0">
        <w:rPr>
          <w:bCs/>
          <w:sz w:val="22"/>
          <w:szCs w:val="22"/>
        </w:rPr>
        <w:t xml:space="preserve"> </w:t>
      </w:r>
      <w:r w:rsidR="00B67197" w:rsidRPr="00B67197">
        <w:rPr>
          <w:bCs/>
          <w:sz w:val="22"/>
          <w:szCs w:val="22"/>
        </w:rPr>
        <w:t>___________</w:t>
      </w:r>
      <w:r w:rsidR="00B67197" w:rsidRPr="001A42F0">
        <w:rPr>
          <w:bCs/>
          <w:sz w:val="22"/>
          <w:szCs w:val="22"/>
        </w:rPr>
        <w:t>_</w:t>
      </w:r>
    </w:p>
    <w:p w:rsidR="00995CF5" w:rsidRPr="001A42F0" w:rsidRDefault="00995CF5">
      <w:pPr>
        <w:jc w:val="center"/>
      </w:pPr>
      <w:bookmarkStart w:id="0" w:name="_GoBack"/>
      <w:bookmarkEnd w:id="0"/>
    </w:p>
    <w:p w:rsidR="001239E0" w:rsidRPr="0018503B" w:rsidRDefault="0021074D">
      <w:pPr>
        <w:pStyle w:val="BodyText3"/>
        <w:rPr>
          <w:szCs w:val="22"/>
        </w:rPr>
      </w:pPr>
      <w:r w:rsidRPr="0018503B">
        <w:rPr>
          <w:szCs w:val="22"/>
        </w:rPr>
        <w:t xml:space="preserve">This confirmation </w:t>
      </w:r>
      <w:r w:rsidR="00B37E83" w:rsidRPr="0018503B">
        <w:rPr>
          <w:szCs w:val="22"/>
        </w:rPr>
        <w:t>letter</w:t>
      </w:r>
      <w:r w:rsidRPr="0018503B">
        <w:rPr>
          <w:szCs w:val="22"/>
        </w:rPr>
        <w:t xml:space="preserve"> (</w:t>
      </w:r>
      <w:r w:rsidR="008D14BE" w:rsidRPr="0018503B">
        <w:rPr>
          <w:szCs w:val="22"/>
        </w:rPr>
        <w:t>“</w:t>
      </w:r>
      <w:r w:rsidRPr="0018503B">
        <w:rPr>
          <w:szCs w:val="22"/>
        </w:rPr>
        <w:t>Confirmation</w:t>
      </w:r>
      <w:r w:rsidR="008D14BE" w:rsidRPr="0018503B">
        <w:rPr>
          <w:szCs w:val="22"/>
        </w:rPr>
        <w:t>”</w:t>
      </w:r>
      <w:r w:rsidR="00782F8B" w:rsidRPr="0018503B">
        <w:rPr>
          <w:szCs w:val="22"/>
        </w:rPr>
        <w:t>)</w:t>
      </w:r>
      <w:r w:rsidRPr="0018503B">
        <w:rPr>
          <w:szCs w:val="22"/>
        </w:rPr>
        <w:t xml:space="preserve"> </w:t>
      </w:r>
      <w:r w:rsidR="00B37E83" w:rsidRPr="0018503B">
        <w:rPr>
          <w:szCs w:val="22"/>
        </w:rPr>
        <w:t xml:space="preserve">confirms the </w:t>
      </w:r>
      <w:r w:rsidRPr="0018503B">
        <w:rPr>
          <w:szCs w:val="22"/>
        </w:rPr>
        <w:t xml:space="preserve">Transaction between </w:t>
      </w:r>
      <w:r w:rsidR="00BF32C9" w:rsidRPr="0018503B">
        <w:rPr>
          <w:color w:val="000000"/>
          <w:szCs w:val="22"/>
        </w:rPr>
        <w:t>_____________</w:t>
      </w:r>
      <w:r w:rsidR="001239E0" w:rsidRPr="0018503B">
        <w:rPr>
          <w:color w:val="000000"/>
          <w:szCs w:val="22"/>
        </w:rPr>
        <w:t xml:space="preserve"> </w:t>
      </w:r>
      <w:r w:rsidRPr="0018503B">
        <w:rPr>
          <w:szCs w:val="22"/>
        </w:rPr>
        <w:t>(</w:t>
      </w:r>
      <w:r w:rsidR="008D14BE" w:rsidRPr="0018503B">
        <w:rPr>
          <w:szCs w:val="22"/>
        </w:rPr>
        <w:t>“</w:t>
      </w:r>
      <w:r w:rsidR="00C7662A" w:rsidRPr="0018503B">
        <w:rPr>
          <w:szCs w:val="22"/>
        </w:rPr>
        <w:t>Buyer</w:t>
      </w:r>
      <w:r w:rsidR="008D14BE" w:rsidRPr="0018503B">
        <w:rPr>
          <w:szCs w:val="22"/>
        </w:rPr>
        <w:t>”</w:t>
      </w:r>
      <w:r w:rsidRPr="0018503B">
        <w:rPr>
          <w:szCs w:val="22"/>
        </w:rPr>
        <w:t xml:space="preserve">) and </w:t>
      </w:r>
      <w:r w:rsidR="00B47672" w:rsidRPr="0018503B">
        <w:rPr>
          <w:szCs w:val="22"/>
        </w:rPr>
        <w:t>______________________</w:t>
      </w:r>
      <w:r w:rsidRPr="0018503B">
        <w:rPr>
          <w:szCs w:val="22"/>
        </w:rPr>
        <w:t xml:space="preserve"> (</w:t>
      </w:r>
      <w:r w:rsidR="008D14BE" w:rsidRPr="0018503B">
        <w:rPr>
          <w:szCs w:val="22"/>
        </w:rPr>
        <w:t>“</w:t>
      </w:r>
      <w:r w:rsidR="00C7662A" w:rsidRPr="0018503B">
        <w:rPr>
          <w:szCs w:val="22"/>
        </w:rPr>
        <w:t>Seller</w:t>
      </w:r>
      <w:r w:rsidR="008D14BE" w:rsidRPr="0018503B">
        <w:rPr>
          <w:szCs w:val="22"/>
        </w:rPr>
        <w:t>”</w:t>
      </w:r>
      <w:r w:rsidRPr="0018503B">
        <w:rPr>
          <w:szCs w:val="22"/>
        </w:rPr>
        <w:t xml:space="preserve">), </w:t>
      </w:r>
      <w:r w:rsidR="00B37E83" w:rsidRPr="0018503B">
        <w:rPr>
          <w:szCs w:val="22"/>
        </w:rPr>
        <w:t xml:space="preserve">each individually a </w:t>
      </w:r>
      <w:r w:rsidR="008D14BE" w:rsidRPr="0018503B">
        <w:rPr>
          <w:szCs w:val="22"/>
        </w:rPr>
        <w:t>“</w:t>
      </w:r>
      <w:r w:rsidR="00B37E83" w:rsidRPr="0018503B">
        <w:rPr>
          <w:szCs w:val="22"/>
        </w:rPr>
        <w:t>Party</w:t>
      </w:r>
      <w:r w:rsidR="008D14BE" w:rsidRPr="0018503B">
        <w:rPr>
          <w:szCs w:val="22"/>
        </w:rPr>
        <w:t>”</w:t>
      </w:r>
      <w:r w:rsidR="00B37E83" w:rsidRPr="0018503B">
        <w:rPr>
          <w:szCs w:val="22"/>
        </w:rPr>
        <w:t xml:space="preserve"> and </w:t>
      </w:r>
      <w:r w:rsidRPr="0018503B">
        <w:rPr>
          <w:szCs w:val="22"/>
        </w:rPr>
        <w:t xml:space="preserve">together the </w:t>
      </w:r>
      <w:r w:rsidR="008D14BE" w:rsidRPr="0018503B">
        <w:rPr>
          <w:szCs w:val="22"/>
        </w:rPr>
        <w:t>“</w:t>
      </w:r>
      <w:r w:rsidRPr="0018503B">
        <w:rPr>
          <w:szCs w:val="22"/>
        </w:rPr>
        <w:t>Parties</w:t>
      </w:r>
      <w:r w:rsidR="008D14BE" w:rsidRPr="0018503B">
        <w:rPr>
          <w:szCs w:val="22"/>
        </w:rPr>
        <w:t>”</w:t>
      </w:r>
      <w:r w:rsidRPr="0018503B">
        <w:rPr>
          <w:szCs w:val="22"/>
        </w:rPr>
        <w:t xml:space="preserve">, </w:t>
      </w:r>
      <w:r w:rsidR="00B37E83" w:rsidRPr="0018503B">
        <w:rPr>
          <w:szCs w:val="22"/>
        </w:rPr>
        <w:t xml:space="preserve">dated as of _______________ (the </w:t>
      </w:r>
      <w:r w:rsidR="008D14BE" w:rsidRPr="0018503B">
        <w:rPr>
          <w:szCs w:val="22"/>
        </w:rPr>
        <w:t>“</w:t>
      </w:r>
      <w:r w:rsidR="00B37E83" w:rsidRPr="0018503B">
        <w:rPr>
          <w:szCs w:val="22"/>
        </w:rPr>
        <w:t>Confirmation Effective Date</w:t>
      </w:r>
      <w:r w:rsidR="008D14BE" w:rsidRPr="0018503B">
        <w:rPr>
          <w:szCs w:val="22"/>
        </w:rPr>
        <w:t>”</w:t>
      </w:r>
      <w:r w:rsidR="00B37E83" w:rsidRPr="0018503B">
        <w:rPr>
          <w:szCs w:val="22"/>
        </w:rPr>
        <w:t xml:space="preserve">) </w:t>
      </w:r>
      <w:r w:rsidRPr="0018503B">
        <w:rPr>
          <w:szCs w:val="22"/>
        </w:rPr>
        <w:t xml:space="preserve">in which Seller agrees to provide to Buyer the right to the </w:t>
      </w:r>
      <w:r w:rsidR="00363639" w:rsidRPr="0018503B">
        <w:rPr>
          <w:szCs w:val="22"/>
        </w:rPr>
        <w:t>Product</w:t>
      </w:r>
      <w:r w:rsidR="00687D67" w:rsidRPr="0018503B">
        <w:rPr>
          <w:szCs w:val="22"/>
        </w:rPr>
        <w:t xml:space="preserve">, </w:t>
      </w:r>
      <w:r w:rsidR="00B90A37" w:rsidRPr="0018503B">
        <w:rPr>
          <w:szCs w:val="22"/>
        </w:rPr>
        <w:t xml:space="preserve">as </w:t>
      </w:r>
      <w:r w:rsidR="005B6B48" w:rsidRPr="0018503B">
        <w:rPr>
          <w:szCs w:val="22"/>
        </w:rPr>
        <w:t xml:space="preserve">such term is defined in Section </w:t>
      </w:r>
      <w:r w:rsidR="0038795F" w:rsidRPr="0018503B">
        <w:rPr>
          <w:szCs w:val="22"/>
        </w:rPr>
        <w:t>3</w:t>
      </w:r>
      <w:r w:rsidR="005B6B48" w:rsidRPr="0018503B">
        <w:rPr>
          <w:szCs w:val="22"/>
        </w:rPr>
        <w:t xml:space="preserve"> of this Confirmation</w:t>
      </w:r>
      <w:r w:rsidRPr="0018503B">
        <w:rPr>
          <w:szCs w:val="22"/>
        </w:rPr>
        <w:t xml:space="preserve">.  This Transaction </w:t>
      </w:r>
      <w:r w:rsidR="005B6B48" w:rsidRPr="0018503B">
        <w:rPr>
          <w:szCs w:val="22"/>
        </w:rPr>
        <w:t>is governed by</w:t>
      </w:r>
      <w:r w:rsidRPr="0018503B">
        <w:rPr>
          <w:szCs w:val="22"/>
        </w:rPr>
        <w:t xml:space="preserve"> the </w:t>
      </w:r>
      <w:r w:rsidR="001239E0" w:rsidRPr="0018503B">
        <w:rPr>
          <w:szCs w:val="22"/>
        </w:rPr>
        <w:t xml:space="preserve">terms and conditions of the </w:t>
      </w:r>
      <w:r w:rsidRPr="0018503B">
        <w:rPr>
          <w:szCs w:val="22"/>
        </w:rPr>
        <w:t xml:space="preserve">Edison Electric Institute Master </w:t>
      </w:r>
      <w:r w:rsidR="00B37E83" w:rsidRPr="0018503B">
        <w:rPr>
          <w:szCs w:val="22"/>
        </w:rPr>
        <w:t xml:space="preserve">Power </w:t>
      </w:r>
      <w:r w:rsidRPr="0018503B">
        <w:rPr>
          <w:szCs w:val="22"/>
        </w:rPr>
        <w:t xml:space="preserve">Purchase </w:t>
      </w:r>
      <w:r w:rsidR="00B90A37" w:rsidRPr="0018503B">
        <w:rPr>
          <w:szCs w:val="22"/>
        </w:rPr>
        <w:t>and</w:t>
      </w:r>
      <w:r w:rsidRPr="0018503B">
        <w:rPr>
          <w:szCs w:val="22"/>
        </w:rPr>
        <w:t xml:space="preserve"> Sale Agreement</w:t>
      </w:r>
      <w:r w:rsidR="00B90A37" w:rsidRPr="0018503B">
        <w:rPr>
          <w:szCs w:val="22"/>
        </w:rPr>
        <w:t xml:space="preserve"> </w:t>
      </w:r>
      <w:r w:rsidR="00BF32C9" w:rsidRPr="0018503B">
        <w:rPr>
          <w:szCs w:val="22"/>
        </w:rPr>
        <w:t xml:space="preserve">version dated 4/25/00 </w:t>
      </w:r>
      <w:r w:rsidR="001239E0" w:rsidRPr="0018503B">
        <w:rPr>
          <w:szCs w:val="22"/>
        </w:rPr>
        <w:t>(the “EEI Agreement”)</w:t>
      </w:r>
      <w:r w:rsidR="00BF32C9" w:rsidRPr="0018503B">
        <w:rPr>
          <w:szCs w:val="22"/>
        </w:rPr>
        <w:t xml:space="preserve"> with the elections contained herein as if the Parties have executed the EEI Agreement.  </w:t>
      </w:r>
      <w:r w:rsidR="005B6B48" w:rsidRPr="0018503B">
        <w:rPr>
          <w:szCs w:val="22"/>
        </w:rPr>
        <w:t xml:space="preserve">The </w:t>
      </w:r>
      <w:smartTag w:uri="urn:schemas-microsoft-com:office:smarttags" w:element="stockticker">
        <w:r w:rsidR="005B6B48" w:rsidRPr="0018503B">
          <w:rPr>
            <w:szCs w:val="22"/>
          </w:rPr>
          <w:t>EEI</w:t>
        </w:r>
      </w:smartTag>
      <w:r w:rsidR="005B6B48" w:rsidRPr="0018503B">
        <w:rPr>
          <w:szCs w:val="22"/>
        </w:rPr>
        <w:t xml:space="preserve"> Agreement and this Confirmation shall be collectively referred to herein as the “Agreement”</w:t>
      </w:r>
      <w:r w:rsidRPr="0018503B">
        <w:rPr>
          <w:szCs w:val="22"/>
        </w:rPr>
        <w:t xml:space="preserve">.  Capitalized terms </w:t>
      </w:r>
      <w:r w:rsidR="005B6B48" w:rsidRPr="0018503B">
        <w:rPr>
          <w:szCs w:val="22"/>
        </w:rPr>
        <w:t xml:space="preserve">used but </w:t>
      </w:r>
      <w:r w:rsidRPr="0018503B">
        <w:rPr>
          <w:szCs w:val="22"/>
        </w:rPr>
        <w:t xml:space="preserve">not otherwise defined in this Confirmation have the meanings </w:t>
      </w:r>
      <w:r w:rsidR="005B6B48" w:rsidRPr="0018503B">
        <w:rPr>
          <w:szCs w:val="22"/>
        </w:rPr>
        <w:t>ascribed to them</w:t>
      </w:r>
      <w:r w:rsidRPr="0018503B">
        <w:rPr>
          <w:szCs w:val="22"/>
        </w:rPr>
        <w:t xml:space="preserve"> in the </w:t>
      </w:r>
      <w:r w:rsidR="005B6B48" w:rsidRPr="0018503B">
        <w:rPr>
          <w:szCs w:val="22"/>
        </w:rPr>
        <w:t>EEI</w:t>
      </w:r>
      <w:r w:rsidRPr="0018503B">
        <w:rPr>
          <w:szCs w:val="22"/>
        </w:rPr>
        <w:t xml:space="preserve"> Agreement</w:t>
      </w:r>
      <w:r w:rsidR="00307235" w:rsidRPr="0018503B">
        <w:rPr>
          <w:szCs w:val="22"/>
        </w:rPr>
        <w:t xml:space="preserve"> or </w:t>
      </w:r>
      <w:r w:rsidR="00E54C20" w:rsidRPr="0018503B">
        <w:rPr>
          <w:szCs w:val="22"/>
        </w:rPr>
        <w:t xml:space="preserve">the </w:t>
      </w:r>
      <w:r w:rsidR="00307235" w:rsidRPr="0018503B">
        <w:rPr>
          <w:szCs w:val="22"/>
        </w:rPr>
        <w:t>Tariff (defined herein)</w:t>
      </w:r>
      <w:r w:rsidR="00AA5305" w:rsidRPr="0018503B">
        <w:rPr>
          <w:szCs w:val="22"/>
        </w:rPr>
        <w:t>.</w:t>
      </w:r>
      <w:r w:rsidR="009F1DF8" w:rsidRPr="0018503B">
        <w:rPr>
          <w:szCs w:val="22"/>
        </w:rPr>
        <w:t xml:space="preserve"> </w:t>
      </w:r>
      <w:r w:rsidR="00B90A37" w:rsidRPr="0018503B">
        <w:rPr>
          <w:szCs w:val="22"/>
        </w:rPr>
        <w:t xml:space="preserve"> To the extent that this Confirmation is inconsistent with any provision of the </w:t>
      </w:r>
      <w:r w:rsidR="005B6B48" w:rsidRPr="0018503B">
        <w:rPr>
          <w:szCs w:val="22"/>
        </w:rPr>
        <w:t>EEI</w:t>
      </w:r>
      <w:r w:rsidR="00B90A37" w:rsidRPr="0018503B">
        <w:rPr>
          <w:szCs w:val="22"/>
        </w:rPr>
        <w:t xml:space="preserve"> Agreement, this Confirmation shall govern the rights and obligations of the Parties hereunder.</w:t>
      </w:r>
      <w:r w:rsidR="00B834E8" w:rsidRPr="0018503B">
        <w:rPr>
          <w:szCs w:val="22"/>
        </w:rPr>
        <w:t xml:space="preserve"> </w:t>
      </w:r>
      <w:bookmarkStart w:id="1" w:name="_DV_M4"/>
      <w:bookmarkEnd w:id="1"/>
      <w:r w:rsidR="00BF32C9" w:rsidRPr="001A42F0">
        <w:rPr>
          <w:b/>
          <w:szCs w:val="22"/>
          <w:highlight w:val="yellow"/>
        </w:rPr>
        <w:t xml:space="preserve">[NOTE TO </w:t>
      </w:r>
      <w:r w:rsidR="00C47CDA" w:rsidRPr="001A42F0">
        <w:rPr>
          <w:b/>
          <w:szCs w:val="22"/>
          <w:highlight w:val="yellow"/>
        </w:rPr>
        <w:t>RESPONDENTS</w:t>
      </w:r>
      <w:r w:rsidR="00BF32C9" w:rsidRPr="001A42F0">
        <w:rPr>
          <w:b/>
          <w:szCs w:val="22"/>
          <w:highlight w:val="yellow"/>
        </w:rPr>
        <w:t xml:space="preserve">:  changes may be required if there is already a </w:t>
      </w:r>
      <w:r w:rsidR="00C47CDA" w:rsidRPr="001A42F0">
        <w:rPr>
          <w:b/>
          <w:szCs w:val="22"/>
          <w:highlight w:val="yellow"/>
        </w:rPr>
        <w:t xml:space="preserve">Master </w:t>
      </w:r>
      <w:r w:rsidR="00BF32C9" w:rsidRPr="001A42F0">
        <w:rPr>
          <w:b/>
          <w:szCs w:val="22"/>
          <w:highlight w:val="yellow"/>
        </w:rPr>
        <w:t>EEI in place between the parties.]</w:t>
      </w:r>
    </w:p>
    <w:tbl>
      <w:tblPr>
        <w:tblW w:w="9360" w:type="dxa"/>
        <w:tblInd w:w="108" w:type="dxa"/>
        <w:tblLayout w:type="fixed"/>
        <w:tblLook w:val="0000" w:firstRow="0" w:lastRow="0" w:firstColumn="0" w:lastColumn="0" w:noHBand="0" w:noVBand="0"/>
      </w:tblPr>
      <w:tblGrid>
        <w:gridCol w:w="4680"/>
        <w:gridCol w:w="4680"/>
      </w:tblGrid>
      <w:tr w:rsidR="00BF32C9" w:rsidRPr="0018503B" w:rsidTr="003C2AD9">
        <w:trPr>
          <w:cantSplit/>
        </w:trPr>
        <w:tc>
          <w:tcPr>
            <w:tcW w:w="4680" w:type="dxa"/>
          </w:tcPr>
          <w:p w:rsidR="00BF32C9" w:rsidRPr="0018503B" w:rsidRDefault="00BF32C9" w:rsidP="003C2AD9">
            <w:pPr>
              <w:tabs>
                <w:tab w:val="right" w:pos="4122"/>
              </w:tabs>
              <w:rPr>
                <w:color w:val="000000"/>
                <w:szCs w:val="22"/>
                <w:u w:val="single"/>
              </w:rPr>
            </w:pPr>
            <w:r w:rsidRPr="0018503B">
              <w:rPr>
                <w:b/>
                <w:color w:val="000000"/>
                <w:szCs w:val="22"/>
              </w:rPr>
              <w:t xml:space="preserve">Name:  </w:t>
            </w:r>
            <w:r w:rsidRPr="0018503B">
              <w:rPr>
                <w:color w:val="000000"/>
                <w:szCs w:val="22"/>
                <w:u w:val="single"/>
              </w:rPr>
              <w:t>Party A</w:t>
            </w:r>
          </w:p>
          <w:p w:rsidR="00BF32C9" w:rsidRPr="0018503B" w:rsidRDefault="00BF32C9" w:rsidP="003C2AD9">
            <w:pPr>
              <w:tabs>
                <w:tab w:val="right" w:pos="4122"/>
              </w:tabs>
              <w:rPr>
                <w:color w:val="000000"/>
                <w:szCs w:val="22"/>
              </w:rPr>
            </w:pPr>
          </w:p>
        </w:tc>
        <w:tc>
          <w:tcPr>
            <w:tcW w:w="4680" w:type="dxa"/>
          </w:tcPr>
          <w:p w:rsidR="00BF32C9" w:rsidRPr="0018503B" w:rsidRDefault="00BF32C9" w:rsidP="003C2AD9">
            <w:pPr>
              <w:tabs>
                <w:tab w:val="right" w:pos="4475"/>
              </w:tabs>
              <w:rPr>
                <w:color w:val="000000"/>
                <w:szCs w:val="22"/>
                <w:u w:val="single"/>
              </w:rPr>
            </w:pPr>
            <w:r w:rsidRPr="0018503B">
              <w:rPr>
                <w:b/>
                <w:color w:val="000000"/>
                <w:szCs w:val="22"/>
              </w:rPr>
              <w:t>Name:</w:t>
            </w:r>
            <w:r w:rsidRPr="0018503B">
              <w:rPr>
                <w:color w:val="000000"/>
                <w:szCs w:val="22"/>
              </w:rPr>
              <w:t xml:space="preserve"> </w:t>
            </w:r>
            <w:r w:rsidRPr="0018503B">
              <w:rPr>
                <w:color w:val="000000"/>
                <w:szCs w:val="22"/>
                <w:u w:val="single"/>
              </w:rPr>
              <w:t>Party B</w:t>
            </w:r>
          </w:p>
        </w:tc>
      </w:tr>
      <w:tr w:rsidR="00BF32C9" w:rsidRPr="0018503B" w:rsidTr="003C2AD9">
        <w:trPr>
          <w:cantSplit/>
        </w:trPr>
        <w:tc>
          <w:tcPr>
            <w:tcW w:w="4680" w:type="dxa"/>
          </w:tcPr>
          <w:p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left" w:pos="1080"/>
                <w:tab w:val="right" w:pos="4320"/>
              </w:tabs>
              <w:rPr>
                <w:rFonts w:ascii="Arial" w:hAnsi="Arial" w:cs="Arial"/>
                <w:color w:val="000000"/>
                <w:sz w:val="22"/>
                <w:szCs w:val="22"/>
              </w:rPr>
            </w:pPr>
            <w:r w:rsidRPr="0018503B">
              <w:rPr>
                <w:rFonts w:ascii="Arial" w:hAnsi="Arial" w:cs="Arial"/>
                <w:b/>
                <w:color w:val="000000"/>
                <w:sz w:val="22"/>
                <w:szCs w:val="22"/>
              </w:rPr>
              <w:t xml:space="preserve">All Notices: </w:t>
            </w:r>
          </w:p>
          <w:tbl>
            <w:tblPr>
              <w:tblW w:w="4795" w:type="dxa"/>
              <w:tblLayout w:type="fixed"/>
              <w:tblCellMar>
                <w:left w:w="0" w:type="dxa"/>
                <w:right w:w="0" w:type="dxa"/>
              </w:tblCellMar>
              <w:tblLook w:val="04A0" w:firstRow="1" w:lastRow="0" w:firstColumn="1" w:lastColumn="0" w:noHBand="0" w:noVBand="1"/>
            </w:tblPr>
            <w:tblGrid>
              <w:gridCol w:w="4795"/>
            </w:tblGrid>
            <w:tr w:rsidR="00BF32C9" w:rsidRPr="0018503B" w:rsidTr="00BF32C9">
              <w:trPr>
                <w:cantSplit/>
              </w:trPr>
              <w:tc>
                <w:tcPr>
                  <w:tcW w:w="4795" w:type="dxa"/>
                  <w:tcMar>
                    <w:top w:w="0" w:type="dxa"/>
                    <w:left w:w="108" w:type="dxa"/>
                    <w:bottom w:w="0" w:type="dxa"/>
                    <w:right w:w="108" w:type="dxa"/>
                  </w:tcMar>
                  <w:hideMark/>
                </w:tcPr>
                <w:p w:rsidR="00BF32C9" w:rsidRPr="0018503B" w:rsidRDefault="00BF32C9" w:rsidP="003C2AD9">
                  <w:pPr>
                    <w:spacing w:after="160"/>
                    <w:rPr>
                      <w:rFonts w:eastAsia="Calibri"/>
                      <w:b/>
                      <w:bCs/>
                      <w:szCs w:val="22"/>
                    </w:rPr>
                  </w:pPr>
                </w:p>
              </w:tc>
            </w:tr>
          </w:tbl>
          <w:p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left" w:pos="1080"/>
                <w:tab w:val="right" w:pos="4320"/>
              </w:tabs>
              <w:rPr>
                <w:rFonts w:ascii="Arial" w:hAnsi="Arial" w:cs="Arial"/>
                <w:color w:val="000000"/>
                <w:sz w:val="22"/>
                <w:szCs w:val="22"/>
              </w:rPr>
            </w:pPr>
          </w:p>
        </w:tc>
        <w:tc>
          <w:tcPr>
            <w:tcW w:w="4680" w:type="dxa"/>
          </w:tcPr>
          <w:p w:rsidR="00BF32C9" w:rsidRPr="0018503B" w:rsidRDefault="00BF32C9" w:rsidP="003C2AD9">
            <w:pPr>
              <w:tabs>
                <w:tab w:val="right" w:pos="4475"/>
              </w:tabs>
              <w:rPr>
                <w:b/>
                <w:color w:val="000000"/>
                <w:szCs w:val="22"/>
              </w:rPr>
            </w:pPr>
            <w:r w:rsidRPr="0018503B">
              <w:rPr>
                <w:b/>
                <w:color w:val="000000"/>
                <w:szCs w:val="22"/>
              </w:rPr>
              <w:t xml:space="preserve">All Notices:  </w:t>
            </w:r>
          </w:p>
          <w:p w:rsidR="00BF32C9" w:rsidRPr="0018503B" w:rsidRDefault="00BF32C9" w:rsidP="003C2AD9">
            <w:pPr>
              <w:tabs>
                <w:tab w:val="right" w:pos="4475"/>
              </w:tabs>
              <w:rPr>
                <w:color w:val="000000"/>
                <w:szCs w:val="22"/>
              </w:rPr>
            </w:pPr>
            <w:r w:rsidRPr="0018503B">
              <w:rPr>
                <w:color w:val="000000"/>
                <w:szCs w:val="22"/>
              </w:rPr>
              <w:t xml:space="preserve">               San Diego Gas &amp; Electric Company</w:t>
            </w:r>
          </w:p>
          <w:p w:rsidR="00BF32C9" w:rsidRPr="0018503B" w:rsidRDefault="00BF32C9" w:rsidP="003C2AD9">
            <w:pPr>
              <w:tabs>
                <w:tab w:val="right" w:pos="4475"/>
              </w:tabs>
              <w:rPr>
                <w:color w:val="000000"/>
                <w:szCs w:val="22"/>
              </w:rPr>
            </w:pPr>
            <w:r w:rsidRPr="0018503B">
              <w:rPr>
                <w:color w:val="000000"/>
                <w:szCs w:val="22"/>
              </w:rPr>
              <w:t xml:space="preserve">                8315 Century Park Court CP 21D</w:t>
            </w:r>
          </w:p>
          <w:p w:rsidR="00BF32C9" w:rsidRPr="0018503B" w:rsidRDefault="00BF32C9" w:rsidP="003C2AD9">
            <w:pPr>
              <w:tabs>
                <w:tab w:val="right" w:pos="4475"/>
              </w:tabs>
              <w:rPr>
                <w:color w:val="000000"/>
                <w:szCs w:val="22"/>
              </w:rPr>
            </w:pPr>
            <w:r w:rsidRPr="0018503B">
              <w:rPr>
                <w:color w:val="000000"/>
                <w:szCs w:val="22"/>
              </w:rPr>
              <w:t xml:space="preserve">                San Diego CA  92123-1593</w:t>
            </w:r>
          </w:p>
          <w:p w:rsidR="00BF32C9" w:rsidRPr="0018503B" w:rsidRDefault="00BF32C9" w:rsidP="003C2AD9">
            <w:pPr>
              <w:tabs>
                <w:tab w:val="right" w:pos="4475"/>
              </w:tabs>
              <w:rPr>
                <w:color w:val="000000"/>
                <w:szCs w:val="22"/>
              </w:rPr>
            </w:pPr>
            <w:r w:rsidRPr="0018503B">
              <w:rPr>
                <w:color w:val="000000"/>
                <w:szCs w:val="22"/>
              </w:rPr>
              <w:t xml:space="preserve">                Attn: Contract Administration</w:t>
            </w:r>
          </w:p>
          <w:p w:rsidR="00BF32C9" w:rsidRPr="0018503B" w:rsidRDefault="00BF32C9" w:rsidP="003C2AD9">
            <w:pPr>
              <w:tabs>
                <w:tab w:val="right" w:pos="4475"/>
              </w:tabs>
              <w:rPr>
                <w:color w:val="000000"/>
                <w:szCs w:val="22"/>
              </w:rPr>
            </w:pPr>
            <w:r w:rsidRPr="0018503B">
              <w:rPr>
                <w:color w:val="000000"/>
                <w:szCs w:val="22"/>
              </w:rPr>
              <w:t xml:space="preserve">                Telephone: (858) 650-6176</w:t>
            </w:r>
          </w:p>
          <w:p w:rsidR="00BF32C9" w:rsidRPr="0018503B" w:rsidRDefault="00BF32C9" w:rsidP="003C2AD9">
            <w:pPr>
              <w:tabs>
                <w:tab w:val="right" w:pos="4475"/>
              </w:tabs>
              <w:rPr>
                <w:color w:val="000000"/>
                <w:szCs w:val="22"/>
              </w:rPr>
            </w:pPr>
            <w:r w:rsidRPr="0018503B">
              <w:rPr>
                <w:color w:val="000000"/>
                <w:szCs w:val="22"/>
              </w:rPr>
              <w:t xml:space="preserve">                Facsimile: (858) 650-6190</w:t>
            </w:r>
          </w:p>
          <w:p w:rsidR="00BF32C9" w:rsidRPr="0018503B" w:rsidRDefault="00BF32C9" w:rsidP="003C2AD9">
            <w:pPr>
              <w:tabs>
                <w:tab w:val="right" w:pos="4475"/>
              </w:tabs>
              <w:rPr>
                <w:color w:val="000000"/>
                <w:szCs w:val="22"/>
              </w:rPr>
            </w:pPr>
            <w:r w:rsidRPr="0018503B">
              <w:rPr>
                <w:color w:val="000000"/>
                <w:szCs w:val="22"/>
              </w:rPr>
              <w:t xml:space="preserve">                Duns: 006911457</w:t>
            </w:r>
          </w:p>
          <w:p w:rsidR="00BF32C9" w:rsidRPr="0018503B" w:rsidRDefault="00BF32C9" w:rsidP="003C2AD9">
            <w:pPr>
              <w:tabs>
                <w:tab w:val="right" w:pos="4662"/>
              </w:tabs>
              <w:ind w:right="-378"/>
              <w:rPr>
                <w:b/>
                <w:color w:val="000000"/>
                <w:szCs w:val="22"/>
              </w:rPr>
            </w:pPr>
            <w:r w:rsidRPr="0018503B">
              <w:rPr>
                <w:color w:val="000000"/>
                <w:szCs w:val="22"/>
              </w:rPr>
              <w:t xml:space="preserve">                Federal Tax ID Number: 95-1184800</w:t>
            </w:r>
          </w:p>
        </w:tc>
      </w:tr>
      <w:tr w:rsidR="00BF32C9" w:rsidRPr="0018503B" w:rsidTr="003C2AD9">
        <w:trPr>
          <w:cantSplit/>
        </w:trPr>
        <w:tc>
          <w:tcPr>
            <w:tcW w:w="4680" w:type="dxa"/>
          </w:tcPr>
          <w:p w:rsidR="00BF32C9" w:rsidRPr="0018503B" w:rsidRDefault="00BF32C9" w:rsidP="003C2AD9">
            <w:pPr>
              <w:tabs>
                <w:tab w:val="left" w:pos="972"/>
                <w:tab w:val="right" w:pos="4320"/>
              </w:tabs>
              <w:ind w:left="288" w:hanging="288"/>
              <w:rPr>
                <w:b/>
                <w:color w:val="000000"/>
                <w:szCs w:val="22"/>
              </w:rPr>
            </w:pPr>
            <w:r w:rsidRPr="0018503B">
              <w:rPr>
                <w:b/>
                <w:color w:val="000000"/>
                <w:szCs w:val="22"/>
              </w:rPr>
              <w:t xml:space="preserve">Invoices:  </w:t>
            </w:r>
          </w:p>
          <w:p w:rsidR="00BF32C9" w:rsidRPr="0018503B" w:rsidRDefault="00BF32C9" w:rsidP="003C2AD9">
            <w:pPr>
              <w:tabs>
                <w:tab w:val="left" w:pos="972"/>
                <w:tab w:val="right" w:pos="4320"/>
              </w:tabs>
              <w:ind w:left="288" w:hanging="288"/>
              <w:rPr>
                <w:b/>
                <w:color w:val="000000"/>
                <w:szCs w:val="22"/>
              </w:rPr>
            </w:pPr>
          </w:p>
          <w:p w:rsidR="00BF32C9" w:rsidRPr="0018503B" w:rsidRDefault="00BF32C9" w:rsidP="003C2AD9">
            <w:pPr>
              <w:tabs>
                <w:tab w:val="right" w:pos="4122"/>
              </w:tabs>
              <w:ind w:left="252"/>
              <w:rPr>
                <w:color w:val="000000"/>
                <w:szCs w:val="22"/>
                <w:u w:val="single"/>
              </w:rPr>
            </w:pPr>
          </w:p>
          <w:p w:rsidR="00BF32C9" w:rsidRPr="0018503B" w:rsidRDefault="00BF32C9" w:rsidP="003C2AD9">
            <w:pPr>
              <w:tabs>
                <w:tab w:val="right" w:pos="4122"/>
              </w:tabs>
              <w:ind w:left="288" w:hanging="36"/>
              <w:rPr>
                <w:color w:val="000000"/>
                <w:szCs w:val="22"/>
              </w:rPr>
            </w:pPr>
          </w:p>
        </w:tc>
        <w:tc>
          <w:tcPr>
            <w:tcW w:w="4680" w:type="dxa"/>
          </w:tcPr>
          <w:p w:rsidR="00BF32C9" w:rsidRPr="0018503B" w:rsidRDefault="00BF32C9" w:rsidP="003C2AD9">
            <w:pPr>
              <w:tabs>
                <w:tab w:val="right" w:pos="4475"/>
              </w:tabs>
              <w:ind w:left="252" w:hanging="288"/>
              <w:rPr>
                <w:b/>
                <w:color w:val="000000"/>
                <w:szCs w:val="22"/>
              </w:rPr>
            </w:pPr>
            <w:r w:rsidRPr="0018503B">
              <w:rPr>
                <w:b/>
                <w:color w:val="000000"/>
                <w:szCs w:val="22"/>
              </w:rPr>
              <w:t xml:space="preserve">Invoices:   </w:t>
            </w:r>
          </w:p>
          <w:p w:rsidR="00BF32C9" w:rsidRPr="0018503B" w:rsidRDefault="00BF32C9" w:rsidP="003C2AD9">
            <w:pPr>
              <w:tabs>
                <w:tab w:val="right" w:pos="4475"/>
              </w:tabs>
              <w:ind w:left="252" w:hanging="288"/>
              <w:rPr>
                <w:b/>
                <w:color w:val="000000"/>
                <w:szCs w:val="22"/>
              </w:rPr>
            </w:pPr>
          </w:p>
          <w:p w:rsidR="00BF32C9" w:rsidRPr="0018503B" w:rsidRDefault="00BF32C9" w:rsidP="003C2AD9">
            <w:pPr>
              <w:tabs>
                <w:tab w:val="right" w:pos="4475"/>
              </w:tabs>
              <w:ind w:left="252" w:hanging="288"/>
              <w:rPr>
                <w:color w:val="000000"/>
                <w:szCs w:val="22"/>
              </w:rPr>
            </w:pPr>
            <w:r w:rsidRPr="0018503B">
              <w:rPr>
                <w:b/>
                <w:color w:val="000000"/>
                <w:szCs w:val="22"/>
              </w:rPr>
              <w:t xml:space="preserve">               </w:t>
            </w:r>
            <w:r w:rsidRPr="0018503B">
              <w:rPr>
                <w:color w:val="000000"/>
                <w:szCs w:val="22"/>
              </w:rPr>
              <w:t>San Diego Gas &amp; Electric Company</w:t>
            </w:r>
          </w:p>
          <w:p w:rsidR="00BF32C9" w:rsidRPr="0018503B" w:rsidRDefault="00BF32C9" w:rsidP="003C2AD9">
            <w:pPr>
              <w:tabs>
                <w:tab w:val="right" w:pos="4475"/>
              </w:tabs>
              <w:ind w:left="252" w:hanging="288"/>
              <w:rPr>
                <w:color w:val="000000"/>
                <w:szCs w:val="22"/>
              </w:rPr>
            </w:pPr>
            <w:r w:rsidRPr="0018503B">
              <w:rPr>
                <w:color w:val="000000"/>
                <w:szCs w:val="22"/>
              </w:rPr>
              <w:t xml:space="preserve">               8315 Century Park Court</w:t>
            </w:r>
          </w:p>
          <w:p w:rsidR="00BF32C9" w:rsidRPr="0018503B" w:rsidRDefault="00BF32C9" w:rsidP="003C2AD9">
            <w:pPr>
              <w:tabs>
                <w:tab w:val="right" w:pos="4475"/>
              </w:tabs>
              <w:ind w:left="252" w:hanging="288"/>
              <w:rPr>
                <w:color w:val="000000"/>
                <w:szCs w:val="22"/>
              </w:rPr>
            </w:pPr>
            <w:r w:rsidRPr="0018503B">
              <w:rPr>
                <w:color w:val="000000"/>
                <w:szCs w:val="22"/>
              </w:rPr>
              <w:t xml:space="preserve">               San Diego CA  92123-1593</w:t>
            </w:r>
          </w:p>
          <w:p w:rsidR="00BF32C9" w:rsidRPr="0018503B" w:rsidRDefault="00BF32C9" w:rsidP="003C2AD9">
            <w:pPr>
              <w:tabs>
                <w:tab w:val="right" w:pos="4475"/>
              </w:tabs>
              <w:ind w:left="252" w:hanging="288"/>
              <w:rPr>
                <w:color w:val="000000"/>
                <w:szCs w:val="22"/>
              </w:rPr>
            </w:pPr>
            <w:r w:rsidRPr="0018503B">
              <w:rPr>
                <w:color w:val="000000"/>
                <w:szCs w:val="22"/>
              </w:rPr>
              <w:t xml:space="preserve">               Attn: Energy Accounting Manager</w:t>
            </w:r>
          </w:p>
          <w:p w:rsidR="00BF32C9" w:rsidRPr="0018503B" w:rsidRDefault="00BF32C9" w:rsidP="003C2AD9">
            <w:pPr>
              <w:tabs>
                <w:tab w:val="right" w:pos="4475"/>
              </w:tabs>
              <w:ind w:left="252" w:hanging="288"/>
              <w:rPr>
                <w:color w:val="000000"/>
                <w:szCs w:val="22"/>
              </w:rPr>
            </w:pPr>
            <w:r w:rsidRPr="0018503B">
              <w:rPr>
                <w:color w:val="000000"/>
                <w:szCs w:val="22"/>
              </w:rPr>
              <w:t xml:space="preserve">               Telephone: (858) 650-6177</w:t>
            </w:r>
          </w:p>
          <w:p w:rsidR="00BF32C9" w:rsidRPr="0018503B" w:rsidRDefault="00BF32C9" w:rsidP="003C2AD9">
            <w:pPr>
              <w:tabs>
                <w:tab w:val="right" w:pos="4475"/>
              </w:tabs>
              <w:ind w:left="252" w:hanging="288"/>
              <w:rPr>
                <w:color w:val="000000"/>
                <w:szCs w:val="22"/>
              </w:rPr>
            </w:pPr>
            <w:r w:rsidRPr="0018503B">
              <w:rPr>
                <w:color w:val="000000"/>
                <w:szCs w:val="22"/>
              </w:rPr>
              <w:t xml:space="preserve">               Facsimile: (858) 650-6190</w:t>
            </w:r>
          </w:p>
          <w:p w:rsidR="00BF32C9" w:rsidRPr="0018503B" w:rsidRDefault="00BF32C9" w:rsidP="003C2AD9">
            <w:pPr>
              <w:tabs>
                <w:tab w:val="left" w:pos="972"/>
                <w:tab w:val="right" w:pos="4320"/>
              </w:tabs>
              <w:ind w:left="288" w:hanging="288"/>
              <w:rPr>
                <w:color w:val="000000"/>
                <w:szCs w:val="22"/>
              </w:rPr>
            </w:pPr>
          </w:p>
        </w:tc>
      </w:tr>
      <w:tr w:rsidR="00BF32C9" w:rsidRPr="0018503B" w:rsidTr="003C2AD9">
        <w:trPr>
          <w:cantSplit/>
        </w:trPr>
        <w:tc>
          <w:tcPr>
            <w:tcW w:w="4680" w:type="dxa"/>
          </w:tcPr>
          <w:p w:rsidR="00BF32C9" w:rsidRPr="0018503B" w:rsidRDefault="00BF32C9" w:rsidP="003C2AD9">
            <w:pPr>
              <w:spacing w:after="200"/>
              <w:ind w:left="288" w:hanging="288"/>
              <w:rPr>
                <w:szCs w:val="22"/>
              </w:rPr>
            </w:pPr>
            <w:r w:rsidRPr="0018503B">
              <w:rPr>
                <w:b/>
                <w:color w:val="000000"/>
                <w:szCs w:val="22"/>
              </w:rPr>
              <w:t>Scheduling:</w:t>
            </w:r>
            <w:r w:rsidRPr="0018503B">
              <w:rPr>
                <w:szCs w:val="22"/>
              </w:rPr>
              <w:t xml:space="preserve"> </w:t>
            </w:r>
          </w:p>
          <w:p w:rsidR="00BF32C9" w:rsidRPr="0018503B" w:rsidRDefault="00BF32C9" w:rsidP="00BF32C9">
            <w:pPr>
              <w:tabs>
                <w:tab w:val="left" w:pos="972"/>
                <w:tab w:val="right" w:pos="4320"/>
              </w:tabs>
              <w:ind w:left="288" w:hanging="288"/>
              <w:rPr>
                <w:color w:val="000000"/>
                <w:szCs w:val="22"/>
              </w:rPr>
            </w:pPr>
            <w:r w:rsidRPr="0018503B">
              <w:rPr>
                <w:szCs w:val="22"/>
              </w:rPr>
              <w:t xml:space="preserve"> </w:t>
            </w:r>
          </w:p>
        </w:tc>
        <w:tc>
          <w:tcPr>
            <w:tcW w:w="4680" w:type="dxa"/>
          </w:tcPr>
          <w:p w:rsidR="00BF32C9" w:rsidRPr="0018503B" w:rsidRDefault="00BF32C9" w:rsidP="003C2AD9">
            <w:pPr>
              <w:tabs>
                <w:tab w:val="right" w:pos="4475"/>
              </w:tabs>
              <w:ind w:left="252" w:hanging="288"/>
              <w:rPr>
                <w:b/>
                <w:color w:val="000000"/>
                <w:szCs w:val="22"/>
              </w:rPr>
            </w:pPr>
            <w:r w:rsidRPr="0018503B">
              <w:rPr>
                <w:b/>
                <w:color w:val="000000"/>
                <w:szCs w:val="22"/>
              </w:rPr>
              <w:t xml:space="preserve">Scheduling:  </w:t>
            </w:r>
          </w:p>
          <w:p w:rsidR="00BF32C9" w:rsidRPr="0018503B" w:rsidRDefault="00BF32C9" w:rsidP="003C2AD9">
            <w:pPr>
              <w:tabs>
                <w:tab w:val="right" w:pos="4475"/>
              </w:tabs>
              <w:ind w:left="252" w:hanging="288"/>
              <w:rPr>
                <w:b/>
                <w:color w:val="000000"/>
                <w:szCs w:val="22"/>
              </w:rPr>
            </w:pPr>
          </w:p>
          <w:p w:rsidR="00BF32C9" w:rsidRPr="0018503B" w:rsidRDefault="00BF32C9" w:rsidP="003C2AD9">
            <w:pPr>
              <w:tabs>
                <w:tab w:val="right" w:pos="4475"/>
              </w:tabs>
              <w:ind w:left="252" w:hanging="288"/>
              <w:rPr>
                <w:color w:val="000000"/>
                <w:szCs w:val="22"/>
              </w:rPr>
            </w:pPr>
            <w:r w:rsidRPr="0018503B">
              <w:rPr>
                <w:color w:val="000000"/>
                <w:szCs w:val="22"/>
              </w:rPr>
              <w:t xml:space="preserve">               San Diego Gas &amp; Electric Company</w:t>
            </w:r>
          </w:p>
          <w:p w:rsidR="00BF32C9" w:rsidRPr="0018503B" w:rsidRDefault="00BF32C9" w:rsidP="003C2AD9">
            <w:pPr>
              <w:tabs>
                <w:tab w:val="right" w:pos="4475"/>
              </w:tabs>
              <w:ind w:left="252" w:hanging="288"/>
              <w:rPr>
                <w:color w:val="000000"/>
                <w:szCs w:val="22"/>
              </w:rPr>
            </w:pPr>
            <w:r w:rsidRPr="0018503B">
              <w:rPr>
                <w:color w:val="000000"/>
                <w:szCs w:val="22"/>
              </w:rPr>
              <w:t xml:space="preserve">               8315 Century Park Court, CP 21D</w:t>
            </w:r>
          </w:p>
          <w:p w:rsidR="00BF32C9" w:rsidRPr="0018503B" w:rsidRDefault="00BF32C9" w:rsidP="003C2AD9">
            <w:pPr>
              <w:tabs>
                <w:tab w:val="right" w:pos="4475"/>
              </w:tabs>
              <w:ind w:left="252" w:hanging="288"/>
              <w:rPr>
                <w:color w:val="000000"/>
                <w:szCs w:val="22"/>
              </w:rPr>
            </w:pPr>
            <w:r w:rsidRPr="0018503B">
              <w:rPr>
                <w:color w:val="000000"/>
                <w:szCs w:val="22"/>
              </w:rPr>
              <w:t xml:space="preserve">               San Diego, CA  92123-1593</w:t>
            </w:r>
          </w:p>
          <w:p w:rsidR="00BF32C9" w:rsidRPr="0018503B" w:rsidRDefault="00BF32C9" w:rsidP="003C2AD9">
            <w:pPr>
              <w:tabs>
                <w:tab w:val="right" w:pos="4475"/>
              </w:tabs>
              <w:ind w:left="252" w:right="-378" w:hanging="288"/>
              <w:rPr>
                <w:color w:val="000000"/>
                <w:szCs w:val="22"/>
              </w:rPr>
            </w:pPr>
            <w:r w:rsidRPr="0018503B">
              <w:rPr>
                <w:color w:val="000000"/>
                <w:szCs w:val="22"/>
              </w:rPr>
              <w:t xml:space="preserve">               Attn: Transaction Scheduling Manager</w:t>
            </w:r>
          </w:p>
          <w:p w:rsidR="00BF32C9" w:rsidRPr="0018503B" w:rsidRDefault="00BF32C9" w:rsidP="003C2AD9">
            <w:pPr>
              <w:tabs>
                <w:tab w:val="right" w:pos="4475"/>
              </w:tabs>
              <w:ind w:left="252" w:hanging="288"/>
              <w:rPr>
                <w:color w:val="000000"/>
                <w:szCs w:val="22"/>
              </w:rPr>
            </w:pPr>
            <w:r w:rsidRPr="0018503B">
              <w:rPr>
                <w:b/>
                <w:color w:val="000000"/>
                <w:szCs w:val="22"/>
              </w:rPr>
              <w:t xml:space="preserve">               </w:t>
            </w:r>
            <w:r w:rsidRPr="0018503B">
              <w:rPr>
                <w:color w:val="000000"/>
                <w:szCs w:val="22"/>
              </w:rPr>
              <w:t>Day Ahead (858) 650-6168</w:t>
            </w:r>
          </w:p>
          <w:p w:rsidR="00BF32C9" w:rsidRPr="0018503B" w:rsidRDefault="00BF32C9" w:rsidP="003C2AD9">
            <w:pPr>
              <w:tabs>
                <w:tab w:val="right" w:pos="4475"/>
              </w:tabs>
              <w:ind w:left="263"/>
              <w:rPr>
                <w:color w:val="000000"/>
                <w:szCs w:val="22"/>
              </w:rPr>
            </w:pPr>
            <w:r w:rsidRPr="0018503B">
              <w:rPr>
                <w:color w:val="000000"/>
                <w:szCs w:val="22"/>
              </w:rPr>
              <w:t xml:space="preserve">          Real Time  (858) 650-6160</w:t>
            </w:r>
          </w:p>
          <w:p w:rsidR="00BF32C9" w:rsidRPr="0018503B" w:rsidRDefault="00BF32C9" w:rsidP="003C2AD9">
            <w:pPr>
              <w:tabs>
                <w:tab w:val="right" w:pos="4475"/>
              </w:tabs>
              <w:ind w:left="263"/>
              <w:rPr>
                <w:color w:val="000000"/>
                <w:szCs w:val="22"/>
              </w:rPr>
            </w:pPr>
            <w:r w:rsidRPr="0018503B">
              <w:rPr>
                <w:color w:val="000000"/>
                <w:szCs w:val="22"/>
              </w:rPr>
              <w:t xml:space="preserve">          Facsimile: (858) 650-6191</w:t>
            </w:r>
          </w:p>
          <w:p w:rsidR="00BF32C9" w:rsidRPr="0018503B" w:rsidRDefault="00BF32C9" w:rsidP="003C2AD9">
            <w:pPr>
              <w:tabs>
                <w:tab w:val="right" w:pos="4475"/>
              </w:tabs>
              <w:ind w:left="263"/>
              <w:rPr>
                <w:color w:val="000000"/>
                <w:szCs w:val="22"/>
              </w:rPr>
            </w:pPr>
          </w:p>
        </w:tc>
      </w:tr>
      <w:tr w:rsidR="00BF32C9" w:rsidRPr="0018503B" w:rsidTr="003C2AD9">
        <w:trPr>
          <w:cantSplit/>
        </w:trPr>
        <w:tc>
          <w:tcPr>
            <w:tcW w:w="4680" w:type="dxa"/>
          </w:tcPr>
          <w:p w:rsidR="00BF32C9" w:rsidRPr="0018503B" w:rsidRDefault="00BF32C9" w:rsidP="00BF32C9">
            <w:pPr>
              <w:tabs>
                <w:tab w:val="left" w:pos="972"/>
                <w:tab w:val="right" w:pos="4320"/>
              </w:tabs>
              <w:rPr>
                <w:color w:val="000000"/>
                <w:szCs w:val="22"/>
                <w:u w:val="single"/>
              </w:rPr>
            </w:pPr>
            <w:r w:rsidRPr="0018503B">
              <w:rPr>
                <w:b/>
                <w:color w:val="000000"/>
                <w:szCs w:val="22"/>
              </w:rPr>
              <w:lastRenderedPageBreak/>
              <w:t>Payments:</w:t>
            </w:r>
            <w:r w:rsidRPr="0018503B">
              <w:rPr>
                <w:color w:val="000000"/>
                <w:szCs w:val="22"/>
              </w:rPr>
              <w:t xml:space="preserve"> </w:t>
            </w:r>
          </w:p>
        </w:tc>
        <w:tc>
          <w:tcPr>
            <w:tcW w:w="4680" w:type="dxa"/>
          </w:tcPr>
          <w:p w:rsidR="00BF32C9" w:rsidRPr="0018503B" w:rsidRDefault="00BF32C9" w:rsidP="003C2AD9">
            <w:pPr>
              <w:tabs>
                <w:tab w:val="right" w:pos="4842"/>
              </w:tabs>
              <w:ind w:right="-378"/>
              <w:rPr>
                <w:color w:val="000000"/>
                <w:szCs w:val="22"/>
              </w:rPr>
            </w:pPr>
            <w:r w:rsidRPr="0018503B">
              <w:rPr>
                <w:b/>
                <w:color w:val="000000"/>
                <w:szCs w:val="22"/>
              </w:rPr>
              <w:t xml:space="preserve">Payments: </w:t>
            </w:r>
            <w:r w:rsidRPr="0018503B">
              <w:rPr>
                <w:color w:val="000000"/>
                <w:szCs w:val="22"/>
              </w:rPr>
              <w:t>San Diego Gas &amp; Electric Company</w:t>
            </w:r>
          </w:p>
          <w:p w:rsidR="00BF32C9" w:rsidRPr="0018503B" w:rsidRDefault="00BF32C9" w:rsidP="003C2AD9">
            <w:pPr>
              <w:tabs>
                <w:tab w:val="right" w:pos="4475"/>
              </w:tabs>
              <w:ind w:left="252" w:hanging="288"/>
              <w:rPr>
                <w:color w:val="000000"/>
                <w:szCs w:val="22"/>
              </w:rPr>
            </w:pPr>
            <w:r w:rsidRPr="0018503B">
              <w:rPr>
                <w:color w:val="000000"/>
                <w:szCs w:val="22"/>
              </w:rPr>
              <w:t xml:space="preserve">                   8315 Century Park Court</w:t>
            </w:r>
          </w:p>
          <w:p w:rsidR="00BF32C9" w:rsidRPr="0018503B" w:rsidRDefault="00BF32C9" w:rsidP="003C2AD9">
            <w:pPr>
              <w:tabs>
                <w:tab w:val="right" w:pos="4475"/>
              </w:tabs>
              <w:ind w:left="252" w:hanging="288"/>
              <w:rPr>
                <w:color w:val="000000"/>
                <w:szCs w:val="22"/>
              </w:rPr>
            </w:pPr>
            <w:r w:rsidRPr="0018503B">
              <w:rPr>
                <w:color w:val="000000"/>
                <w:szCs w:val="22"/>
              </w:rPr>
              <w:t xml:space="preserve">                   San Diego CA  92123-1593</w:t>
            </w:r>
          </w:p>
          <w:p w:rsidR="00BF32C9" w:rsidRPr="0018503B" w:rsidRDefault="00BF32C9" w:rsidP="003C2AD9">
            <w:pPr>
              <w:tabs>
                <w:tab w:val="right" w:pos="4475"/>
              </w:tabs>
              <w:ind w:left="252" w:hanging="288"/>
              <w:rPr>
                <w:color w:val="000000"/>
                <w:szCs w:val="22"/>
              </w:rPr>
            </w:pPr>
            <w:r w:rsidRPr="0018503B">
              <w:rPr>
                <w:color w:val="000000"/>
                <w:szCs w:val="22"/>
              </w:rPr>
              <w:t xml:space="preserve">                   Attn: Energy Accounting Manager</w:t>
            </w:r>
          </w:p>
          <w:p w:rsidR="00BF32C9" w:rsidRPr="0018503B" w:rsidRDefault="00BF32C9" w:rsidP="003C2AD9">
            <w:pPr>
              <w:tabs>
                <w:tab w:val="right" w:pos="4475"/>
              </w:tabs>
              <w:ind w:left="252" w:hanging="288"/>
              <w:rPr>
                <w:color w:val="000000"/>
                <w:szCs w:val="22"/>
              </w:rPr>
            </w:pPr>
            <w:r w:rsidRPr="0018503B">
              <w:rPr>
                <w:color w:val="000000"/>
                <w:szCs w:val="22"/>
              </w:rPr>
              <w:t xml:space="preserve">                   Telephone: (858) 650-6177</w:t>
            </w:r>
          </w:p>
          <w:p w:rsidR="00BF32C9" w:rsidRPr="0018503B" w:rsidRDefault="00BF32C9" w:rsidP="003C2AD9">
            <w:pPr>
              <w:tabs>
                <w:tab w:val="right" w:pos="4475"/>
              </w:tabs>
              <w:ind w:left="252" w:hanging="288"/>
              <w:rPr>
                <w:color w:val="000000"/>
                <w:szCs w:val="22"/>
              </w:rPr>
            </w:pPr>
            <w:r w:rsidRPr="0018503B">
              <w:rPr>
                <w:color w:val="000000"/>
                <w:szCs w:val="22"/>
              </w:rPr>
              <w:t xml:space="preserve">                   Facsimile: (858) 650-6190</w:t>
            </w:r>
          </w:p>
          <w:p w:rsidR="00BF32C9" w:rsidRPr="0018503B" w:rsidRDefault="00BF32C9" w:rsidP="003C2AD9">
            <w:pPr>
              <w:tabs>
                <w:tab w:val="right" w:pos="4475"/>
              </w:tabs>
              <w:ind w:left="263"/>
              <w:rPr>
                <w:color w:val="000000"/>
                <w:szCs w:val="22"/>
              </w:rPr>
            </w:pPr>
          </w:p>
        </w:tc>
      </w:tr>
      <w:tr w:rsidR="00BF32C9" w:rsidRPr="0018503B" w:rsidTr="003C2AD9">
        <w:trPr>
          <w:cantSplit/>
        </w:trPr>
        <w:tc>
          <w:tcPr>
            <w:tcW w:w="4680" w:type="dxa"/>
          </w:tcPr>
          <w:p w:rsidR="00BF32C9" w:rsidRPr="0018503B" w:rsidRDefault="00BF32C9" w:rsidP="003C2AD9">
            <w:pPr>
              <w:ind w:left="252" w:hanging="252"/>
              <w:rPr>
                <w:szCs w:val="22"/>
              </w:rPr>
            </w:pPr>
            <w:r w:rsidRPr="0018503B">
              <w:rPr>
                <w:b/>
                <w:color w:val="000000"/>
                <w:szCs w:val="22"/>
              </w:rPr>
              <w:t>Wire Transfer:</w:t>
            </w:r>
            <w:r w:rsidRPr="0018503B">
              <w:rPr>
                <w:szCs w:val="22"/>
              </w:rPr>
              <w:t xml:space="preserve"> </w:t>
            </w:r>
          </w:p>
          <w:p w:rsidR="00BF32C9" w:rsidRPr="0018503B" w:rsidRDefault="00BF32C9" w:rsidP="003C2AD9">
            <w:pPr>
              <w:pStyle w:val="BodyTextIndent"/>
              <w:ind w:left="0"/>
              <w:rPr>
                <w:color w:val="000000"/>
              </w:rPr>
            </w:pPr>
          </w:p>
        </w:tc>
        <w:tc>
          <w:tcPr>
            <w:tcW w:w="4680" w:type="dxa"/>
          </w:tcPr>
          <w:p w:rsidR="00BF32C9" w:rsidRPr="0018503B" w:rsidRDefault="00BF32C9" w:rsidP="003C2AD9">
            <w:pPr>
              <w:tabs>
                <w:tab w:val="left" w:pos="2412"/>
                <w:tab w:val="right" w:pos="4475"/>
              </w:tabs>
              <w:ind w:left="252" w:hanging="288"/>
              <w:rPr>
                <w:color w:val="000000"/>
                <w:szCs w:val="22"/>
              </w:rPr>
            </w:pPr>
            <w:r w:rsidRPr="0018503B">
              <w:rPr>
                <w:b/>
                <w:color w:val="000000"/>
                <w:szCs w:val="22"/>
              </w:rPr>
              <w:t xml:space="preserve">Wire Transfer:  </w:t>
            </w:r>
            <w:r w:rsidRPr="0018503B">
              <w:rPr>
                <w:color w:val="000000"/>
                <w:szCs w:val="22"/>
              </w:rPr>
              <w:t>Union Bank of California</w:t>
            </w:r>
          </w:p>
          <w:p w:rsidR="00BF32C9" w:rsidRPr="0018503B" w:rsidRDefault="00BF32C9" w:rsidP="003C2AD9">
            <w:pPr>
              <w:tabs>
                <w:tab w:val="left" w:pos="2412"/>
                <w:tab w:val="right" w:pos="4475"/>
              </w:tabs>
              <w:ind w:left="252" w:hanging="288"/>
              <w:rPr>
                <w:color w:val="000000"/>
                <w:szCs w:val="22"/>
              </w:rPr>
            </w:pPr>
            <w:r w:rsidRPr="0018503B">
              <w:rPr>
                <w:color w:val="000000"/>
                <w:szCs w:val="22"/>
              </w:rPr>
              <w:t xml:space="preserve">                          445 South Figueroa Street</w:t>
            </w:r>
          </w:p>
          <w:p w:rsidR="00BF32C9" w:rsidRPr="0018503B" w:rsidRDefault="00BF32C9" w:rsidP="003C2AD9">
            <w:pPr>
              <w:tabs>
                <w:tab w:val="left" w:pos="2412"/>
                <w:tab w:val="right" w:pos="4475"/>
              </w:tabs>
              <w:ind w:left="252" w:hanging="288"/>
              <w:rPr>
                <w:color w:val="000000"/>
                <w:szCs w:val="22"/>
              </w:rPr>
            </w:pPr>
            <w:r w:rsidRPr="0018503B">
              <w:rPr>
                <w:color w:val="000000"/>
                <w:szCs w:val="22"/>
              </w:rPr>
              <w:t xml:space="preserve">                          Los Angeles CA  90071</w:t>
            </w:r>
          </w:p>
          <w:p w:rsidR="00BF32C9" w:rsidRPr="0018503B" w:rsidRDefault="00BF32C9" w:rsidP="003C2AD9">
            <w:pPr>
              <w:tabs>
                <w:tab w:val="left" w:pos="2412"/>
                <w:tab w:val="right" w:pos="4842"/>
              </w:tabs>
              <w:ind w:left="252" w:right="-378" w:hanging="288"/>
              <w:rPr>
                <w:color w:val="000000"/>
                <w:szCs w:val="22"/>
              </w:rPr>
            </w:pPr>
            <w:r w:rsidRPr="0018503B">
              <w:rPr>
                <w:color w:val="000000"/>
                <w:szCs w:val="22"/>
              </w:rPr>
              <w:t xml:space="preserve">    ABA Routing Number: 122000496</w:t>
            </w:r>
          </w:p>
          <w:p w:rsidR="00BF32C9" w:rsidRPr="0018503B" w:rsidRDefault="00BF32C9" w:rsidP="003C2AD9">
            <w:pPr>
              <w:tabs>
                <w:tab w:val="left" w:pos="2412"/>
                <w:tab w:val="right" w:pos="4475"/>
              </w:tabs>
              <w:ind w:left="1433" w:hanging="1469"/>
              <w:rPr>
                <w:color w:val="000000"/>
                <w:szCs w:val="22"/>
              </w:rPr>
            </w:pPr>
            <w:r w:rsidRPr="0018503B">
              <w:rPr>
                <w:color w:val="000000"/>
                <w:szCs w:val="22"/>
              </w:rPr>
              <w:t xml:space="preserve">    Payee: San Diego Gas &amp; Electric Company</w:t>
            </w:r>
          </w:p>
          <w:p w:rsidR="00BF32C9" w:rsidRPr="0018503B" w:rsidRDefault="00BF32C9" w:rsidP="003C2AD9">
            <w:pPr>
              <w:tabs>
                <w:tab w:val="left" w:pos="2412"/>
                <w:tab w:val="right" w:pos="4475"/>
              </w:tabs>
              <w:ind w:left="252" w:hanging="288"/>
              <w:rPr>
                <w:color w:val="000000"/>
                <w:szCs w:val="22"/>
              </w:rPr>
            </w:pPr>
            <w:r w:rsidRPr="0018503B">
              <w:rPr>
                <w:color w:val="000000"/>
                <w:szCs w:val="22"/>
              </w:rPr>
              <w:t xml:space="preserve">    Account Number: 4430000352</w:t>
            </w:r>
          </w:p>
          <w:p w:rsidR="00BF32C9" w:rsidRPr="0018503B" w:rsidRDefault="00BF32C9" w:rsidP="003C2AD9">
            <w:pPr>
              <w:tabs>
                <w:tab w:val="left" w:pos="2412"/>
                <w:tab w:val="right" w:pos="4475"/>
              </w:tabs>
              <w:ind w:left="1433" w:hanging="1469"/>
              <w:rPr>
                <w:color w:val="000000"/>
                <w:szCs w:val="22"/>
              </w:rPr>
            </w:pPr>
            <w:r w:rsidRPr="0018503B">
              <w:rPr>
                <w:color w:val="000000"/>
                <w:szCs w:val="22"/>
              </w:rPr>
              <w:t xml:space="preserve">    Confirmation:  SDG&amp;E, Major Markets, </w:t>
            </w:r>
          </w:p>
          <w:p w:rsidR="00BF32C9" w:rsidRPr="0018503B" w:rsidRDefault="00BF32C9" w:rsidP="003C2AD9">
            <w:pPr>
              <w:tabs>
                <w:tab w:val="left" w:pos="2412"/>
                <w:tab w:val="right" w:pos="4475"/>
              </w:tabs>
              <w:ind w:left="1433" w:hanging="1469"/>
              <w:rPr>
                <w:color w:val="000000"/>
                <w:szCs w:val="22"/>
              </w:rPr>
            </w:pPr>
            <w:r w:rsidRPr="0018503B">
              <w:rPr>
                <w:color w:val="000000"/>
                <w:szCs w:val="22"/>
              </w:rPr>
              <w:t xml:space="preserve">    Facsimile: (213) 244-8316</w:t>
            </w:r>
          </w:p>
          <w:p w:rsidR="00BF32C9" w:rsidRPr="0018503B" w:rsidRDefault="00BF32C9" w:rsidP="003C2AD9">
            <w:pPr>
              <w:tabs>
                <w:tab w:val="right" w:pos="4475"/>
              </w:tabs>
              <w:ind w:left="263"/>
              <w:rPr>
                <w:color w:val="000000"/>
                <w:szCs w:val="22"/>
              </w:rPr>
            </w:pPr>
            <w:r w:rsidRPr="0018503B">
              <w:rPr>
                <w:color w:val="000000"/>
                <w:szCs w:val="22"/>
              </w:rPr>
              <w:t xml:space="preserve"> </w:t>
            </w:r>
          </w:p>
        </w:tc>
      </w:tr>
      <w:tr w:rsidR="00BF32C9" w:rsidRPr="0018503B" w:rsidTr="003C2AD9">
        <w:trPr>
          <w:cantSplit/>
        </w:trPr>
        <w:tc>
          <w:tcPr>
            <w:tcW w:w="4680" w:type="dxa"/>
          </w:tcPr>
          <w:p w:rsidR="00BF32C9" w:rsidRPr="0018503B" w:rsidRDefault="00BF32C9" w:rsidP="003C2AD9">
            <w:pPr>
              <w:tabs>
                <w:tab w:val="left" w:pos="972"/>
                <w:tab w:val="right" w:pos="4320"/>
              </w:tabs>
              <w:ind w:left="288" w:right="-108" w:hanging="288"/>
              <w:rPr>
                <w:color w:val="000000"/>
                <w:szCs w:val="22"/>
              </w:rPr>
            </w:pPr>
            <w:r w:rsidRPr="0018503B">
              <w:rPr>
                <w:b/>
                <w:color w:val="000000"/>
                <w:szCs w:val="22"/>
              </w:rPr>
              <w:t>Credit and Collections:</w:t>
            </w:r>
            <w:r w:rsidRPr="0018503B">
              <w:rPr>
                <w:color w:val="000000"/>
                <w:szCs w:val="22"/>
              </w:rPr>
              <w:t xml:space="preserve"> </w:t>
            </w:r>
          </w:p>
          <w:p w:rsidR="00BF32C9" w:rsidRPr="0018503B" w:rsidRDefault="00BF32C9" w:rsidP="00BF32C9">
            <w:pPr>
              <w:tabs>
                <w:tab w:val="right" w:pos="4320"/>
              </w:tabs>
              <w:ind w:left="288" w:hanging="288"/>
              <w:rPr>
                <w:color w:val="000000"/>
                <w:szCs w:val="22"/>
              </w:rPr>
            </w:pPr>
          </w:p>
        </w:tc>
        <w:tc>
          <w:tcPr>
            <w:tcW w:w="4680" w:type="dxa"/>
          </w:tcPr>
          <w:p w:rsidR="00BF32C9" w:rsidRPr="0018503B" w:rsidRDefault="00BF32C9" w:rsidP="003C2AD9">
            <w:pPr>
              <w:tabs>
                <w:tab w:val="left" w:pos="432"/>
                <w:tab w:val="right" w:pos="4475"/>
              </w:tabs>
              <w:ind w:left="1523" w:hanging="1530"/>
              <w:rPr>
                <w:b/>
                <w:color w:val="000000"/>
                <w:szCs w:val="22"/>
              </w:rPr>
            </w:pPr>
            <w:r w:rsidRPr="0018503B">
              <w:rPr>
                <w:b/>
                <w:color w:val="000000"/>
                <w:szCs w:val="22"/>
              </w:rPr>
              <w:t xml:space="preserve">Credit and Collections: </w:t>
            </w:r>
          </w:p>
          <w:p w:rsidR="00BF32C9" w:rsidRPr="0018503B" w:rsidRDefault="00BF32C9" w:rsidP="003C2AD9">
            <w:pPr>
              <w:tabs>
                <w:tab w:val="left" w:pos="432"/>
                <w:tab w:val="right" w:pos="4475"/>
              </w:tabs>
              <w:ind w:left="1523" w:hanging="1530"/>
              <w:rPr>
                <w:color w:val="000000"/>
                <w:szCs w:val="22"/>
              </w:rPr>
            </w:pPr>
            <w:r w:rsidRPr="0018503B">
              <w:rPr>
                <w:color w:val="000000"/>
                <w:szCs w:val="22"/>
              </w:rPr>
              <w:t xml:space="preserve">        San Diego Gas &amp; Electric Company, </w:t>
            </w:r>
          </w:p>
          <w:p w:rsidR="00BF32C9" w:rsidRPr="0018503B" w:rsidRDefault="00BF32C9" w:rsidP="003C2AD9">
            <w:pPr>
              <w:tabs>
                <w:tab w:val="left" w:pos="432"/>
                <w:tab w:val="right" w:pos="4475"/>
              </w:tabs>
              <w:ind w:left="1523" w:hanging="1530"/>
              <w:rPr>
                <w:color w:val="000000"/>
                <w:szCs w:val="22"/>
              </w:rPr>
            </w:pPr>
            <w:r w:rsidRPr="0018503B">
              <w:rPr>
                <w:color w:val="000000"/>
                <w:szCs w:val="22"/>
              </w:rPr>
              <w:t xml:space="preserve">        Major Markets</w:t>
            </w:r>
          </w:p>
          <w:p w:rsidR="00BF32C9" w:rsidRPr="0018503B" w:rsidRDefault="00BF32C9" w:rsidP="003C2AD9">
            <w:pPr>
              <w:tabs>
                <w:tab w:val="left" w:pos="432"/>
                <w:tab w:val="right" w:pos="4475"/>
              </w:tabs>
              <w:ind w:left="245" w:hanging="288"/>
              <w:rPr>
                <w:color w:val="000000"/>
                <w:szCs w:val="22"/>
              </w:rPr>
            </w:pPr>
            <w:r w:rsidRPr="0018503B">
              <w:rPr>
                <w:color w:val="000000"/>
                <w:szCs w:val="22"/>
              </w:rPr>
              <w:t xml:space="preserve">         555 West Fifth Street, ML 10E3</w:t>
            </w:r>
          </w:p>
          <w:p w:rsidR="00BF32C9" w:rsidRPr="0018503B" w:rsidRDefault="00BF32C9" w:rsidP="003C2AD9">
            <w:pPr>
              <w:tabs>
                <w:tab w:val="left" w:pos="432"/>
                <w:tab w:val="right" w:pos="4475"/>
              </w:tabs>
              <w:ind w:left="245" w:hanging="288"/>
              <w:rPr>
                <w:color w:val="000000"/>
                <w:szCs w:val="22"/>
              </w:rPr>
            </w:pPr>
            <w:r w:rsidRPr="0018503B">
              <w:rPr>
                <w:color w:val="000000"/>
                <w:szCs w:val="22"/>
              </w:rPr>
              <w:t xml:space="preserve">         Los Angeles, CA  90013-1011</w:t>
            </w:r>
          </w:p>
          <w:p w:rsidR="00BF32C9" w:rsidRPr="0018503B" w:rsidRDefault="00BF32C9" w:rsidP="003C2AD9">
            <w:pPr>
              <w:tabs>
                <w:tab w:val="left" w:pos="432"/>
                <w:tab w:val="right" w:pos="5022"/>
              </w:tabs>
              <w:ind w:left="1062" w:hanging="1152"/>
              <w:rPr>
                <w:color w:val="000000"/>
                <w:szCs w:val="22"/>
              </w:rPr>
            </w:pPr>
            <w:r w:rsidRPr="0018503B">
              <w:rPr>
                <w:color w:val="000000"/>
                <w:szCs w:val="22"/>
              </w:rPr>
              <w:t xml:space="preserve">          Attn: Major Markets – Credit and Collections Manager</w:t>
            </w:r>
          </w:p>
          <w:p w:rsidR="00BF32C9" w:rsidRPr="0018503B" w:rsidRDefault="00BF32C9" w:rsidP="003C2AD9">
            <w:pPr>
              <w:tabs>
                <w:tab w:val="left" w:pos="432"/>
                <w:tab w:val="right" w:pos="4475"/>
              </w:tabs>
              <w:ind w:left="245" w:hanging="288"/>
              <w:rPr>
                <w:color w:val="000000"/>
                <w:szCs w:val="22"/>
              </w:rPr>
            </w:pPr>
            <w:r w:rsidRPr="0018503B">
              <w:rPr>
                <w:color w:val="000000"/>
                <w:szCs w:val="22"/>
              </w:rPr>
              <w:t xml:space="preserve">                     Telephone: (213) 244-4343</w:t>
            </w:r>
          </w:p>
          <w:p w:rsidR="00BF32C9" w:rsidRPr="0018503B" w:rsidRDefault="00BF32C9" w:rsidP="003C2AD9">
            <w:pPr>
              <w:tabs>
                <w:tab w:val="left" w:pos="432"/>
                <w:tab w:val="right" w:pos="4475"/>
              </w:tabs>
              <w:ind w:left="245" w:hanging="288"/>
              <w:rPr>
                <w:color w:val="000000"/>
                <w:szCs w:val="22"/>
              </w:rPr>
            </w:pPr>
            <w:r w:rsidRPr="0018503B">
              <w:rPr>
                <w:color w:val="000000"/>
                <w:szCs w:val="22"/>
              </w:rPr>
              <w:t xml:space="preserve">                     Facsimile: (213) 244-8316</w:t>
            </w:r>
          </w:p>
          <w:p w:rsidR="00BF32C9" w:rsidRPr="0018503B" w:rsidRDefault="00BF32C9" w:rsidP="003C2AD9">
            <w:pPr>
              <w:tabs>
                <w:tab w:val="right" w:pos="4475"/>
              </w:tabs>
              <w:rPr>
                <w:color w:val="000000"/>
                <w:szCs w:val="22"/>
              </w:rPr>
            </w:pPr>
          </w:p>
        </w:tc>
      </w:tr>
      <w:tr w:rsidR="00BF32C9" w:rsidRPr="0018503B" w:rsidTr="003C2AD9">
        <w:trPr>
          <w:cantSplit/>
        </w:trPr>
        <w:tc>
          <w:tcPr>
            <w:tcW w:w="4680" w:type="dxa"/>
          </w:tcPr>
          <w:p w:rsidR="00BF32C9" w:rsidRPr="0018503B" w:rsidRDefault="00BF32C9" w:rsidP="003C2AD9">
            <w:pPr>
              <w:pStyle w:val="BodyText2"/>
              <w:rPr>
                <w:b w:val="0"/>
                <w:color w:val="000000"/>
                <w:szCs w:val="22"/>
              </w:rPr>
            </w:pPr>
          </w:p>
          <w:p w:rsidR="00BF32C9" w:rsidRPr="0018503B" w:rsidRDefault="00BF32C9" w:rsidP="003C2AD9">
            <w:pPr>
              <w:pStyle w:val="BodyText2"/>
              <w:rPr>
                <w:color w:val="000000"/>
                <w:szCs w:val="22"/>
              </w:rPr>
            </w:pPr>
            <w:r w:rsidRPr="0018503B">
              <w:rPr>
                <w:color w:val="000000"/>
                <w:szCs w:val="22"/>
              </w:rPr>
              <w:t>With additional Notices of an Event of Default or Potential Event of Default to:</w:t>
            </w:r>
          </w:p>
          <w:p w:rsidR="00BF32C9" w:rsidRPr="0018503B" w:rsidRDefault="00BF32C9" w:rsidP="003C2AD9">
            <w:pPr>
              <w:tabs>
                <w:tab w:val="right" w:pos="4122"/>
              </w:tabs>
              <w:rPr>
                <w:color w:val="000000"/>
                <w:szCs w:val="22"/>
              </w:rPr>
            </w:pPr>
          </w:p>
        </w:tc>
        <w:tc>
          <w:tcPr>
            <w:tcW w:w="4680" w:type="dxa"/>
          </w:tcPr>
          <w:p w:rsidR="00BF32C9" w:rsidRPr="0018503B" w:rsidRDefault="00BF32C9" w:rsidP="003C2AD9">
            <w:pPr>
              <w:tabs>
                <w:tab w:val="right" w:pos="4475"/>
              </w:tabs>
              <w:ind w:left="263"/>
              <w:rPr>
                <w:color w:val="000000"/>
                <w:szCs w:val="22"/>
              </w:rPr>
            </w:pPr>
          </w:p>
          <w:p w:rsidR="00BF32C9" w:rsidRPr="0018503B" w:rsidRDefault="00BF32C9" w:rsidP="003C2AD9">
            <w:pPr>
              <w:tabs>
                <w:tab w:val="right" w:pos="4475"/>
              </w:tabs>
              <w:ind w:left="263"/>
              <w:rPr>
                <w:b/>
                <w:color w:val="000000"/>
                <w:szCs w:val="22"/>
              </w:rPr>
            </w:pPr>
            <w:r w:rsidRPr="0018503B">
              <w:rPr>
                <w:b/>
                <w:color w:val="000000"/>
                <w:szCs w:val="22"/>
              </w:rPr>
              <w:t xml:space="preserve">With additional Notices of an Event of Default or Potential Event of Default to: </w:t>
            </w:r>
          </w:p>
          <w:p w:rsidR="00BF32C9" w:rsidRPr="0018503B" w:rsidRDefault="00BF32C9" w:rsidP="003C2AD9">
            <w:pPr>
              <w:tabs>
                <w:tab w:val="right" w:pos="4475"/>
              </w:tabs>
              <w:ind w:left="263"/>
              <w:rPr>
                <w:color w:val="000000"/>
                <w:szCs w:val="22"/>
              </w:rPr>
            </w:pPr>
            <w:r w:rsidRPr="0018503B">
              <w:rPr>
                <w:color w:val="000000"/>
                <w:szCs w:val="22"/>
              </w:rPr>
              <w:t>San Diego Gas &amp; Electric Company</w:t>
            </w:r>
          </w:p>
          <w:p w:rsidR="00BF32C9" w:rsidRPr="0018503B" w:rsidRDefault="00BF32C9" w:rsidP="003C2AD9">
            <w:pPr>
              <w:tabs>
                <w:tab w:val="right" w:pos="4475"/>
              </w:tabs>
              <w:ind w:left="263"/>
              <w:rPr>
                <w:color w:val="000000"/>
                <w:szCs w:val="22"/>
              </w:rPr>
            </w:pPr>
            <w:r w:rsidRPr="0018503B">
              <w:rPr>
                <w:color w:val="000000"/>
                <w:szCs w:val="22"/>
              </w:rPr>
              <w:t>8330 Century Park Ct.</w:t>
            </w:r>
          </w:p>
          <w:p w:rsidR="00BF32C9" w:rsidRPr="0018503B" w:rsidRDefault="00BF32C9" w:rsidP="003C2AD9">
            <w:pPr>
              <w:tabs>
                <w:tab w:val="right" w:pos="4475"/>
              </w:tabs>
              <w:ind w:left="263"/>
              <w:rPr>
                <w:color w:val="000000"/>
                <w:szCs w:val="22"/>
              </w:rPr>
            </w:pPr>
            <w:r w:rsidRPr="0018503B">
              <w:rPr>
                <w:color w:val="000000"/>
                <w:szCs w:val="22"/>
              </w:rPr>
              <w:t>San Diego, California  92123</w:t>
            </w:r>
          </w:p>
          <w:p w:rsidR="00BF32C9" w:rsidRPr="0018503B" w:rsidRDefault="00BF32C9" w:rsidP="003C2AD9">
            <w:pPr>
              <w:tabs>
                <w:tab w:val="right" w:pos="4475"/>
              </w:tabs>
              <w:ind w:left="263"/>
              <w:rPr>
                <w:color w:val="000000"/>
                <w:szCs w:val="22"/>
              </w:rPr>
            </w:pPr>
            <w:r w:rsidRPr="0018503B">
              <w:rPr>
                <w:color w:val="000000"/>
                <w:szCs w:val="22"/>
              </w:rPr>
              <w:t>Attn: General Counsel</w:t>
            </w:r>
          </w:p>
          <w:p w:rsidR="00BF32C9" w:rsidRPr="0018503B" w:rsidRDefault="00BF32C9" w:rsidP="003C2AD9">
            <w:pPr>
              <w:tabs>
                <w:tab w:val="right" w:pos="4475"/>
              </w:tabs>
              <w:ind w:left="263"/>
              <w:rPr>
                <w:color w:val="000000"/>
                <w:szCs w:val="22"/>
              </w:rPr>
            </w:pPr>
            <w:r w:rsidRPr="0018503B">
              <w:rPr>
                <w:color w:val="000000"/>
                <w:szCs w:val="22"/>
              </w:rPr>
              <w:t>Phone: (858) 650-6141</w:t>
            </w:r>
          </w:p>
          <w:p w:rsidR="00BF32C9" w:rsidRPr="0018503B" w:rsidRDefault="00BF32C9" w:rsidP="003C2AD9">
            <w:pPr>
              <w:tabs>
                <w:tab w:val="right" w:pos="4475"/>
              </w:tabs>
              <w:ind w:left="263"/>
              <w:rPr>
                <w:color w:val="000000"/>
                <w:szCs w:val="22"/>
              </w:rPr>
            </w:pPr>
            <w:r w:rsidRPr="0018503B">
              <w:rPr>
                <w:color w:val="000000"/>
                <w:szCs w:val="22"/>
              </w:rPr>
              <w:t>Facsimile: (858) 650-6106</w:t>
            </w:r>
          </w:p>
          <w:p w:rsidR="00BF32C9" w:rsidRPr="0018503B" w:rsidRDefault="00BF32C9" w:rsidP="003C2AD9">
            <w:pPr>
              <w:tabs>
                <w:tab w:val="right" w:pos="4475"/>
              </w:tabs>
              <w:ind w:left="263"/>
              <w:rPr>
                <w:color w:val="000000"/>
                <w:szCs w:val="22"/>
              </w:rPr>
            </w:pPr>
          </w:p>
        </w:tc>
      </w:tr>
    </w:tbl>
    <w:p w:rsidR="00BF32C9" w:rsidRPr="0018503B" w:rsidRDefault="00BF32C9" w:rsidP="00BF32C9">
      <w:pPr>
        <w:pStyle w:val="coverbody"/>
        <w:spacing w:after="0"/>
        <w:rPr>
          <w:rFonts w:ascii="Arial" w:hAnsi="Arial" w:cs="Arial"/>
          <w:color w:val="000000"/>
          <w:sz w:val="22"/>
          <w:szCs w:val="22"/>
        </w:rPr>
      </w:pPr>
      <w:r w:rsidRPr="0018503B">
        <w:rPr>
          <w:rFonts w:ascii="Arial" w:hAnsi="Arial" w:cs="Arial"/>
          <w:color w:val="000000"/>
          <w:sz w:val="22"/>
          <w:szCs w:val="22"/>
        </w:rPr>
        <w:t>The Parties hereby agree that the General Terms and Conditions are incorporated herein, and to the following provisions as provided for in the General Terms and Conditions:</w:t>
      </w:r>
    </w:p>
    <w:p w:rsidR="00BF32C9" w:rsidRPr="0018503B" w:rsidRDefault="00BF32C9" w:rsidP="00BF32C9">
      <w:pPr>
        <w:pStyle w:val="coverbody"/>
        <w:tabs>
          <w:tab w:val="left" w:pos="1620"/>
          <w:tab w:val="right" w:pos="3600"/>
          <w:tab w:val="left" w:pos="3780"/>
          <w:tab w:val="right" w:pos="6300"/>
          <w:tab w:val="left" w:pos="7380"/>
          <w:tab w:val="right" w:pos="9360"/>
        </w:tabs>
        <w:spacing w:after="0"/>
        <w:ind w:left="1440"/>
        <w:rPr>
          <w:rFonts w:ascii="Arial" w:hAnsi="Arial" w:cs="Arial"/>
          <w:color w:val="000000"/>
          <w:sz w:val="22"/>
          <w:szCs w:val="22"/>
        </w:rPr>
      </w:pPr>
    </w:p>
    <w:tbl>
      <w:tblPr>
        <w:tblW w:w="9468" w:type="dxa"/>
        <w:tblLayout w:type="fixed"/>
        <w:tblLook w:val="0000" w:firstRow="0" w:lastRow="0" w:firstColumn="0" w:lastColumn="0" w:noHBand="0" w:noVBand="0"/>
      </w:tblPr>
      <w:tblGrid>
        <w:gridCol w:w="3708"/>
        <w:gridCol w:w="2970"/>
        <w:gridCol w:w="2790"/>
      </w:tblGrid>
      <w:tr w:rsidR="00BF32C9" w:rsidRPr="0018503B" w:rsidTr="003C2AD9">
        <w:tc>
          <w:tcPr>
            <w:tcW w:w="3708" w:type="dxa"/>
            <w:tcBorders>
              <w:top w:val="single" w:sz="6" w:space="0" w:color="auto"/>
              <w:left w:val="nil"/>
              <w:bottom w:val="nil"/>
              <w:right w:val="nil"/>
            </w:tcBorders>
          </w:tcPr>
          <w:p w:rsidR="00BF32C9" w:rsidRPr="0018503B" w:rsidRDefault="00BF32C9" w:rsidP="003C2AD9">
            <w:pPr>
              <w:keepNext/>
              <w:spacing w:before="120"/>
              <w:rPr>
                <w:b/>
                <w:color w:val="000000"/>
                <w:szCs w:val="22"/>
                <w:u w:val="single"/>
              </w:rPr>
            </w:pPr>
            <w:r w:rsidRPr="0018503B">
              <w:rPr>
                <w:b/>
                <w:color w:val="000000"/>
                <w:szCs w:val="22"/>
                <w:u w:val="single"/>
              </w:rPr>
              <w:t xml:space="preserve">Article </w:t>
            </w:r>
            <w:r w:rsidRPr="0018503B">
              <w:rPr>
                <w:rStyle w:val="ParaNum"/>
                <w:b/>
                <w:color w:val="000000"/>
                <w:szCs w:val="22"/>
                <w:u w:val="single"/>
              </w:rPr>
              <w:t>Tw</w:t>
            </w:r>
            <w:r w:rsidRPr="0018503B">
              <w:rPr>
                <w:b/>
                <w:color w:val="000000"/>
                <w:szCs w:val="22"/>
                <w:u w:val="single"/>
              </w:rPr>
              <w:t xml:space="preserve">o </w:t>
            </w:r>
          </w:p>
        </w:tc>
        <w:tc>
          <w:tcPr>
            <w:tcW w:w="5760" w:type="dxa"/>
            <w:gridSpan w:val="2"/>
            <w:tcBorders>
              <w:top w:val="single" w:sz="6" w:space="0" w:color="auto"/>
              <w:left w:val="nil"/>
              <w:bottom w:val="nil"/>
              <w:right w:val="nil"/>
            </w:tcBorders>
          </w:tcPr>
          <w:p w:rsidR="00BF32C9" w:rsidRPr="0018503B" w:rsidRDefault="00BF32C9" w:rsidP="003C2AD9">
            <w:pPr>
              <w:pStyle w:val="BodyText2"/>
              <w:tabs>
                <w:tab w:val="clear" w:pos="360"/>
                <w:tab w:val="left" w:pos="342"/>
              </w:tabs>
              <w:spacing w:before="120"/>
              <w:rPr>
                <w:color w:val="000000"/>
                <w:szCs w:val="22"/>
              </w:rPr>
            </w:pP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rPr>
            </w:pPr>
            <w:r w:rsidRPr="0018503B">
              <w:rPr>
                <w:color w:val="000000"/>
                <w:szCs w:val="22"/>
              </w:rPr>
              <w:t>Transaction Terms and Conditions</w:t>
            </w:r>
          </w:p>
        </w:tc>
        <w:tc>
          <w:tcPr>
            <w:tcW w:w="5760" w:type="dxa"/>
            <w:gridSpan w:val="2"/>
            <w:tcBorders>
              <w:top w:val="nil"/>
              <w:left w:val="nil"/>
              <w:bottom w:val="nil"/>
              <w:right w:val="nil"/>
            </w:tcBorders>
          </w:tcPr>
          <w:p w:rsidR="00BF32C9" w:rsidRPr="0018503B" w:rsidRDefault="00BF32C9" w:rsidP="003C2AD9">
            <w:pPr>
              <w:tabs>
                <w:tab w:val="left" w:pos="342"/>
              </w:tabs>
              <w:rPr>
                <w:color w:val="000000"/>
                <w:szCs w:val="22"/>
              </w:rPr>
            </w:pPr>
            <w:r w:rsidRPr="0018503B">
              <w:rPr>
                <w:color w:val="000000"/>
                <w:szCs w:val="22"/>
              </w:rPr>
              <w:sym w:font="Wingdings" w:char="F0A8"/>
            </w:r>
            <w:r w:rsidRPr="0018503B">
              <w:rPr>
                <w:color w:val="000000"/>
                <w:szCs w:val="22"/>
              </w:rPr>
              <w:tab/>
              <w:t>Optional provision in Section 2.4.   If not checked, inapplicable.</w:t>
            </w:r>
          </w:p>
        </w:tc>
      </w:tr>
      <w:tr w:rsidR="00BF32C9" w:rsidRPr="0018503B" w:rsidTr="003C2AD9">
        <w:tc>
          <w:tcPr>
            <w:tcW w:w="3708" w:type="dxa"/>
            <w:tcBorders>
              <w:top w:val="single" w:sz="6" w:space="0" w:color="auto"/>
              <w:left w:val="nil"/>
              <w:bottom w:val="nil"/>
              <w:right w:val="nil"/>
            </w:tcBorders>
          </w:tcPr>
          <w:p w:rsidR="00BF32C9" w:rsidRPr="0018503B" w:rsidRDefault="00BF32C9" w:rsidP="003C2AD9">
            <w:pPr>
              <w:keepNext/>
              <w:spacing w:before="120"/>
              <w:rPr>
                <w:b/>
                <w:color w:val="000000"/>
                <w:szCs w:val="22"/>
                <w:u w:val="single"/>
              </w:rPr>
            </w:pPr>
            <w:r w:rsidRPr="0018503B">
              <w:rPr>
                <w:b/>
                <w:color w:val="000000"/>
                <w:szCs w:val="22"/>
                <w:u w:val="single"/>
              </w:rPr>
              <w:t xml:space="preserve">Article </w:t>
            </w:r>
            <w:r w:rsidRPr="0018503B">
              <w:rPr>
                <w:rStyle w:val="ParaNum"/>
                <w:b/>
                <w:color w:val="000000"/>
                <w:szCs w:val="22"/>
                <w:u w:val="single"/>
              </w:rPr>
              <w:t>Fo</w:t>
            </w:r>
            <w:r w:rsidRPr="0018503B">
              <w:rPr>
                <w:b/>
                <w:color w:val="000000"/>
                <w:szCs w:val="22"/>
                <w:u w:val="single"/>
              </w:rPr>
              <w:t xml:space="preserve">ur </w:t>
            </w:r>
          </w:p>
        </w:tc>
        <w:tc>
          <w:tcPr>
            <w:tcW w:w="5760" w:type="dxa"/>
            <w:gridSpan w:val="2"/>
            <w:tcBorders>
              <w:top w:val="single" w:sz="6" w:space="0" w:color="auto"/>
              <w:left w:val="nil"/>
              <w:bottom w:val="nil"/>
              <w:right w:val="nil"/>
            </w:tcBorders>
          </w:tcPr>
          <w:p w:rsidR="00BF32C9" w:rsidRPr="0018503B" w:rsidRDefault="00BF32C9" w:rsidP="003C2AD9">
            <w:pPr>
              <w:tabs>
                <w:tab w:val="left" w:pos="342"/>
              </w:tabs>
              <w:spacing w:before="120"/>
              <w:rPr>
                <w:color w:val="000000"/>
                <w:szCs w:val="22"/>
              </w:rPr>
            </w:pP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r w:rsidRPr="0018503B">
              <w:rPr>
                <w:color w:val="000000"/>
                <w:szCs w:val="22"/>
              </w:rPr>
              <w:t>Remedies for Failure to Deliver or Receive</w:t>
            </w:r>
          </w:p>
        </w:tc>
        <w:tc>
          <w:tcPr>
            <w:tcW w:w="5760" w:type="dxa"/>
            <w:gridSpan w:val="2"/>
            <w:tcBorders>
              <w:top w:val="nil"/>
              <w:left w:val="nil"/>
              <w:bottom w:val="nil"/>
              <w:right w:val="nil"/>
            </w:tcBorders>
          </w:tcPr>
          <w:p w:rsidR="00BF32C9" w:rsidRPr="0018503B" w:rsidRDefault="00BF32C9" w:rsidP="003C2AD9">
            <w:pPr>
              <w:tabs>
                <w:tab w:val="left" w:pos="342"/>
              </w:tabs>
              <w:rPr>
                <w:color w:val="000000"/>
                <w:szCs w:val="22"/>
              </w:rPr>
            </w:pPr>
            <w:r w:rsidRPr="0018503B">
              <w:rPr>
                <w:color w:val="000000"/>
                <w:szCs w:val="22"/>
              </w:rPr>
              <w:t>X</w:t>
            </w:r>
            <w:r w:rsidRPr="0018503B">
              <w:rPr>
                <w:color w:val="000000"/>
                <w:szCs w:val="22"/>
              </w:rPr>
              <w:tab/>
              <w:t>Accelerated Payment of Damages.  If not checked, inapplicable.</w:t>
            </w:r>
          </w:p>
        </w:tc>
      </w:tr>
      <w:tr w:rsidR="00BF32C9" w:rsidRPr="0018503B" w:rsidTr="003C2AD9">
        <w:tc>
          <w:tcPr>
            <w:tcW w:w="3708" w:type="dxa"/>
            <w:tcBorders>
              <w:top w:val="single" w:sz="6" w:space="0" w:color="auto"/>
              <w:left w:val="nil"/>
              <w:bottom w:val="nil"/>
              <w:right w:val="nil"/>
            </w:tcBorders>
          </w:tcPr>
          <w:p w:rsidR="00BF32C9" w:rsidRPr="0018503B" w:rsidRDefault="00BF32C9" w:rsidP="003C2AD9">
            <w:pPr>
              <w:keepNext/>
              <w:spacing w:before="120"/>
              <w:rPr>
                <w:b/>
                <w:color w:val="000000"/>
                <w:szCs w:val="22"/>
                <w:u w:val="single"/>
              </w:rPr>
            </w:pPr>
            <w:r w:rsidRPr="0018503B">
              <w:rPr>
                <w:b/>
                <w:color w:val="000000"/>
                <w:szCs w:val="22"/>
                <w:u w:val="single"/>
              </w:rPr>
              <w:t xml:space="preserve">Article </w:t>
            </w:r>
            <w:r w:rsidRPr="0018503B">
              <w:rPr>
                <w:rStyle w:val="ParaNum"/>
                <w:b/>
                <w:color w:val="000000"/>
                <w:szCs w:val="22"/>
                <w:u w:val="single"/>
              </w:rPr>
              <w:t>Fi</w:t>
            </w:r>
            <w:r w:rsidRPr="0018503B">
              <w:rPr>
                <w:b/>
                <w:color w:val="000000"/>
                <w:szCs w:val="22"/>
                <w:u w:val="single"/>
              </w:rPr>
              <w:t xml:space="preserve">ve </w:t>
            </w:r>
          </w:p>
        </w:tc>
        <w:tc>
          <w:tcPr>
            <w:tcW w:w="5760" w:type="dxa"/>
            <w:gridSpan w:val="2"/>
            <w:tcBorders>
              <w:top w:val="single" w:sz="6" w:space="0" w:color="auto"/>
              <w:left w:val="nil"/>
              <w:bottom w:val="nil"/>
              <w:right w:val="nil"/>
            </w:tcBorders>
          </w:tcPr>
          <w:p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342"/>
              </w:tabs>
              <w:spacing w:before="120"/>
              <w:rPr>
                <w:rFonts w:ascii="Arial" w:hAnsi="Arial" w:cs="Arial"/>
                <w:b/>
                <w:color w:val="000000"/>
                <w:sz w:val="22"/>
                <w:szCs w:val="22"/>
                <w:u w:val="single"/>
              </w:rPr>
            </w:pPr>
            <w:r w:rsidRPr="0018503B">
              <w:rPr>
                <w:rFonts w:ascii="Arial" w:hAnsi="Arial" w:cs="Arial"/>
                <w:color w:val="000000"/>
                <w:sz w:val="22"/>
                <w:szCs w:val="22"/>
              </w:rPr>
              <w:sym w:font="Wingdings" w:char="F0A8"/>
            </w:r>
            <w:r w:rsidRPr="0018503B">
              <w:rPr>
                <w:rFonts w:ascii="Arial" w:hAnsi="Arial" w:cs="Arial"/>
                <w:color w:val="000000"/>
                <w:sz w:val="22"/>
                <w:szCs w:val="22"/>
              </w:rPr>
              <w:tab/>
              <w:t>Cross Default for Party A:</w:t>
            </w:r>
          </w:p>
        </w:tc>
      </w:tr>
      <w:tr w:rsidR="00BF32C9" w:rsidRPr="0018503B" w:rsidTr="003C2AD9">
        <w:trPr>
          <w:cantSplit/>
        </w:trPr>
        <w:tc>
          <w:tcPr>
            <w:tcW w:w="3708" w:type="dxa"/>
            <w:tcBorders>
              <w:top w:val="nil"/>
              <w:left w:val="nil"/>
              <w:bottom w:val="nil"/>
              <w:right w:val="nil"/>
            </w:tcBorders>
          </w:tcPr>
          <w:p w:rsidR="00BF32C9" w:rsidRPr="0018503B" w:rsidRDefault="00BF32C9" w:rsidP="003C2AD9">
            <w:pPr>
              <w:rPr>
                <w:color w:val="000000"/>
                <w:szCs w:val="22"/>
                <w:u w:val="single"/>
              </w:rPr>
            </w:pPr>
            <w:r w:rsidRPr="0018503B">
              <w:rPr>
                <w:color w:val="000000"/>
                <w:szCs w:val="22"/>
              </w:rPr>
              <w:t>Events of Default; Remedies</w:t>
            </w:r>
          </w:p>
        </w:tc>
        <w:tc>
          <w:tcPr>
            <w:tcW w:w="2970" w:type="dxa"/>
            <w:tcBorders>
              <w:top w:val="nil"/>
              <w:left w:val="nil"/>
              <w:bottom w:val="nil"/>
              <w:right w:val="nil"/>
            </w:tcBorders>
          </w:tcPr>
          <w:p w:rsidR="00BF32C9" w:rsidRPr="0018503B" w:rsidRDefault="00BF32C9" w:rsidP="003C2AD9">
            <w:pPr>
              <w:tabs>
                <w:tab w:val="left" w:pos="342"/>
                <w:tab w:val="right" w:pos="2673"/>
              </w:tabs>
              <w:rPr>
                <w:color w:val="000000"/>
                <w:szCs w:val="22"/>
              </w:rPr>
            </w:pPr>
            <w:r w:rsidRPr="0018503B">
              <w:rPr>
                <w:color w:val="000000"/>
                <w:szCs w:val="22"/>
              </w:rPr>
              <w:sym w:font="Wingdings" w:char="F0A8"/>
            </w:r>
            <w:r w:rsidRPr="0018503B">
              <w:rPr>
                <w:color w:val="000000"/>
                <w:szCs w:val="22"/>
              </w:rPr>
              <w:tab/>
              <w:t xml:space="preserve">Party A: </w:t>
            </w:r>
            <w:r w:rsidRPr="0018503B">
              <w:rPr>
                <w:color w:val="000000"/>
                <w:szCs w:val="22"/>
                <w:u w:val="single"/>
              </w:rPr>
              <w:t>N/A</w:t>
            </w:r>
            <w:r w:rsidRPr="0018503B">
              <w:rPr>
                <w:color w:val="000000"/>
                <w:szCs w:val="22"/>
                <w:u w:val="single"/>
              </w:rPr>
              <w:tab/>
            </w:r>
          </w:p>
        </w:tc>
        <w:tc>
          <w:tcPr>
            <w:tcW w:w="2790" w:type="dxa"/>
            <w:tcBorders>
              <w:top w:val="nil"/>
              <w:left w:val="nil"/>
              <w:bottom w:val="nil"/>
              <w:right w:val="nil"/>
            </w:tcBorders>
          </w:tcPr>
          <w:p w:rsidR="00BF32C9" w:rsidRPr="0018503B" w:rsidRDefault="00BF32C9" w:rsidP="003C2AD9">
            <w:pPr>
              <w:pStyle w:val="BodyText2"/>
              <w:tabs>
                <w:tab w:val="clear" w:pos="360"/>
                <w:tab w:val="left" w:pos="342"/>
                <w:tab w:val="right" w:pos="3402"/>
              </w:tabs>
              <w:rPr>
                <w:b w:val="0"/>
                <w:color w:val="000000"/>
                <w:szCs w:val="22"/>
              </w:rPr>
            </w:pPr>
            <w:r w:rsidRPr="0018503B">
              <w:rPr>
                <w:b w:val="0"/>
                <w:color w:val="000000"/>
                <w:szCs w:val="22"/>
              </w:rPr>
              <w:t xml:space="preserve">Cross Default Amount: </w:t>
            </w:r>
            <w:r w:rsidRPr="0018503B">
              <w:rPr>
                <w:b w:val="0"/>
                <w:color w:val="000000"/>
                <w:szCs w:val="22"/>
                <w:u w:val="single"/>
              </w:rPr>
              <w:t>N/A</w:t>
            </w:r>
            <w:r w:rsidRPr="0018503B">
              <w:rPr>
                <w:b w:val="0"/>
                <w:color w:val="000000"/>
                <w:szCs w:val="22"/>
                <w:u w:val="single"/>
              </w:rPr>
              <w:tab/>
            </w:r>
          </w:p>
        </w:tc>
      </w:tr>
      <w:tr w:rsidR="00BF32C9" w:rsidRPr="0018503B" w:rsidTr="003C2AD9">
        <w:trPr>
          <w:cantSplit/>
        </w:trPr>
        <w:tc>
          <w:tcPr>
            <w:tcW w:w="3708" w:type="dxa"/>
            <w:tcBorders>
              <w:top w:val="nil"/>
              <w:left w:val="nil"/>
              <w:bottom w:val="nil"/>
              <w:right w:val="nil"/>
            </w:tcBorders>
          </w:tcPr>
          <w:p w:rsidR="00BF32C9" w:rsidRPr="0018503B" w:rsidRDefault="00BF32C9" w:rsidP="003C2AD9">
            <w:pPr>
              <w:rPr>
                <w:color w:val="000000"/>
                <w:szCs w:val="22"/>
                <w:u w:val="single"/>
              </w:rPr>
            </w:pPr>
          </w:p>
        </w:tc>
        <w:tc>
          <w:tcPr>
            <w:tcW w:w="2970" w:type="dxa"/>
            <w:tcBorders>
              <w:top w:val="nil"/>
              <w:left w:val="nil"/>
              <w:bottom w:val="nil"/>
              <w:right w:val="nil"/>
            </w:tcBorders>
          </w:tcPr>
          <w:p w:rsidR="00BF32C9" w:rsidRPr="0018503B" w:rsidRDefault="00BF32C9" w:rsidP="003C2AD9">
            <w:pPr>
              <w:tabs>
                <w:tab w:val="left" w:pos="342"/>
                <w:tab w:val="right" w:pos="2673"/>
              </w:tabs>
              <w:rPr>
                <w:color w:val="000000"/>
                <w:szCs w:val="22"/>
              </w:rPr>
            </w:pPr>
            <w:r w:rsidRPr="0018503B">
              <w:rPr>
                <w:color w:val="000000"/>
                <w:szCs w:val="22"/>
              </w:rPr>
              <w:sym w:font="Wingdings" w:char="F0A8"/>
            </w:r>
            <w:r w:rsidRPr="0018503B">
              <w:rPr>
                <w:color w:val="000000"/>
                <w:szCs w:val="22"/>
              </w:rPr>
              <w:tab/>
              <w:t xml:space="preserve">Other Entity: </w:t>
            </w:r>
            <w:r w:rsidRPr="0018503B">
              <w:rPr>
                <w:color w:val="000000"/>
                <w:szCs w:val="22"/>
                <w:u w:val="single"/>
              </w:rPr>
              <w:t>N/A</w:t>
            </w:r>
            <w:r w:rsidRPr="0018503B">
              <w:rPr>
                <w:color w:val="000000"/>
                <w:szCs w:val="22"/>
                <w:u w:val="single"/>
              </w:rPr>
              <w:tab/>
            </w:r>
          </w:p>
        </w:tc>
        <w:tc>
          <w:tcPr>
            <w:tcW w:w="2790" w:type="dxa"/>
            <w:tcBorders>
              <w:top w:val="nil"/>
              <w:left w:val="nil"/>
              <w:bottom w:val="nil"/>
              <w:right w:val="nil"/>
            </w:tcBorders>
          </w:tcPr>
          <w:p w:rsidR="00BF32C9" w:rsidRPr="0018503B" w:rsidRDefault="00BF32C9" w:rsidP="003C2AD9">
            <w:pPr>
              <w:tabs>
                <w:tab w:val="left" w:pos="342"/>
                <w:tab w:val="right" w:pos="3402"/>
              </w:tabs>
              <w:rPr>
                <w:color w:val="000000"/>
                <w:szCs w:val="22"/>
              </w:rPr>
            </w:pPr>
            <w:r w:rsidRPr="0018503B">
              <w:rPr>
                <w:color w:val="000000"/>
                <w:szCs w:val="22"/>
              </w:rPr>
              <w:t xml:space="preserve">Cross Default Amount: </w:t>
            </w:r>
            <w:r w:rsidRPr="0018503B">
              <w:rPr>
                <w:color w:val="000000"/>
                <w:szCs w:val="22"/>
                <w:u w:val="single"/>
              </w:rPr>
              <w:t>N/A</w:t>
            </w:r>
            <w:r w:rsidRPr="0018503B">
              <w:rPr>
                <w:color w:val="000000"/>
                <w:szCs w:val="22"/>
                <w:u w:val="single"/>
              </w:rPr>
              <w:tab/>
            </w:r>
          </w:p>
        </w:tc>
      </w:tr>
      <w:tr w:rsidR="00BF32C9" w:rsidRPr="0018503B" w:rsidTr="003C2AD9">
        <w:trPr>
          <w:cantSplit/>
        </w:trPr>
        <w:tc>
          <w:tcPr>
            <w:tcW w:w="3708" w:type="dxa"/>
            <w:tcBorders>
              <w:top w:val="nil"/>
              <w:left w:val="nil"/>
              <w:bottom w:val="nil"/>
              <w:right w:val="nil"/>
            </w:tcBorders>
          </w:tcPr>
          <w:p w:rsidR="00BF32C9" w:rsidRPr="0018503B" w:rsidRDefault="00BF32C9" w:rsidP="003C2AD9">
            <w:pPr>
              <w:rPr>
                <w:color w:val="000000"/>
                <w:szCs w:val="22"/>
                <w:u w:val="single"/>
              </w:rPr>
            </w:pPr>
          </w:p>
        </w:tc>
        <w:tc>
          <w:tcPr>
            <w:tcW w:w="2970" w:type="dxa"/>
            <w:tcBorders>
              <w:top w:val="nil"/>
              <w:left w:val="nil"/>
              <w:bottom w:val="nil"/>
              <w:right w:val="nil"/>
            </w:tcBorders>
          </w:tcPr>
          <w:p w:rsidR="00BF32C9" w:rsidRPr="0018503B" w:rsidRDefault="00BF32C9" w:rsidP="003C2AD9">
            <w:pPr>
              <w:tabs>
                <w:tab w:val="left" w:pos="342"/>
                <w:tab w:val="right" w:pos="2673"/>
              </w:tabs>
              <w:rPr>
                <w:color w:val="000000"/>
                <w:szCs w:val="22"/>
              </w:rPr>
            </w:pPr>
          </w:p>
          <w:p w:rsidR="00BF32C9" w:rsidRPr="0018503B" w:rsidRDefault="00BF32C9" w:rsidP="003C2AD9">
            <w:pPr>
              <w:tabs>
                <w:tab w:val="left" w:pos="342"/>
                <w:tab w:val="right" w:pos="2673"/>
              </w:tabs>
              <w:rPr>
                <w:color w:val="000000"/>
                <w:szCs w:val="22"/>
              </w:rPr>
            </w:pPr>
            <w:r w:rsidRPr="0018503B">
              <w:rPr>
                <w:color w:val="000000"/>
                <w:szCs w:val="22"/>
              </w:rPr>
              <w:sym w:font="Wingdings" w:char="F0A8"/>
            </w:r>
            <w:r w:rsidRPr="0018503B">
              <w:rPr>
                <w:color w:val="000000"/>
                <w:szCs w:val="22"/>
              </w:rPr>
              <w:tab/>
              <w:t>Cross Default for Party B:</w:t>
            </w:r>
          </w:p>
        </w:tc>
        <w:tc>
          <w:tcPr>
            <w:tcW w:w="2790" w:type="dxa"/>
            <w:tcBorders>
              <w:top w:val="nil"/>
              <w:left w:val="nil"/>
              <w:bottom w:val="nil"/>
              <w:right w:val="nil"/>
            </w:tcBorders>
          </w:tcPr>
          <w:p w:rsidR="00BF32C9" w:rsidRPr="0018503B" w:rsidRDefault="00BF32C9" w:rsidP="003C2AD9">
            <w:pPr>
              <w:tabs>
                <w:tab w:val="left" w:pos="342"/>
                <w:tab w:val="right" w:pos="3402"/>
              </w:tabs>
              <w:rPr>
                <w:color w:val="000000"/>
                <w:szCs w:val="22"/>
              </w:rPr>
            </w:pPr>
          </w:p>
        </w:tc>
      </w:tr>
      <w:tr w:rsidR="00BF32C9" w:rsidRPr="0018503B" w:rsidTr="003C2AD9">
        <w:trPr>
          <w:cantSplit/>
        </w:trPr>
        <w:tc>
          <w:tcPr>
            <w:tcW w:w="3708" w:type="dxa"/>
            <w:tcBorders>
              <w:top w:val="nil"/>
              <w:left w:val="nil"/>
              <w:bottom w:val="nil"/>
              <w:right w:val="nil"/>
            </w:tcBorders>
          </w:tcPr>
          <w:p w:rsidR="00BF32C9" w:rsidRPr="0018503B" w:rsidRDefault="00BF32C9" w:rsidP="003C2AD9">
            <w:pPr>
              <w:rPr>
                <w:color w:val="000000"/>
                <w:szCs w:val="22"/>
                <w:u w:val="single"/>
              </w:rPr>
            </w:pPr>
          </w:p>
        </w:tc>
        <w:tc>
          <w:tcPr>
            <w:tcW w:w="2970" w:type="dxa"/>
            <w:tcBorders>
              <w:top w:val="nil"/>
              <w:left w:val="nil"/>
              <w:bottom w:val="nil"/>
              <w:right w:val="nil"/>
            </w:tcBorders>
          </w:tcPr>
          <w:p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342"/>
                <w:tab w:val="right" w:pos="2673"/>
              </w:tabs>
              <w:rPr>
                <w:rFonts w:ascii="Arial" w:hAnsi="Arial" w:cs="Arial"/>
                <w:color w:val="000000"/>
                <w:sz w:val="22"/>
                <w:szCs w:val="22"/>
              </w:rPr>
            </w:pPr>
            <w:r w:rsidRPr="0018503B">
              <w:rPr>
                <w:rFonts w:ascii="Arial" w:hAnsi="Arial" w:cs="Arial"/>
                <w:color w:val="000000"/>
                <w:sz w:val="22"/>
                <w:szCs w:val="22"/>
              </w:rPr>
              <w:sym w:font="Wingdings" w:char="F0A8"/>
            </w:r>
            <w:r w:rsidRPr="0018503B">
              <w:rPr>
                <w:rFonts w:ascii="Arial" w:hAnsi="Arial" w:cs="Arial"/>
                <w:color w:val="000000"/>
                <w:sz w:val="22"/>
                <w:szCs w:val="22"/>
              </w:rPr>
              <w:tab/>
              <w:t xml:space="preserve">Party B: </w:t>
            </w:r>
            <w:r w:rsidRPr="0018503B">
              <w:rPr>
                <w:rFonts w:ascii="Arial" w:hAnsi="Arial" w:cs="Arial"/>
                <w:color w:val="000000"/>
                <w:sz w:val="22"/>
                <w:szCs w:val="22"/>
                <w:u w:val="single"/>
              </w:rPr>
              <w:t>N/A</w:t>
            </w:r>
            <w:r w:rsidRPr="0018503B">
              <w:rPr>
                <w:rFonts w:ascii="Arial" w:hAnsi="Arial" w:cs="Arial"/>
                <w:color w:val="000000"/>
                <w:sz w:val="22"/>
                <w:szCs w:val="22"/>
                <w:u w:val="single"/>
              </w:rPr>
              <w:tab/>
            </w:r>
          </w:p>
        </w:tc>
        <w:tc>
          <w:tcPr>
            <w:tcW w:w="2790" w:type="dxa"/>
            <w:tcBorders>
              <w:top w:val="nil"/>
              <w:left w:val="nil"/>
              <w:bottom w:val="nil"/>
              <w:right w:val="nil"/>
            </w:tcBorders>
          </w:tcPr>
          <w:p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342"/>
                <w:tab w:val="right" w:pos="3402"/>
              </w:tabs>
              <w:rPr>
                <w:rFonts w:ascii="Arial" w:hAnsi="Arial" w:cs="Arial"/>
                <w:color w:val="000000"/>
                <w:sz w:val="22"/>
                <w:szCs w:val="22"/>
              </w:rPr>
            </w:pPr>
            <w:r w:rsidRPr="0018503B">
              <w:rPr>
                <w:rFonts w:ascii="Arial" w:hAnsi="Arial" w:cs="Arial"/>
                <w:color w:val="000000"/>
                <w:sz w:val="22"/>
                <w:szCs w:val="22"/>
              </w:rPr>
              <w:t xml:space="preserve">Cross Default Amount: </w:t>
            </w:r>
            <w:r w:rsidRPr="0018503B">
              <w:rPr>
                <w:rFonts w:ascii="Arial" w:hAnsi="Arial" w:cs="Arial"/>
                <w:color w:val="000000"/>
                <w:sz w:val="22"/>
                <w:szCs w:val="22"/>
                <w:u w:val="single"/>
              </w:rPr>
              <w:t>N/A</w:t>
            </w:r>
            <w:r w:rsidRPr="0018503B">
              <w:rPr>
                <w:rFonts w:ascii="Arial" w:hAnsi="Arial" w:cs="Arial"/>
                <w:color w:val="000000"/>
                <w:sz w:val="22"/>
                <w:szCs w:val="22"/>
                <w:u w:val="single"/>
              </w:rPr>
              <w:tab/>
            </w:r>
          </w:p>
        </w:tc>
      </w:tr>
      <w:tr w:rsidR="00BF32C9" w:rsidRPr="0018503B" w:rsidTr="003C2AD9">
        <w:trPr>
          <w:cantSplit/>
        </w:trPr>
        <w:tc>
          <w:tcPr>
            <w:tcW w:w="3708" w:type="dxa"/>
            <w:tcBorders>
              <w:top w:val="nil"/>
              <w:left w:val="nil"/>
              <w:bottom w:val="nil"/>
              <w:right w:val="nil"/>
            </w:tcBorders>
          </w:tcPr>
          <w:p w:rsidR="00BF32C9" w:rsidRPr="0018503B" w:rsidRDefault="00BF32C9" w:rsidP="003C2AD9">
            <w:pPr>
              <w:rPr>
                <w:color w:val="000000"/>
                <w:szCs w:val="22"/>
                <w:u w:val="single"/>
              </w:rPr>
            </w:pPr>
          </w:p>
        </w:tc>
        <w:tc>
          <w:tcPr>
            <w:tcW w:w="2970" w:type="dxa"/>
            <w:tcBorders>
              <w:top w:val="nil"/>
              <w:left w:val="nil"/>
              <w:bottom w:val="nil"/>
              <w:right w:val="nil"/>
            </w:tcBorders>
          </w:tcPr>
          <w:p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342"/>
                <w:tab w:val="right" w:pos="2673"/>
              </w:tabs>
              <w:rPr>
                <w:rFonts w:ascii="Arial" w:hAnsi="Arial" w:cs="Arial"/>
                <w:color w:val="000000"/>
                <w:sz w:val="22"/>
                <w:szCs w:val="22"/>
              </w:rPr>
            </w:pPr>
            <w:r w:rsidRPr="0018503B">
              <w:rPr>
                <w:rFonts w:ascii="Arial" w:hAnsi="Arial" w:cs="Arial"/>
                <w:color w:val="000000"/>
                <w:sz w:val="22"/>
                <w:szCs w:val="22"/>
              </w:rPr>
              <w:sym w:font="Wingdings" w:char="F0A8"/>
            </w:r>
            <w:r w:rsidRPr="0018503B">
              <w:rPr>
                <w:rFonts w:ascii="Arial" w:hAnsi="Arial" w:cs="Arial"/>
                <w:color w:val="000000"/>
                <w:sz w:val="22"/>
                <w:szCs w:val="22"/>
              </w:rPr>
              <w:tab/>
              <w:t xml:space="preserve">Other Entity: </w:t>
            </w:r>
            <w:r w:rsidRPr="0018503B">
              <w:rPr>
                <w:rFonts w:ascii="Arial" w:hAnsi="Arial" w:cs="Arial"/>
                <w:color w:val="000000"/>
                <w:sz w:val="22"/>
                <w:szCs w:val="22"/>
                <w:u w:val="single"/>
              </w:rPr>
              <w:t>N/A</w:t>
            </w:r>
            <w:r w:rsidRPr="0018503B">
              <w:rPr>
                <w:rFonts w:ascii="Arial" w:hAnsi="Arial" w:cs="Arial"/>
                <w:color w:val="000000"/>
                <w:sz w:val="22"/>
                <w:szCs w:val="22"/>
                <w:u w:val="single"/>
              </w:rPr>
              <w:tab/>
            </w:r>
          </w:p>
        </w:tc>
        <w:tc>
          <w:tcPr>
            <w:tcW w:w="2790" w:type="dxa"/>
            <w:tcBorders>
              <w:top w:val="nil"/>
              <w:left w:val="nil"/>
              <w:bottom w:val="nil"/>
              <w:right w:val="nil"/>
            </w:tcBorders>
          </w:tcPr>
          <w:p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342"/>
                <w:tab w:val="right" w:pos="3402"/>
              </w:tabs>
              <w:rPr>
                <w:rFonts w:ascii="Arial" w:hAnsi="Arial" w:cs="Arial"/>
                <w:color w:val="000000"/>
                <w:sz w:val="22"/>
                <w:szCs w:val="22"/>
              </w:rPr>
            </w:pPr>
            <w:r w:rsidRPr="0018503B">
              <w:rPr>
                <w:rFonts w:ascii="Arial" w:hAnsi="Arial" w:cs="Arial"/>
                <w:color w:val="000000"/>
                <w:sz w:val="22"/>
                <w:szCs w:val="22"/>
              </w:rPr>
              <w:t xml:space="preserve">Cross Default Amount:  </w:t>
            </w:r>
            <w:r w:rsidRPr="0018503B">
              <w:rPr>
                <w:rFonts w:ascii="Arial" w:hAnsi="Arial" w:cs="Arial"/>
                <w:color w:val="000000"/>
                <w:sz w:val="22"/>
                <w:szCs w:val="22"/>
                <w:u w:val="single"/>
              </w:rPr>
              <w:t>N/A</w:t>
            </w:r>
            <w:r w:rsidRPr="0018503B">
              <w:rPr>
                <w:rFonts w:ascii="Arial" w:hAnsi="Arial" w:cs="Arial"/>
                <w:color w:val="000000"/>
                <w:sz w:val="22"/>
                <w:szCs w:val="22"/>
                <w:u w:val="single"/>
              </w:rPr>
              <w:tab/>
            </w:r>
          </w:p>
        </w:tc>
      </w:tr>
      <w:tr w:rsidR="00BF32C9" w:rsidRPr="0018503B" w:rsidTr="003C2AD9">
        <w:tc>
          <w:tcPr>
            <w:tcW w:w="3708" w:type="dxa"/>
            <w:tcBorders>
              <w:top w:val="nil"/>
              <w:left w:val="nil"/>
              <w:bottom w:val="nil"/>
              <w:right w:val="nil"/>
            </w:tcBorders>
          </w:tcPr>
          <w:p w:rsidR="00BF32C9" w:rsidRPr="0018503B" w:rsidRDefault="00BF32C9" w:rsidP="003C2AD9">
            <w:pPr>
              <w:pStyle w:val="TOC1"/>
              <w:rPr>
                <w:color w:val="000000"/>
              </w:rPr>
            </w:pPr>
          </w:p>
        </w:tc>
        <w:tc>
          <w:tcPr>
            <w:tcW w:w="5760" w:type="dxa"/>
            <w:gridSpan w:val="2"/>
            <w:tcBorders>
              <w:top w:val="nil"/>
              <w:left w:val="nil"/>
              <w:bottom w:val="nil"/>
              <w:right w:val="nil"/>
            </w:tcBorders>
          </w:tcPr>
          <w:p w:rsidR="00BF32C9" w:rsidRPr="0018503B" w:rsidRDefault="00BF32C9" w:rsidP="003C2AD9">
            <w:pPr>
              <w:tabs>
                <w:tab w:val="left" w:pos="342"/>
              </w:tabs>
              <w:rPr>
                <w:rStyle w:val="ParaNum"/>
                <w:color w:val="000000"/>
                <w:szCs w:val="22"/>
              </w:rPr>
            </w:pPr>
          </w:p>
          <w:p w:rsidR="00BF32C9" w:rsidRPr="0018503B" w:rsidRDefault="00BF32C9" w:rsidP="003C2AD9">
            <w:pPr>
              <w:tabs>
                <w:tab w:val="left" w:pos="342"/>
              </w:tabs>
              <w:rPr>
                <w:color w:val="000000"/>
                <w:szCs w:val="22"/>
              </w:rPr>
            </w:pPr>
            <w:r w:rsidRPr="0018503B">
              <w:rPr>
                <w:rStyle w:val="ParaNum"/>
                <w:color w:val="000000"/>
                <w:szCs w:val="22"/>
              </w:rPr>
              <w:t>5.6</w:t>
            </w:r>
            <w:r w:rsidRPr="0018503B">
              <w:rPr>
                <w:color w:val="000000"/>
                <w:szCs w:val="22"/>
              </w:rPr>
              <w:tab/>
              <w:t>Closeout Setoff</w:t>
            </w: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gridSpan w:val="2"/>
            <w:tcBorders>
              <w:top w:val="nil"/>
              <w:left w:val="nil"/>
              <w:bottom w:val="nil"/>
              <w:right w:val="nil"/>
            </w:tcBorders>
          </w:tcPr>
          <w:p w:rsidR="00BF32C9" w:rsidRPr="0018503B" w:rsidRDefault="00BF32C9" w:rsidP="003C2AD9">
            <w:pPr>
              <w:tabs>
                <w:tab w:val="left" w:pos="702"/>
              </w:tabs>
              <w:ind w:left="342"/>
              <w:rPr>
                <w:color w:val="000000"/>
                <w:szCs w:val="22"/>
              </w:rPr>
            </w:pPr>
            <w:r w:rsidRPr="0018503B">
              <w:rPr>
                <w:color w:val="000000"/>
                <w:szCs w:val="22"/>
              </w:rPr>
              <w:sym w:font="Wingdings" w:char="F0FD"/>
            </w:r>
            <w:r w:rsidRPr="0018503B">
              <w:rPr>
                <w:color w:val="000000"/>
                <w:szCs w:val="22"/>
              </w:rPr>
              <w:tab/>
              <w:t>Option A (Applicable if no other selection is made.)</w:t>
            </w: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gridSpan w:val="2"/>
            <w:tcBorders>
              <w:top w:val="nil"/>
              <w:left w:val="nil"/>
              <w:bottom w:val="nil"/>
              <w:right w:val="nil"/>
            </w:tcBorders>
          </w:tcPr>
          <w:p w:rsidR="00BF32C9" w:rsidRPr="0018503B" w:rsidRDefault="00BF32C9" w:rsidP="003C2AD9">
            <w:pPr>
              <w:tabs>
                <w:tab w:val="left" w:pos="702"/>
                <w:tab w:val="right" w:pos="6012"/>
              </w:tabs>
              <w:ind w:left="702" w:hanging="360"/>
              <w:rPr>
                <w:color w:val="000000"/>
                <w:szCs w:val="22"/>
              </w:rPr>
            </w:pPr>
            <w:r w:rsidRPr="0018503B">
              <w:rPr>
                <w:color w:val="000000"/>
                <w:szCs w:val="22"/>
              </w:rPr>
              <w:sym w:font="Wingdings" w:char="F0A8"/>
            </w:r>
            <w:r w:rsidRPr="0018503B">
              <w:rPr>
                <w:color w:val="000000"/>
                <w:szCs w:val="22"/>
              </w:rPr>
              <w:tab/>
              <w:t xml:space="preserve">Option B – Affiliates shall have the meaning set forth in the Agreement unless otherwise specified as follows: </w:t>
            </w: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gridSpan w:val="2"/>
            <w:tcBorders>
              <w:top w:val="nil"/>
              <w:left w:val="nil"/>
              <w:bottom w:val="nil"/>
              <w:right w:val="nil"/>
            </w:tcBorders>
          </w:tcPr>
          <w:p w:rsidR="00BF32C9" w:rsidRPr="0018503B" w:rsidRDefault="00BF32C9" w:rsidP="003C2AD9">
            <w:pPr>
              <w:tabs>
                <w:tab w:val="left" w:pos="702"/>
              </w:tabs>
              <w:ind w:left="342"/>
              <w:rPr>
                <w:color w:val="000000"/>
                <w:szCs w:val="22"/>
              </w:rPr>
            </w:pPr>
            <w:r w:rsidRPr="0018503B">
              <w:rPr>
                <w:color w:val="000000"/>
                <w:szCs w:val="22"/>
              </w:rPr>
              <w:sym w:font="Wingdings" w:char="F0A8"/>
            </w:r>
            <w:r w:rsidRPr="0018503B">
              <w:rPr>
                <w:color w:val="000000"/>
                <w:szCs w:val="22"/>
              </w:rPr>
              <w:tab/>
              <w:t>Option C (No Setoff)</w:t>
            </w:r>
          </w:p>
        </w:tc>
      </w:tr>
    </w:tbl>
    <w:p w:rsidR="00BF32C9" w:rsidRPr="0018503B" w:rsidRDefault="00BF32C9" w:rsidP="00BF32C9">
      <w:pPr>
        <w:rPr>
          <w:color w:val="000000"/>
          <w:szCs w:val="22"/>
        </w:rPr>
      </w:pPr>
    </w:p>
    <w:tbl>
      <w:tblPr>
        <w:tblW w:w="9468" w:type="dxa"/>
        <w:tblLayout w:type="fixed"/>
        <w:tblLook w:val="0000" w:firstRow="0" w:lastRow="0" w:firstColumn="0" w:lastColumn="0" w:noHBand="0" w:noVBand="0"/>
      </w:tblPr>
      <w:tblGrid>
        <w:gridCol w:w="3708"/>
        <w:gridCol w:w="5760"/>
      </w:tblGrid>
      <w:tr w:rsidR="00BF32C9" w:rsidRPr="0018503B" w:rsidTr="003C2AD9">
        <w:tc>
          <w:tcPr>
            <w:tcW w:w="3708" w:type="dxa"/>
            <w:tcBorders>
              <w:top w:val="single" w:sz="6" w:space="0" w:color="auto"/>
              <w:left w:val="nil"/>
              <w:bottom w:val="nil"/>
              <w:right w:val="nil"/>
            </w:tcBorders>
          </w:tcPr>
          <w:p w:rsidR="00BF32C9" w:rsidRPr="0018503B" w:rsidRDefault="00BF32C9" w:rsidP="003C2AD9">
            <w:pPr>
              <w:keepNext/>
              <w:spacing w:before="120"/>
              <w:rPr>
                <w:b/>
                <w:color w:val="000000"/>
                <w:szCs w:val="22"/>
                <w:u w:val="single"/>
              </w:rPr>
            </w:pPr>
            <w:r w:rsidRPr="0018503B">
              <w:rPr>
                <w:b/>
                <w:color w:val="000000"/>
                <w:szCs w:val="22"/>
                <w:u w:val="single"/>
              </w:rPr>
              <w:t xml:space="preserve">Article </w:t>
            </w:r>
            <w:r w:rsidRPr="0018503B">
              <w:rPr>
                <w:rStyle w:val="ParaNum"/>
                <w:b/>
                <w:color w:val="000000"/>
                <w:szCs w:val="22"/>
                <w:u w:val="single"/>
              </w:rPr>
              <w:t>8</w:t>
            </w:r>
          </w:p>
        </w:tc>
        <w:tc>
          <w:tcPr>
            <w:tcW w:w="5760" w:type="dxa"/>
            <w:tcBorders>
              <w:top w:val="single" w:sz="6" w:space="0" w:color="auto"/>
              <w:left w:val="nil"/>
              <w:bottom w:val="nil"/>
              <w:right w:val="nil"/>
            </w:tcBorders>
          </w:tcPr>
          <w:p w:rsidR="00BF32C9" w:rsidRPr="0018503B" w:rsidRDefault="00BF32C9" w:rsidP="003C2AD9">
            <w:pPr>
              <w:pStyle w:val="BodyText2"/>
              <w:tabs>
                <w:tab w:val="clear" w:pos="360"/>
                <w:tab w:val="left" w:pos="342"/>
              </w:tabs>
              <w:spacing w:before="120"/>
              <w:rPr>
                <w:b w:val="0"/>
                <w:color w:val="000000"/>
                <w:szCs w:val="22"/>
                <w:u w:val="single"/>
              </w:rPr>
            </w:pPr>
            <w:r w:rsidRPr="0018503B">
              <w:rPr>
                <w:rStyle w:val="ParaNum"/>
                <w:b w:val="0"/>
                <w:color w:val="000000"/>
                <w:szCs w:val="22"/>
              </w:rPr>
              <w:t>8.1</w:t>
            </w:r>
            <w:r w:rsidRPr="0018503B">
              <w:rPr>
                <w:rStyle w:val="ParaNum"/>
                <w:b w:val="0"/>
                <w:color w:val="000000"/>
                <w:szCs w:val="22"/>
              </w:rPr>
              <w:tab/>
              <w:t>Party A Credit Protection:</w:t>
            </w: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r w:rsidRPr="0018503B">
              <w:rPr>
                <w:color w:val="000000"/>
                <w:szCs w:val="22"/>
              </w:rPr>
              <w:t>Credit and Collateral Requirements</w:t>
            </w:r>
          </w:p>
        </w:tc>
        <w:tc>
          <w:tcPr>
            <w:tcW w:w="5760" w:type="dxa"/>
            <w:tcBorders>
              <w:top w:val="nil"/>
              <w:left w:val="nil"/>
              <w:bottom w:val="nil"/>
              <w:right w:val="nil"/>
            </w:tcBorders>
          </w:tcPr>
          <w:p w:rsidR="00BF32C9" w:rsidRPr="0018503B" w:rsidRDefault="00BF32C9" w:rsidP="003C2AD9">
            <w:pPr>
              <w:pStyle w:val="BodyText2"/>
              <w:tabs>
                <w:tab w:val="left" w:pos="702"/>
              </w:tabs>
              <w:spacing w:before="120"/>
              <w:ind w:left="702" w:hanging="360"/>
              <w:rPr>
                <w:b w:val="0"/>
                <w:color w:val="000000"/>
                <w:szCs w:val="22"/>
              </w:rPr>
            </w:pPr>
            <w:r w:rsidRPr="0018503B">
              <w:rPr>
                <w:rStyle w:val="ParaNum"/>
                <w:b w:val="0"/>
                <w:color w:val="000000"/>
                <w:szCs w:val="22"/>
              </w:rPr>
              <w:t>(a)</w:t>
            </w:r>
            <w:r w:rsidRPr="0018503B">
              <w:rPr>
                <w:rStyle w:val="ParaNum"/>
                <w:b w:val="0"/>
                <w:color w:val="000000"/>
                <w:szCs w:val="22"/>
              </w:rPr>
              <w:tab/>
              <w:t>Financial Information:</w:t>
            </w: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tcBorders>
              <w:top w:val="nil"/>
              <w:left w:val="nil"/>
              <w:bottom w:val="nil"/>
              <w:right w:val="nil"/>
            </w:tcBorders>
          </w:tcPr>
          <w:p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1062"/>
                <w:tab w:val="right" w:pos="4572"/>
              </w:tabs>
              <w:ind w:left="706"/>
              <w:rPr>
                <w:rFonts w:ascii="Arial" w:hAnsi="Arial" w:cs="Arial"/>
                <w:color w:val="000000"/>
                <w:sz w:val="22"/>
                <w:szCs w:val="22"/>
              </w:rPr>
            </w:pPr>
            <w:r w:rsidRPr="0018503B">
              <w:rPr>
                <w:rFonts w:ascii="Arial" w:hAnsi="Arial" w:cs="Arial"/>
                <w:color w:val="000000"/>
                <w:sz w:val="22"/>
                <w:szCs w:val="22"/>
              </w:rPr>
              <w:sym w:font="Wingdings" w:char="F0A8"/>
            </w:r>
            <w:r w:rsidRPr="0018503B">
              <w:rPr>
                <w:rFonts w:ascii="Arial" w:hAnsi="Arial" w:cs="Arial"/>
                <w:color w:val="000000"/>
                <w:sz w:val="22"/>
                <w:szCs w:val="22"/>
              </w:rPr>
              <w:tab/>
              <w:t>Option A</w:t>
            </w:r>
          </w:p>
          <w:p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1062"/>
                <w:tab w:val="right" w:pos="4572"/>
              </w:tabs>
              <w:ind w:left="706"/>
              <w:rPr>
                <w:rFonts w:ascii="Arial" w:hAnsi="Arial" w:cs="Arial"/>
                <w:color w:val="000000"/>
                <w:sz w:val="22"/>
                <w:szCs w:val="22"/>
              </w:rPr>
            </w:pPr>
            <w:r w:rsidRPr="0018503B">
              <w:rPr>
                <w:rFonts w:ascii="Arial" w:hAnsi="Arial" w:cs="Arial"/>
                <w:color w:val="000000"/>
                <w:sz w:val="22"/>
                <w:szCs w:val="22"/>
              </w:rPr>
              <w:sym w:font="Wingdings" w:char="F0A8"/>
            </w:r>
            <w:r w:rsidRPr="0018503B">
              <w:rPr>
                <w:rFonts w:ascii="Arial" w:hAnsi="Arial" w:cs="Arial"/>
                <w:color w:val="000000"/>
                <w:sz w:val="22"/>
                <w:szCs w:val="22"/>
              </w:rPr>
              <w:tab/>
              <w:t xml:space="preserve">Option B   Specify: </w:t>
            </w:r>
            <w:r w:rsidRPr="0018503B">
              <w:rPr>
                <w:rFonts w:ascii="Arial" w:hAnsi="Arial" w:cs="Arial"/>
                <w:color w:val="000000"/>
                <w:sz w:val="22"/>
                <w:szCs w:val="22"/>
                <w:u w:val="single"/>
              </w:rPr>
              <w:tab/>
            </w:r>
          </w:p>
          <w:p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1062"/>
                <w:tab w:val="right" w:pos="4572"/>
              </w:tabs>
              <w:ind w:left="706"/>
              <w:rPr>
                <w:rFonts w:ascii="Arial" w:hAnsi="Arial" w:cs="Arial"/>
                <w:color w:val="000000"/>
                <w:sz w:val="22"/>
                <w:szCs w:val="22"/>
              </w:rPr>
            </w:pPr>
            <w:r w:rsidRPr="0018503B">
              <w:rPr>
                <w:rFonts w:ascii="Arial" w:hAnsi="Arial" w:cs="Arial"/>
                <w:color w:val="000000"/>
                <w:sz w:val="22"/>
                <w:szCs w:val="22"/>
              </w:rPr>
              <w:sym w:font="Wingdings" w:char="F0A8"/>
            </w:r>
            <w:r w:rsidRPr="0018503B">
              <w:rPr>
                <w:rFonts w:ascii="Arial" w:hAnsi="Arial" w:cs="Arial"/>
                <w:color w:val="000000"/>
                <w:sz w:val="22"/>
                <w:szCs w:val="22"/>
              </w:rPr>
              <w:tab/>
              <w:t xml:space="preserve">Option C   Specify: </w:t>
            </w:r>
            <w:r w:rsidRPr="0018503B">
              <w:rPr>
                <w:rFonts w:ascii="Arial" w:hAnsi="Arial" w:cs="Arial"/>
                <w:color w:val="000000"/>
                <w:sz w:val="22"/>
                <w:szCs w:val="22"/>
                <w:u w:val="single"/>
              </w:rPr>
              <w:tab/>
            </w:r>
          </w:p>
        </w:tc>
      </w:tr>
      <w:tr w:rsidR="00BF32C9" w:rsidRPr="0018503B" w:rsidTr="003C2AD9">
        <w:tc>
          <w:tcPr>
            <w:tcW w:w="3708" w:type="dxa"/>
            <w:tcBorders>
              <w:top w:val="nil"/>
              <w:left w:val="nil"/>
              <w:bottom w:val="nil"/>
              <w:right w:val="nil"/>
            </w:tcBorders>
          </w:tcPr>
          <w:p w:rsidR="00BF32C9" w:rsidRPr="0018503B" w:rsidRDefault="00BF32C9" w:rsidP="003C2AD9">
            <w:pPr>
              <w:keepNext/>
              <w:rPr>
                <w:color w:val="000000"/>
                <w:szCs w:val="22"/>
                <w:u w:val="single"/>
              </w:rPr>
            </w:pPr>
          </w:p>
        </w:tc>
        <w:tc>
          <w:tcPr>
            <w:tcW w:w="5760" w:type="dxa"/>
            <w:tcBorders>
              <w:top w:val="nil"/>
              <w:left w:val="nil"/>
              <w:bottom w:val="nil"/>
              <w:right w:val="nil"/>
            </w:tcBorders>
          </w:tcPr>
          <w:p w:rsidR="00BF32C9" w:rsidRPr="0018503B" w:rsidRDefault="00BF32C9" w:rsidP="003C2AD9">
            <w:pPr>
              <w:pStyle w:val="BodyText2"/>
              <w:tabs>
                <w:tab w:val="left" w:pos="702"/>
              </w:tabs>
              <w:spacing w:before="120"/>
              <w:ind w:left="702" w:hanging="360"/>
              <w:rPr>
                <w:b w:val="0"/>
                <w:color w:val="000000"/>
                <w:szCs w:val="22"/>
              </w:rPr>
            </w:pPr>
            <w:r w:rsidRPr="0018503B">
              <w:rPr>
                <w:rStyle w:val="ParaNum"/>
                <w:b w:val="0"/>
                <w:color w:val="000000"/>
                <w:szCs w:val="22"/>
              </w:rPr>
              <w:t>(b)</w:t>
            </w:r>
            <w:r w:rsidRPr="0018503B">
              <w:rPr>
                <w:rStyle w:val="ParaNum"/>
                <w:b w:val="0"/>
                <w:color w:val="000000"/>
                <w:szCs w:val="22"/>
              </w:rPr>
              <w:tab/>
              <w:t>Credit Assurances:</w:t>
            </w:r>
          </w:p>
        </w:tc>
      </w:tr>
      <w:tr w:rsidR="00BF32C9" w:rsidRPr="0018503B" w:rsidTr="003C2AD9">
        <w:trPr>
          <w:trHeight w:val="657"/>
        </w:trPr>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tcBorders>
              <w:top w:val="nil"/>
              <w:left w:val="nil"/>
              <w:bottom w:val="nil"/>
              <w:right w:val="nil"/>
            </w:tcBorders>
          </w:tcPr>
          <w:p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FD"/>
            </w:r>
            <w:r w:rsidRPr="0018503B">
              <w:rPr>
                <w:color w:val="000000"/>
                <w:szCs w:val="22"/>
              </w:rPr>
              <w:tab/>
              <w:t>Not Applicable</w:t>
            </w:r>
          </w:p>
          <w:p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A8"/>
            </w:r>
            <w:r w:rsidRPr="0018503B">
              <w:rPr>
                <w:color w:val="000000"/>
                <w:szCs w:val="22"/>
              </w:rPr>
              <w:tab/>
              <w:t>Applicable</w:t>
            </w: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r w:rsidRPr="0018503B">
              <w:rPr>
                <w:color w:val="000000"/>
                <w:szCs w:val="22"/>
              </w:rPr>
              <w:br w:type="page"/>
            </w:r>
          </w:p>
        </w:tc>
        <w:tc>
          <w:tcPr>
            <w:tcW w:w="5760" w:type="dxa"/>
            <w:tcBorders>
              <w:top w:val="nil"/>
              <w:left w:val="nil"/>
              <w:bottom w:val="nil"/>
              <w:right w:val="nil"/>
            </w:tcBorders>
          </w:tcPr>
          <w:p w:rsidR="00BF32C9" w:rsidRPr="0018503B" w:rsidRDefault="00BF32C9" w:rsidP="003C2AD9">
            <w:pPr>
              <w:ind w:left="720" w:hanging="360"/>
              <w:rPr>
                <w:color w:val="000000"/>
                <w:szCs w:val="22"/>
              </w:rPr>
            </w:pPr>
            <w:r w:rsidRPr="0018503B">
              <w:rPr>
                <w:rStyle w:val="ParaNum"/>
                <w:color w:val="000000"/>
                <w:szCs w:val="22"/>
              </w:rPr>
              <w:t>(c)</w:t>
            </w:r>
            <w:r w:rsidRPr="0018503B">
              <w:rPr>
                <w:color w:val="000000"/>
                <w:szCs w:val="22"/>
              </w:rPr>
              <w:tab/>
              <w:t>Collateral Threshold:</w:t>
            </w: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tcBorders>
              <w:top w:val="nil"/>
              <w:left w:val="nil"/>
              <w:bottom w:val="nil"/>
              <w:right w:val="nil"/>
            </w:tcBorders>
          </w:tcPr>
          <w:p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FD"/>
            </w:r>
            <w:r w:rsidRPr="0018503B">
              <w:rPr>
                <w:color w:val="000000"/>
                <w:szCs w:val="22"/>
              </w:rPr>
              <w:tab/>
              <w:t>Not Applicable</w:t>
            </w:r>
          </w:p>
          <w:p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A8"/>
            </w:r>
            <w:r w:rsidRPr="0018503B">
              <w:rPr>
                <w:color w:val="000000"/>
                <w:szCs w:val="22"/>
              </w:rPr>
              <w:tab/>
              <w:t>Applicable</w:t>
            </w:r>
          </w:p>
        </w:tc>
      </w:tr>
      <w:tr w:rsidR="00BF32C9" w:rsidRPr="0018503B" w:rsidTr="003C2AD9">
        <w:trPr>
          <w:trHeight w:val="675"/>
        </w:trPr>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tcBorders>
              <w:top w:val="nil"/>
              <w:left w:val="nil"/>
              <w:bottom w:val="nil"/>
              <w:right w:val="nil"/>
            </w:tcBorders>
          </w:tcPr>
          <w:p w:rsidR="00BF32C9" w:rsidRPr="0018503B" w:rsidRDefault="00BF32C9" w:rsidP="003C2AD9">
            <w:pPr>
              <w:ind w:left="1062"/>
              <w:rPr>
                <w:color w:val="000000"/>
                <w:szCs w:val="22"/>
              </w:rPr>
            </w:pPr>
            <w:r w:rsidRPr="0018503B">
              <w:rPr>
                <w:color w:val="000000"/>
                <w:szCs w:val="22"/>
              </w:rPr>
              <w:t>If applicable, complete the following: N/A</w:t>
            </w:r>
          </w:p>
          <w:p w:rsidR="00BF32C9" w:rsidRPr="0018503B" w:rsidRDefault="00BF32C9" w:rsidP="003C2AD9">
            <w:pPr>
              <w:tabs>
                <w:tab w:val="right" w:pos="6282"/>
              </w:tabs>
              <w:ind w:left="1062"/>
              <w:rPr>
                <w:color w:val="000000"/>
                <w:szCs w:val="22"/>
              </w:rPr>
            </w:pP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tcBorders>
              <w:top w:val="nil"/>
              <w:left w:val="nil"/>
              <w:bottom w:val="nil"/>
              <w:right w:val="nil"/>
            </w:tcBorders>
          </w:tcPr>
          <w:p w:rsidR="00BF32C9" w:rsidRPr="0018503B" w:rsidRDefault="00BF32C9" w:rsidP="003C2AD9">
            <w:pPr>
              <w:ind w:left="702" w:hanging="360"/>
              <w:rPr>
                <w:color w:val="000000"/>
                <w:szCs w:val="22"/>
              </w:rPr>
            </w:pPr>
            <w:r w:rsidRPr="0018503B">
              <w:rPr>
                <w:rStyle w:val="ParaNum"/>
                <w:color w:val="000000"/>
                <w:szCs w:val="22"/>
              </w:rPr>
              <w:t>(d)</w:t>
            </w:r>
            <w:r w:rsidRPr="0018503B">
              <w:rPr>
                <w:color w:val="000000"/>
                <w:szCs w:val="22"/>
              </w:rPr>
              <w:tab/>
              <w:t>Downgrade Event:</w:t>
            </w: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tcBorders>
              <w:top w:val="nil"/>
              <w:left w:val="nil"/>
              <w:bottom w:val="nil"/>
              <w:right w:val="nil"/>
            </w:tcBorders>
          </w:tcPr>
          <w:p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FD"/>
            </w:r>
            <w:r w:rsidRPr="0018503B">
              <w:rPr>
                <w:color w:val="000000"/>
                <w:szCs w:val="22"/>
              </w:rPr>
              <w:tab/>
              <w:t>Not Applicable</w:t>
            </w:r>
          </w:p>
          <w:p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A8"/>
            </w:r>
            <w:r w:rsidRPr="0018503B">
              <w:rPr>
                <w:color w:val="000000"/>
                <w:szCs w:val="22"/>
              </w:rPr>
              <w:tab/>
              <w:t>Applicable</w:t>
            </w: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tcBorders>
              <w:top w:val="nil"/>
              <w:left w:val="nil"/>
              <w:bottom w:val="nil"/>
              <w:right w:val="nil"/>
            </w:tcBorders>
          </w:tcPr>
          <w:p w:rsidR="00BF32C9" w:rsidRPr="0018503B" w:rsidRDefault="00BF32C9" w:rsidP="003C2AD9">
            <w:pPr>
              <w:ind w:left="1062"/>
              <w:rPr>
                <w:color w:val="000000"/>
                <w:szCs w:val="22"/>
              </w:rPr>
            </w:pPr>
            <w:r w:rsidRPr="0018503B">
              <w:rPr>
                <w:color w:val="000000"/>
                <w:szCs w:val="22"/>
              </w:rPr>
              <w:t>If applicable, complete the following: N/A</w:t>
            </w: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tcBorders>
              <w:top w:val="nil"/>
              <w:left w:val="nil"/>
              <w:bottom w:val="nil"/>
              <w:right w:val="nil"/>
            </w:tcBorders>
          </w:tcPr>
          <w:p w:rsidR="00BF32C9" w:rsidRPr="0018503B" w:rsidRDefault="00BF32C9" w:rsidP="003C2AD9">
            <w:pPr>
              <w:tabs>
                <w:tab w:val="right" w:pos="4572"/>
              </w:tabs>
              <w:ind w:left="1422"/>
              <w:rPr>
                <w:color w:val="000000"/>
                <w:szCs w:val="22"/>
              </w:rPr>
            </w:pP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tcBorders>
              <w:top w:val="nil"/>
              <w:left w:val="nil"/>
              <w:bottom w:val="nil"/>
              <w:right w:val="nil"/>
            </w:tcBorders>
          </w:tcPr>
          <w:p w:rsidR="00BF32C9" w:rsidRPr="0018503B" w:rsidRDefault="00BF32C9" w:rsidP="00BF32C9">
            <w:pPr>
              <w:ind w:left="702" w:hanging="360"/>
              <w:rPr>
                <w:color w:val="000000"/>
                <w:szCs w:val="22"/>
              </w:rPr>
            </w:pPr>
            <w:r w:rsidRPr="0018503B">
              <w:rPr>
                <w:rStyle w:val="ParaNum"/>
                <w:color w:val="000000"/>
                <w:szCs w:val="22"/>
              </w:rPr>
              <w:t>(e)</w:t>
            </w:r>
            <w:r w:rsidRPr="0018503B">
              <w:rPr>
                <w:rStyle w:val="ParaNum"/>
                <w:color w:val="000000"/>
                <w:szCs w:val="22"/>
              </w:rPr>
              <w:tab/>
              <w:t xml:space="preserve">Guarantor for Party B: </w:t>
            </w: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tcBorders>
              <w:top w:val="nil"/>
              <w:left w:val="nil"/>
              <w:bottom w:val="nil"/>
              <w:right w:val="nil"/>
            </w:tcBorders>
          </w:tcPr>
          <w:p w:rsidR="00BF32C9" w:rsidRPr="0018503B" w:rsidRDefault="00BF32C9" w:rsidP="00BF32C9">
            <w:pPr>
              <w:tabs>
                <w:tab w:val="right" w:pos="6012"/>
              </w:tabs>
              <w:ind w:left="702"/>
              <w:rPr>
                <w:rStyle w:val="ParaNum"/>
                <w:color w:val="000000"/>
                <w:szCs w:val="22"/>
              </w:rPr>
            </w:pPr>
            <w:r w:rsidRPr="0018503B">
              <w:rPr>
                <w:color w:val="000000"/>
                <w:szCs w:val="22"/>
              </w:rPr>
              <w:t xml:space="preserve">Guarantee Amount: </w:t>
            </w: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tcBorders>
              <w:top w:val="nil"/>
              <w:left w:val="nil"/>
              <w:bottom w:val="nil"/>
              <w:right w:val="nil"/>
            </w:tcBorders>
          </w:tcPr>
          <w:p w:rsidR="00BF32C9" w:rsidRPr="0018503B" w:rsidRDefault="00BF32C9" w:rsidP="003C2AD9">
            <w:pPr>
              <w:pStyle w:val="BodyText2"/>
              <w:tabs>
                <w:tab w:val="clear" w:pos="360"/>
                <w:tab w:val="left" w:pos="342"/>
              </w:tabs>
              <w:spacing w:before="120"/>
              <w:rPr>
                <w:b w:val="0"/>
                <w:color w:val="000000"/>
                <w:szCs w:val="22"/>
              </w:rPr>
            </w:pPr>
            <w:r w:rsidRPr="0018503B">
              <w:rPr>
                <w:rStyle w:val="ParaNum"/>
                <w:b w:val="0"/>
                <w:color w:val="000000"/>
                <w:szCs w:val="22"/>
              </w:rPr>
              <w:t>8.2</w:t>
            </w:r>
            <w:r w:rsidRPr="0018503B">
              <w:rPr>
                <w:rStyle w:val="ParaNum"/>
                <w:b w:val="0"/>
                <w:color w:val="000000"/>
                <w:szCs w:val="22"/>
              </w:rPr>
              <w:tab/>
              <w:t xml:space="preserve">Party B Credit Protection: </w:t>
            </w:r>
          </w:p>
        </w:tc>
      </w:tr>
      <w:tr w:rsidR="00BF32C9" w:rsidRPr="0018503B" w:rsidTr="003C2AD9">
        <w:tc>
          <w:tcPr>
            <w:tcW w:w="3708" w:type="dxa"/>
            <w:tcBorders>
              <w:top w:val="nil"/>
              <w:left w:val="nil"/>
              <w:bottom w:val="nil"/>
              <w:right w:val="nil"/>
            </w:tcBorders>
          </w:tcPr>
          <w:p w:rsidR="00BF32C9" w:rsidRPr="0018503B" w:rsidRDefault="00BF32C9" w:rsidP="003C2AD9">
            <w:pPr>
              <w:keepNext/>
              <w:rPr>
                <w:color w:val="000000"/>
                <w:szCs w:val="22"/>
                <w:u w:val="single"/>
              </w:rPr>
            </w:pPr>
          </w:p>
        </w:tc>
        <w:tc>
          <w:tcPr>
            <w:tcW w:w="5760" w:type="dxa"/>
            <w:tcBorders>
              <w:top w:val="nil"/>
              <w:left w:val="nil"/>
              <w:bottom w:val="nil"/>
              <w:right w:val="nil"/>
            </w:tcBorders>
          </w:tcPr>
          <w:p w:rsidR="00BF32C9" w:rsidRPr="0018503B" w:rsidRDefault="00BF32C9" w:rsidP="003C2AD9">
            <w:pPr>
              <w:keepNext/>
              <w:ind w:left="720" w:hanging="360"/>
              <w:rPr>
                <w:color w:val="000000"/>
                <w:szCs w:val="22"/>
              </w:rPr>
            </w:pPr>
            <w:r w:rsidRPr="0018503B">
              <w:rPr>
                <w:rStyle w:val="ParaNum"/>
                <w:color w:val="000000"/>
                <w:szCs w:val="22"/>
              </w:rPr>
              <w:t>(a)</w:t>
            </w:r>
            <w:r w:rsidRPr="0018503B">
              <w:rPr>
                <w:rStyle w:val="ParaNum"/>
                <w:color w:val="000000"/>
                <w:szCs w:val="22"/>
              </w:rPr>
              <w:tab/>
              <w:t>Financial Information:</w:t>
            </w:r>
          </w:p>
        </w:tc>
      </w:tr>
      <w:tr w:rsidR="00BF32C9" w:rsidRPr="0018503B" w:rsidTr="003C2AD9">
        <w:tc>
          <w:tcPr>
            <w:tcW w:w="3708" w:type="dxa"/>
            <w:tcBorders>
              <w:top w:val="nil"/>
              <w:left w:val="nil"/>
              <w:bottom w:val="nil"/>
              <w:right w:val="nil"/>
            </w:tcBorders>
          </w:tcPr>
          <w:p w:rsidR="00BF32C9" w:rsidRPr="0018503B" w:rsidRDefault="00BF32C9" w:rsidP="003C2AD9">
            <w:pPr>
              <w:keepNext/>
              <w:rPr>
                <w:color w:val="000000"/>
                <w:szCs w:val="22"/>
                <w:u w:val="single"/>
              </w:rPr>
            </w:pPr>
          </w:p>
        </w:tc>
        <w:tc>
          <w:tcPr>
            <w:tcW w:w="5760" w:type="dxa"/>
            <w:tcBorders>
              <w:top w:val="nil"/>
              <w:left w:val="nil"/>
              <w:bottom w:val="nil"/>
              <w:right w:val="nil"/>
            </w:tcBorders>
          </w:tcPr>
          <w:p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1062"/>
                <w:tab w:val="right" w:pos="4572"/>
              </w:tabs>
              <w:ind w:left="706"/>
              <w:rPr>
                <w:rFonts w:ascii="Arial" w:hAnsi="Arial" w:cs="Arial"/>
                <w:color w:val="000000"/>
                <w:sz w:val="22"/>
                <w:szCs w:val="22"/>
              </w:rPr>
            </w:pPr>
            <w:r w:rsidRPr="0018503B">
              <w:rPr>
                <w:rFonts w:ascii="Arial" w:hAnsi="Arial" w:cs="Arial"/>
                <w:color w:val="000000"/>
                <w:sz w:val="22"/>
                <w:szCs w:val="22"/>
              </w:rPr>
              <w:sym w:font="Wingdings" w:char="F0A8"/>
            </w:r>
            <w:r w:rsidRPr="0018503B">
              <w:rPr>
                <w:rFonts w:ascii="Arial" w:hAnsi="Arial" w:cs="Arial"/>
                <w:color w:val="000000"/>
                <w:sz w:val="22"/>
                <w:szCs w:val="22"/>
              </w:rPr>
              <w:tab/>
              <w:t>Option A</w:t>
            </w:r>
          </w:p>
          <w:p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1062"/>
                <w:tab w:val="right" w:pos="4572"/>
              </w:tabs>
              <w:ind w:left="706"/>
              <w:rPr>
                <w:rFonts w:ascii="Arial" w:hAnsi="Arial" w:cs="Arial"/>
                <w:color w:val="000000"/>
                <w:sz w:val="22"/>
                <w:szCs w:val="22"/>
              </w:rPr>
            </w:pPr>
            <w:r w:rsidRPr="0018503B">
              <w:rPr>
                <w:rFonts w:ascii="Arial" w:hAnsi="Arial" w:cs="Arial"/>
                <w:color w:val="000000"/>
                <w:sz w:val="22"/>
                <w:szCs w:val="22"/>
              </w:rPr>
              <w:sym w:font="Wingdings" w:char="F0A8"/>
            </w:r>
            <w:r w:rsidRPr="0018503B">
              <w:rPr>
                <w:rFonts w:ascii="Arial" w:hAnsi="Arial" w:cs="Arial"/>
                <w:color w:val="000000"/>
                <w:sz w:val="22"/>
                <w:szCs w:val="22"/>
              </w:rPr>
              <w:tab/>
              <w:t xml:space="preserve">Option B   Specify: </w:t>
            </w:r>
          </w:p>
          <w:p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1062"/>
                <w:tab w:val="right" w:pos="4572"/>
              </w:tabs>
              <w:ind w:left="706"/>
              <w:rPr>
                <w:rFonts w:ascii="Arial" w:hAnsi="Arial" w:cs="Arial"/>
                <w:color w:val="000000"/>
                <w:sz w:val="22"/>
                <w:szCs w:val="22"/>
              </w:rPr>
            </w:pPr>
            <w:r w:rsidRPr="0018503B">
              <w:rPr>
                <w:rFonts w:ascii="Arial" w:hAnsi="Arial" w:cs="Arial"/>
                <w:color w:val="000000"/>
                <w:sz w:val="22"/>
                <w:szCs w:val="22"/>
              </w:rPr>
              <w:sym w:font="Wingdings" w:char="F0A8"/>
            </w:r>
            <w:r w:rsidRPr="0018503B">
              <w:rPr>
                <w:rFonts w:ascii="Arial" w:hAnsi="Arial" w:cs="Arial"/>
                <w:color w:val="000000"/>
                <w:sz w:val="22"/>
                <w:szCs w:val="22"/>
              </w:rPr>
              <w:tab/>
              <w:t xml:space="preserve">Option C   Specify: </w:t>
            </w:r>
          </w:p>
        </w:tc>
      </w:tr>
    </w:tbl>
    <w:p w:rsidR="00BF32C9" w:rsidRPr="0018503B" w:rsidRDefault="00BF32C9" w:rsidP="00BF32C9">
      <w:pPr>
        <w:rPr>
          <w:color w:val="000000"/>
          <w:szCs w:val="22"/>
        </w:rPr>
      </w:pPr>
    </w:p>
    <w:tbl>
      <w:tblPr>
        <w:tblW w:w="9468" w:type="dxa"/>
        <w:tblLayout w:type="fixed"/>
        <w:tblLook w:val="0000" w:firstRow="0" w:lastRow="0" w:firstColumn="0" w:lastColumn="0" w:noHBand="0" w:noVBand="0"/>
      </w:tblPr>
      <w:tblGrid>
        <w:gridCol w:w="3708"/>
        <w:gridCol w:w="5760"/>
      </w:tblGrid>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tcBorders>
              <w:top w:val="nil"/>
              <w:left w:val="nil"/>
              <w:bottom w:val="nil"/>
              <w:right w:val="nil"/>
            </w:tcBorders>
          </w:tcPr>
          <w:p w:rsidR="00BF32C9" w:rsidRPr="0018503B" w:rsidRDefault="00BF32C9" w:rsidP="003C2AD9">
            <w:pPr>
              <w:ind w:left="720" w:hanging="360"/>
              <w:rPr>
                <w:color w:val="000000"/>
                <w:szCs w:val="22"/>
              </w:rPr>
            </w:pPr>
            <w:r w:rsidRPr="0018503B">
              <w:rPr>
                <w:rStyle w:val="ParaNum"/>
                <w:color w:val="000000"/>
                <w:szCs w:val="22"/>
              </w:rPr>
              <w:t>(b)</w:t>
            </w:r>
            <w:r w:rsidRPr="0018503B">
              <w:rPr>
                <w:rStyle w:val="ParaNum"/>
                <w:color w:val="000000"/>
                <w:szCs w:val="22"/>
              </w:rPr>
              <w:tab/>
              <w:t>Credit Assurances:</w:t>
            </w: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tcBorders>
              <w:top w:val="nil"/>
              <w:left w:val="nil"/>
              <w:bottom w:val="nil"/>
              <w:right w:val="nil"/>
            </w:tcBorders>
          </w:tcPr>
          <w:p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FD"/>
            </w:r>
            <w:r w:rsidRPr="0018503B">
              <w:rPr>
                <w:color w:val="000000"/>
                <w:szCs w:val="22"/>
              </w:rPr>
              <w:tab/>
              <w:t>Not Applicable</w:t>
            </w:r>
          </w:p>
          <w:p w:rsidR="00BF32C9" w:rsidRPr="0018503B" w:rsidRDefault="00BF32C9" w:rsidP="003C2AD9">
            <w:pPr>
              <w:tabs>
                <w:tab w:val="left" w:pos="1062"/>
                <w:tab w:val="right" w:pos="4572"/>
              </w:tabs>
              <w:ind w:left="1062" w:hanging="360"/>
              <w:rPr>
                <w:color w:val="000000"/>
                <w:szCs w:val="22"/>
              </w:rPr>
            </w:pPr>
            <w:r w:rsidRPr="0018503B">
              <w:rPr>
                <w:color w:val="000000"/>
                <w:szCs w:val="22"/>
              </w:rPr>
              <w:sym w:font="Wingdings" w:char="F0A8"/>
            </w:r>
            <w:r w:rsidRPr="0018503B">
              <w:rPr>
                <w:color w:val="000000"/>
                <w:szCs w:val="22"/>
              </w:rPr>
              <w:tab/>
              <w:t>Applicable</w:t>
            </w:r>
          </w:p>
          <w:p w:rsidR="00BF32C9" w:rsidRPr="0018503B" w:rsidRDefault="00BF32C9" w:rsidP="003C2AD9">
            <w:pPr>
              <w:tabs>
                <w:tab w:val="left" w:pos="1062"/>
                <w:tab w:val="right" w:pos="4572"/>
              </w:tabs>
              <w:ind w:left="1062" w:hanging="360"/>
              <w:rPr>
                <w:color w:val="000000"/>
                <w:szCs w:val="22"/>
              </w:rPr>
            </w:pP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tcBorders>
              <w:top w:val="nil"/>
              <w:left w:val="nil"/>
              <w:bottom w:val="nil"/>
              <w:right w:val="nil"/>
            </w:tcBorders>
          </w:tcPr>
          <w:p w:rsidR="00BF32C9" w:rsidRPr="0018503B" w:rsidRDefault="00BF32C9" w:rsidP="003C2AD9">
            <w:pPr>
              <w:ind w:left="720" w:hanging="360"/>
              <w:rPr>
                <w:color w:val="000000"/>
                <w:szCs w:val="22"/>
              </w:rPr>
            </w:pPr>
            <w:r w:rsidRPr="0018503B">
              <w:rPr>
                <w:rStyle w:val="ParaNum"/>
                <w:color w:val="000000"/>
                <w:szCs w:val="22"/>
              </w:rPr>
              <w:t>(c)</w:t>
            </w:r>
            <w:r w:rsidRPr="0018503B">
              <w:rPr>
                <w:color w:val="000000"/>
                <w:szCs w:val="22"/>
              </w:rPr>
              <w:tab/>
              <w:t>Collateral Threshold:</w:t>
            </w: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tcBorders>
              <w:top w:val="nil"/>
              <w:left w:val="nil"/>
              <w:bottom w:val="nil"/>
              <w:right w:val="nil"/>
            </w:tcBorders>
          </w:tcPr>
          <w:p w:rsidR="00BF32C9" w:rsidRPr="0018503B" w:rsidRDefault="00BF32C9" w:rsidP="003C2AD9">
            <w:pPr>
              <w:tabs>
                <w:tab w:val="left" w:pos="1332"/>
                <w:tab w:val="right" w:pos="4572"/>
              </w:tabs>
              <w:ind w:left="972"/>
              <w:rPr>
                <w:color w:val="000000"/>
                <w:szCs w:val="22"/>
              </w:rPr>
            </w:pPr>
            <w:r w:rsidRPr="0018503B">
              <w:rPr>
                <w:color w:val="000000"/>
                <w:szCs w:val="22"/>
              </w:rPr>
              <w:sym w:font="Wingdings" w:char="F0FD"/>
            </w:r>
            <w:r w:rsidRPr="0018503B">
              <w:rPr>
                <w:color w:val="000000"/>
                <w:szCs w:val="22"/>
              </w:rPr>
              <w:tab/>
              <w:t>Not Applicable</w:t>
            </w:r>
            <w:r w:rsidRPr="0018503B">
              <w:rPr>
                <w:color w:val="000000"/>
                <w:szCs w:val="22"/>
              </w:rPr>
              <w:br/>
            </w:r>
            <w:r w:rsidRPr="0018503B">
              <w:rPr>
                <w:color w:val="000000"/>
                <w:szCs w:val="22"/>
              </w:rPr>
              <w:sym w:font="Wingdings" w:char="F0A8"/>
            </w:r>
            <w:r w:rsidRPr="0018503B">
              <w:rPr>
                <w:color w:val="000000"/>
                <w:szCs w:val="22"/>
              </w:rPr>
              <w:tab/>
              <w:t>Applicable</w:t>
            </w: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tcBorders>
              <w:top w:val="nil"/>
              <w:left w:val="nil"/>
              <w:bottom w:val="nil"/>
              <w:right w:val="nil"/>
            </w:tcBorders>
          </w:tcPr>
          <w:p w:rsidR="00BF32C9" w:rsidRPr="0018503B" w:rsidRDefault="00BF32C9" w:rsidP="003C2AD9">
            <w:pPr>
              <w:tabs>
                <w:tab w:val="right" w:pos="6282"/>
              </w:tabs>
              <w:ind w:left="1062"/>
              <w:rPr>
                <w:color w:val="000000"/>
                <w:szCs w:val="22"/>
              </w:rPr>
            </w:pPr>
          </w:p>
        </w:tc>
      </w:tr>
      <w:tr w:rsidR="00BF32C9" w:rsidRPr="0018503B" w:rsidTr="003C2AD9">
        <w:tc>
          <w:tcPr>
            <w:tcW w:w="3708" w:type="dxa"/>
            <w:tcBorders>
              <w:top w:val="nil"/>
              <w:left w:val="nil"/>
              <w:bottom w:val="nil"/>
              <w:right w:val="nil"/>
            </w:tcBorders>
          </w:tcPr>
          <w:p w:rsidR="00BF32C9" w:rsidRPr="0018503B" w:rsidRDefault="00BF32C9" w:rsidP="003C2AD9">
            <w:pPr>
              <w:keepNext/>
              <w:keepLines/>
              <w:rPr>
                <w:color w:val="000000"/>
                <w:szCs w:val="22"/>
                <w:u w:val="single"/>
              </w:rPr>
            </w:pPr>
          </w:p>
        </w:tc>
        <w:tc>
          <w:tcPr>
            <w:tcW w:w="5760" w:type="dxa"/>
            <w:tcBorders>
              <w:top w:val="nil"/>
              <w:left w:val="nil"/>
              <w:bottom w:val="nil"/>
              <w:right w:val="nil"/>
            </w:tcBorders>
          </w:tcPr>
          <w:p w:rsidR="00BF32C9" w:rsidRPr="0018503B" w:rsidRDefault="00BF32C9" w:rsidP="003C2AD9">
            <w:pPr>
              <w:ind w:left="720" w:hanging="360"/>
              <w:rPr>
                <w:color w:val="000000"/>
                <w:szCs w:val="22"/>
              </w:rPr>
            </w:pPr>
            <w:r w:rsidRPr="0018503B">
              <w:rPr>
                <w:rStyle w:val="ParaNum"/>
                <w:color w:val="000000"/>
                <w:szCs w:val="22"/>
              </w:rPr>
              <w:t>(d)</w:t>
            </w:r>
            <w:r w:rsidRPr="0018503B">
              <w:rPr>
                <w:rStyle w:val="ParaNum"/>
                <w:color w:val="000000"/>
                <w:szCs w:val="22"/>
              </w:rPr>
              <w:tab/>
              <w:t>Downgrade Event:</w:t>
            </w:r>
          </w:p>
        </w:tc>
      </w:tr>
      <w:tr w:rsidR="00BF32C9" w:rsidRPr="0018503B" w:rsidTr="003C2AD9">
        <w:tc>
          <w:tcPr>
            <w:tcW w:w="3708" w:type="dxa"/>
            <w:tcBorders>
              <w:top w:val="nil"/>
              <w:left w:val="nil"/>
              <w:bottom w:val="nil"/>
              <w:right w:val="nil"/>
            </w:tcBorders>
          </w:tcPr>
          <w:p w:rsidR="00BF32C9" w:rsidRPr="0018503B" w:rsidRDefault="00BF32C9" w:rsidP="003C2AD9">
            <w:pPr>
              <w:keepNext/>
              <w:keepLines/>
              <w:rPr>
                <w:color w:val="000000"/>
                <w:szCs w:val="22"/>
                <w:u w:val="single"/>
              </w:rPr>
            </w:pPr>
          </w:p>
        </w:tc>
        <w:tc>
          <w:tcPr>
            <w:tcW w:w="5760" w:type="dxa"/>
            <w:tcBorders>
              <w:top w:val="nil"/>
              <w:left w:val="nil"/>
              <w:bottom w:val="nil"/>
              <w:right w:val="nil"/>
            </w:tcBorders>
          </w:tcPr>
          <w:p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FD"/>
            </w:r>
            <w:r w:rsidRPr="0018503B">
              <w:rPr>
                <w:color w:val="000000"/>
                <w:szCs w:val="22"/>
              </w:rPr>
              <w:tab/>
              <w:t>Not Applicable</w:t>
            </w:r>
          </w:p>
          <w:p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A8"/>
            </w:r>
            <w:r w:rsidRPr="0018503B">
              <w:rPr>
                <w:color w:val="000000"/>
                <w:szCs w:val="22"/>
              </w:rPr>
              <w:tab/>
              <w:t>Applicable</w:t>
            </w: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tcBorders>
              <w:top w:val="nil"/>
              <w:left w:val="nil"/>
              <w:bottom w:val="nil"/>
              <w:right w:val="nil"/>
            </w:tcBorders>
          </w:tcPr>
          <w:p w:rsidR="00BF32C9" w:rsidRPr="0018503B" w:rsidRDefault="00BF32C9" w:rsidP="003C2AD9">
            <w:pPr>
              <w:tabs>
                <w:tab w:val="right" w:pos="6012"/>
              </w:tabs>
              <w:ind w:left="1062" w:hanging="18"/>
              <w:rPr>
                <w:color w:val="000000"/>
                <w:szCs w:val="22"/>
              </w:rPr>
            </w:pPr>
            <w:r w:rsidRPr="0018503B">
              <w:rPr>
                <w:color w:val="000000"/>
                <w:szCs w:val="22"/>
              </w:rPr>
              <w:t>If applicable, complete the following: N/A</w:t>
            </w: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tcBorders>
              <w:top w:val="nil"/>
              <w:left w:val="nil"/>
              <w:bottom w:val="nil"/>
              <w:right w:val="nil"/>
            </w:tcBorders>
          </w:tcPr>
          <w:p w:rsidR="00BF32C9" w:rsidRPr="0018503B" w:rsidRDefault="00BF32C9" w:rsidP="003C2AD9">
            <w:pPr>
              <w:tabs>
                <w:tab w:val="right" w:pos="4572"/>
              </w:tabs>
              <w:ind w:left="1422"/>
              <w:rPr>
                <w:color w:val="000000"/>
                <w:szCs w:val="22"/>
              </w:rPr>
            </w:pPr>
          </w:p>
        </w:tc>
      </w:tr>
      <w:tr w:rsidR="00BF32C9" w:rsidRPr="0018503B" w:rsidTr="003C2AD9">
        <w:trPr>
          <w:trHeight w:val="873"/>
        </w:trPr>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tcBorders>
              <w:top w:val="nil"/>
              <w:left w:val="nil"/>
              <w:bottom w:val="nil"/>
              <w:right w:val="nil"/>
            </w:tcBorders>
          </w:tcPr>
          <w:p w:rsidR="00BF32C9" w:rsidRPr="0018503B" w:rsidRDefault="00BF32C9" w:rsidP="00BF32C9">
            <w:pPr>
              <w:ind w:left="702" w:hanging="360"/>
              <w:rPr>
                <w:b/>
                <w:color w:val="000000"/>
                <w:szCs w:val="22"/>
                <w:u w:val="single"/>
              </w:rPr>
            </w:pPr>
            <w:r w:rsidRPr="0018503B">
              <w:rPr>
                <w:rStyle w:val="ParaNum"/>
                <w:color w:val="000000"/>
                <w:szCs w:val="22"/>
              </w:rPr>
              <w:t>(e)</w:t>
            </w:r>
            <w:r w:rsidRPr="0018503B">
              <w:rPr>
                <w:rStyle w:val="ParaNum"/>
                <w:color w:val="000000"/>
                <w:szCs w:val="22"/>
              </w:rPr>
              <w:tab/>
              <w:t xml:space="preserve">Guarantor for Party A:  </w:t>
            </w: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tcBorders>
              <w:top w:val="nil"/>
              <w:left w:val="nil"/>
              <w:bottom w:val="nil"/>
              <w:right w:val="nil"/>
            </w:tcBorders>
          </w:tcPr>
          <w:p w:rsidR="00BF32C9" w:rsidRPr="0018503B" w:rsidRDefault="00BF32C9" w:rsidP="003C2AD9">
            <w:pPr>
              <w:tabs>
                <w:tab w:val="right" w:pos="6012"/>
              </w:tabs>
              <w:ind w:firstLine="702"/>
              <w:rPr>
                <w:color w:val="000000"/>
                <w:szCs w:val="22"/>
              </w:rPr>
            </w:pPr>
            <w:r w:rsidRPr="0018503B">
              <w:rPr>
                <w:color w:val="000000"/>
                <w:szCs w:val="22"/>
              </w:rPr>
              <w:t xml:space="preserve">Guarantee Amount: </w:t>
            </w:r>
          </w:p>
          <w:p w:rsidR="00BF32C9" w:rsidRPr="0018503B" w:rsidRDefault="00BF32C9" w:rsidP="003C2AD9">
            <w:pPr>
              <w:tabs>
                <w:tab w:val="right" w:pos="6012"/>
              </w:tabs>
              <w:ind w:left="702"/>
              <w:rPr>
                <w:rStyle w:val="ParaNum"/>
                <w:color w:val="000000"/>
                <w:szCs w:val="22"/>
              </w:rPr>
            </w:pP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u w:val="single"/>
              </w:rPr>
            </w:pPr>
          </w:p>
        </w:tc>
        <w:tc>
          <w:tcPr>
            <w:tcW w:w="5760" w:type="dxa"/>
            <w:tcBorders>
              <w:top w:val="nil"/>
              <w:left w:val="nil"/>
              <w:bottom w:val="nil"/>
              <w:right w:val="nil"/>
            </w:tcBorders>
          </w:tcPr>
          <w:p w:rsidR="00BF32C9" w:rsidRPr="0018503B" w:rsidRDefault="00BF32C9" w:rsidP="003C2AD9">
            <w:pPr>
              <w:tabs>
                <w:tab w:val="right" w:pos="6012"/>
              </w:tabs>
              <w:ind w:left="702"/>
              <w:rPr>
                <w:color w:val="000000"/>
                <w:szCs w:val="22"/>
              </w:rPr>
            </w:pPr>
          </w:p>
        </w:tc>
      </w:tr>
      <w:tr w:rsidR="00BF32C9" w:rsidRPr="0018503B" w:rsidTr="003C2AD9">
        <w:tc>
          <w:tcPr>
            <w:tcW w:w="3708" w:type="dxa"/>
            <w:tcBorders>
              <w:top w:val="single" w:sz="6" w:space="0" w:color="auto"/>
              <w:left w:val="nil"/>
              <w:bottom w:val="nil"/>
              <w:right w:val="nil"/>
            </w:tcBorders>
          </w:tcPr>
          <w:p w:rsidR="00BF32C9" w:rsidRPr="0018503B" w:rsidRDefault="00BF32C9" w:rsidP="003C2AD9">
            <w:pPr>
              <w:keepNext/>
              <w:spacing w:before="120"/>
              <w:rPr>
                <w:b/>
                <w:color w:val="000000"/>
                <w:szCs w:val="22"/>
                <w:u w:val="single"/>
              </w:rPr>
            </w:pPr>
            <w:r w:rsidRPr="0018503B">
              <w:rPr>
                <w:b/>
                <w:color w:val="000000"/>
                <w:szCs w:val="22"/>
                <w:u w:val="single"/>
              </w:rPr>
              <w:t xml:space="preserve">Article </w:t>
            </w:r>
            <w:r w:rsidRPr="0018503B">
              <w:rPr>
                <w:rStyle w:val="ParaNum"/>
                <w:b/>
                <w:color w:val="000000"/>
                <w:szCs w:val="22"/>
                <w:u w:val="single"/>
              </w:rPr>
              <w:t>10</w:t>
            </w:r>
          </w:p>
        </w:tc>
        <w:tc>
          <w:tcPr>
            <w:tcW w:w="5760" w:type="dxa"/>
            <w:tcBorders>
              <w:top w:val="single" w:sz="6" w:space="0" w:color="auto"/>
              <w:left w:val="nil"/>
              <w:bottom w:val="nil"/>
              <w:right w:val="nil"/>
            </w:tcBorders>
          </w:tcPr>
          <w:p w:rsidR="00BF32C9" w:rsidRPr="0018503B" w:rsidRDefault="00BF32C9" w:rsidP="003C2AD9">
            <w:pPr>
              <w:spacing w:before="120"/>
              <w:rPr>
                <w:color w:val="000000"/>
                <w:szCs w:val="22"/>
              </w:rPr>
            </w:pPr>
          </w:p>
        </w:tc>
      </w:tr>
      <w:tr w:rsidR="00BF32C9" w:rsidRPr="0018503B" w:rsidTr="003C2AD9">
        <w:trPr>
          <w:cantSplit/>
        </w:trPr>
        <w:tc>
          <w:tcPr>
            <w:tcW w:w="3708" w:type="dxa"/>
            <w:tcBorders>
              <w:top w:val="nil"/>
              <w:left w:val="nil"/>
              <w:bottom w:val="nil"/>
              <w:right w:val="nil"/>
            </w:tcBorders>
          </w:tcPr>
          <w:p w:rsidR="00BF32C9" w:rsidRPr="0018503B" w:rsidRDefault="00BF32C9" w:rsidP="003C2AD9">
            <w:pPr>
              <w:rPr>
                <w:color w:val="000000"/>
                <w:szCs w:val="22"/>
              </w:rPr>
            </w:pPr>
            <w:r w:rsidRPr="0018503B">
              <w:rPr>
                <w:color w:val="000000"/>
                <w:szCs w:val="22"/>
              </w:rPr>
              <w:t>Confidentiality</w:t>
            </w:r>
          </w:p>
        </w:tc>
        <w:tc>
          <w:tcPr>
            <w:tcW w:w="5760" w:type="dxa"/>
            <w:tcBorders>
              <w:top w:val="nil"/>
              <w:left w:val="nil"/>
              <w:bottom w:val="nil"/>
              <w:right w:val="nil"/>
            </w:tcBorders>
          </w:tcPr>
          <w:p w:rsidR="00BF32C9" w:rsidRPr="0018503B" w:rsidRDefault="00BF32C9" w:rsidP="003C2AD9">
            <w:pPr>
              <w:pStyle w:val="BodyText2"/>
              <w:tabs>
                <w:tab w:val="clear" w:pos="360"/>
                <w:tab w:val="left" w:pos="342"/>
              </w:tabs>
              <w:spacing w:before="120"/>
              <w:rPr>
                <w:rStyle w:val="ParaNum"/>
                <w:b w:val="0"/>
                <w:color w:val="000000"/>
                <w:szCs w:val="22"/>
              </w:rPr>
            </w:pPr>
            <w:r w:rsidRPr="0018503B">
              <w:rPr>
                <w:b w:val="0"/>
                <w:color w:val="000000"/>
                <w:szCs w:val="22"/>
              </w:rPr>
              <w:sym w:font="Wingdings" w:char="F0FD"/>
            </w:r>
            <w:r w:rsidRPr="0018503B">
              <w:rPr>
                <w:rStyle w:val="ParaNum"/>
                <w:b w:val="0"/>
                <w:color w:val="000000"/>
                <w:szCs w:val="22"/>
              </w:rPr>
              <w:tab/>
              <w:t>Option A: Confidentiality Applicable.  If not checked, inapplicable.</w:t>
            </w:r>
          </w:p>
          <w:p w:rsidR="00BF32C9" w:rsidRPr="0018503B" w:rsidRDefault="00BF32C9" w:rsidP="003C2AD9">
            <w:pPr>
              <w:ind w:left="342"/>
              <w:rPr>
                <w:color w:val="000000"/>
                <w:szCs w:val="22"/>
              </w:rPr>
            </w:pPr>
          </w:p>
        </w:tc>
      </w:tr>
    </w:tbl>
    <w:p w:rsidR="00BF32C9" w:rsidRPr="0018503B" w:rsidRDefault="00BF32C9" w:rsidP="00BF32C9">
      <w:pPr>
        <w:rPr>
          <w:color w:val="000000"/>
          <w:szCs w:val="22"/>
        </w:rPr>
      </w:pPr>
    </w:p>
    <w:tbl>
      <w:tblPr>
        <w:tblW w:w="9468" w:type="dxa"/>
        <w:tblLayout w:type="fixed"/>
        <w:tblLook w:val="0000" w:firstRow="0" w:lastRow="0" w:firstColumn="0" w:lastColumn="0" w:noHBand="0" w:noVBand="0"/>
      </w:tblPr>
      <w:tblGrid>
        <w:gridCol w:w="3708"/>
        <w:gridCol w:w="5760"/>
      </w:tblGrid>
      <w:tr w:rsidR="00BF32C9" w:rsidRPr="0018503B" w:rsidTr="003C2AD9">
        <w:tc>
          <w:tcPr>
            <w:tcW w:w="3708" w:type="dxa"/>
            <w:tcBorders>
              <w:top w:val="single" w:sz="6" w:space="0" w:color="auto"/>
              <w:left w:val="nil"/>
              <w:bottom w:val="nil"/>
              <w:right w:val="nil"/>
            </w:tcBorders>
          </w:tcPr>
          <w:p w:rsidR="00BF32C9" w:rsidRPr="0018503B" w:rsidRDefault="00BF32C9" w:rsidP="003C2AD9">
            <w:pPr>
              <w:rPr>
                <w:b/>
                <w:color w:val="000000"/>
                <w:szCs w:val="22"/>
                <w:u w:val="single"/>
              </w:rPr>
            </w:pPr>
            <w:r w:rsidRPr="0018503B">
              <w:rPr>
                <w:b/>
                <w:color w:val="000000"/>
                <w:szCs w:val="22"/>
                <w:u w:val="single"/>
              </w:rPr>
              <w:t>Schedule M</w:t>
            </w:r>
          </w:p>
        </w:tc>
        <w:tc>
          <w:tcPr>
            <w:tcW w:w="5760" w:type="dxa"/>
            <w:tcBorders>
              <w:top w:val="single" w:sz="6" w:space="0" w:color="auto"/>
              <w:left w:val="nil"/>
              <w:bottom w:val="nil"/>
              <w:right w:val="nil"/>
            </w:tcBorders>
          </w:tcPr>
          <w:p w:rsidR="00BF32C9" w:rsidRPr="0018503B" w:rsidRDefault="00BF32C9" w:rsidP="003C2AD9">
            <w:pPr>
              <w:tabs>
                <w:tab w:val="left" w:pos="342"/>
              </w:tabs>
              <w:ind w:left="342" w:hanging="342"/>
              <w:rPr>
                <w:color w:val="000000"/>
                <w:szCs w:val="22"/>
              </w:rPr>
            </w:pPr>
            <w:r w:rsidRPr="0018503B">
              <w:rPr>
                <w:color w:val="000000"/>
                <w:szCs w:val="22"/>
              </w:rPr>
              <w:sym w:font="Wingdings" w:char="F0A8"/>
            </w:r>
            <w:r w:rsidRPr="0018503B">
              <w:rPr>
                <w:color w:val="000000"/>
                <w:szCs w:val="22"/>
              </w:rPr>
              <w:tab/>
              <w:t>Party A is a Governmental Entity or Public Power System</w:t>
            </w: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rPr>
            </w:pPr>
          </w:p>
        </w:tc>
        <w:tc>
          <w:tcPr>
            <w:tcW w:w="5760" w:type="dxa"/>
            <w:tcBorders>
              <w:top w:val="nil"/>
              <w:left w:val="nil"/>
              <w:bottom w:val="nil"/>
              <w:right w:val="nil"/>
            </w:tcBorders>
          </w:tcPr>
          <w:p w:rsidR="00BF32C9" w:rsidRPr="0018503B" w:rsidRDefault="00BF32C9" w:rsidP="003C2AD9">
            <w:pPr>
              <w:tabs>
                <w:tab w:val="left" w:pos="342"/>
              </w:tabs>
              <w:ind w:left="342" w:hanging="342"/>
              <w:rPr>
                <w:color w:val="000000"/>
                <w:szCs w:val="22"/>
              </w:rPr>
            </w:pPr>
            <w:r w:rsidRPr="0018503B">
              <w:rPr>
                <w:color w:val="000000"/>
                <w:szCs w:val="22"/>
              </w:rPr>
              <w:sym w:font="Wingdings" w:char="F0A8"/>
            </w:r>
            <w:r w:rsidRPr="0018503B">
              <w:rPr>
                <w:color w:val="000000"/>
                <w:szCs w:val="22"/>
              </w:rPr>
              <w:tab/>
              <w:t>Party B is a Governmental Entity or Public Power System</w:t>
            </w: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rPr>
            </w:pPr>
          </w:p>
        </w:tc>
        <w:tc>
          <w:tcPr>
            <w:tcW w:w="5760" w:type="dxa"/>
            <w:tcBorders>
              <w:top w:val="nil"/>
              <w:left w:val="nil"/>
              <w:bottom w:val="nil"/>
              <w:right w:val="nil"/>
            </w:tcBorders>
          </w:tcPr>
          <w:p w:rsidR="00BF32C9" w:rsidRPr="0018503B" w:rsidRDefault="00BF32C9" w:rsidP="003C2AD9">
            <w:pPr>
              <w:tabs>
                <w:tab w:val="left" w:pos="342"/>
              </w:tabs>
              <w:ind w:left="342" w:hanging="342"/>
              <w:rPr>
                <w:color w:val="000000"/>
                <w:szCs w:val="22"/>
              </w:rPr>
            </w:pPr>
            <w:r w:rsidRPr="0018503B">
              <w:rPr>
                <w:color w:val="000000"/>
                <w:szCs w:val="22"/>
              </w:rPr>
              <w:sym w:font="Wingdings" w:char="F0A8"/>
            </w:r>
            <w:r w:rsidRPr="0018503B">
              <w:rPr>
                <w:color w:val="000000"/>
                <w:szCs w:val="22"/>
              </w:rPr>
              <w:tab/>
              <w:t>Add Section 3.6.  If not checked, inapplicable</w:t>
            </w:r>
          </w:p>
        </w:tc>
      </w:tr>
      <w:tr w:rsidR="00BF32C9" w:rsidRPr="0018503B" w:rsidTr="003C2AD9">
        <w:tc>
          <w:tcPr>
            <w:tcW w:w="3708" w:type="dxa"/>
            <w:tcBorders>
              <w:top w:val="nil"/>
              <w:left w:val="nil"/>
              <w:bottom w:val="nil"/>
              <w:right w:val="nil"/>
            </w:tcBorders>
          </w:tcPr>
          <w:p w:rsidR="00BF32C9" w:rsidRPr="0018503B" w:rsidRDefault="00BF32C9" w:rsidP="003C2AD9">
            <w:pPr>
              <w:rPr>
                <w:color w:val="000000"/>
                <w:szCs w:val="22"/>
              </w:rPr>
            </w:pPr>
          </w:p>
        </w:tc>
        <w:tc>
          <w:tcPr>
            <w:tcW w:w="5760" w:type="dxa"/>
            <w:tcBorders>
              <w:top w:val="nil"/>
              <w:left w:val="nil"/>
              <w:bottom w:val="nil"/>
              <w:right w:val="nil"/>
            </w:tcBorders>
          </w:tcPr>
          <w:p w:rsidR="00BF32C9" w:rsidRPr="0018503B" w:rsidRDefault="00BF32C9" w:rsidP="003C2AD9">
            <w:pPr>
              <w:tabs>
                <w:tab w:val="left" w:pos="342"/>
              </w:tabs>
              <w:ind w:left="342" w:hanging="342"/>
              <w:rPr>
                <w:color w:val="000000"/>
                <w:szCs w:val="22"/>
              </w:rPr>
            </w:pPr>
            <w:r w:rsidRPr="0018503B">
              <w:rPr>
                <w:color w:val="000000"/>
                <w:szCs w:val="22"/>
              </w:rPr>
              <w:sym w:font="Wingdings" w:char="F0A8"/>
            </w:r>
            <w:r w:rsidRPr="0018503B">
              <w:rPr>
                <w:color w:val="000000"/>
                <w:szCs w:val="22"/>
              </w:rPr>
              <w:tab/>
              <w:t>Add Section 8.4.  If not checked, inapplicable</w:t>
            </w:r>
          </w:p>
          <w:p w:rsidR="00BF32C9" w:rsidRPr="0018503B" w:rsidRDefault="00BF32C9" w:rsidP="003C2AD9">
            <w:pPr>
              <w:tabs>
                <w:tab w:val="left" w:pos="342"/>
              </w:tabs>
              <w:ind w:left="342" w:hanging="342"/>
              <w:rPr>
                <w:color w:val="000000"/>
                <w:szCs w:val="22"/>
              </w:rPr>
            </w:pPr>
          </w:p>
        </w:tc>
      </w:tr>
      <w:tr w:rsidR="00BF32C9" w:rsidRPr="0018503B" w:rsidTr="003C2AD9">
        <w:tc>
          <w:tcPr>
            <w:tcW w:w="3708" w:type="dxa"/>
            <w:tcBorders>
              <w:top w:val="nil"/>
              <w:left w:val="nil"/>
              <w:bottom w:val="nil"/>
              <w:right w:val="nil"/>
            </w:tcBorders>
          </w:tcPr>
          <w:p w:rsidR="00BF32C9" w:rsidRPr="0018503B" w:rsidRDefault="00BF32C9" w:rsidP="003C2AD9">
            <w:pPr>
              <w:keepNext/>
              <w:tabs>
                <w:tab w:val="right" w:pos="3060"/>
              </w:tabs>
              <w:rPr>
                <w:b/>
                <w:color w:val="000000"/>
                <w:szCs w:val="22"/>
                <w:u w:val="single"/>
              </w:rPr>
            </w:pPr>
            <w:r w:rsidRPr="0018503B">
              <w:rPr>
                <w:b/>
                <w:color w:val="000000"/>
                <w:szCs w:val="22"/>
                <w:u w:val="single"/>
              </w:rPr>
              <w:t>Schedule P</w:t>
            </w:r>
          </w:p>
        </w:tc>
        <w:tc>
          <w:tcPr>
            <w:tcW w:w="5760" w:type="dxa"/>
            <w:tcBorders>
              <w:top w:val="nil"/>
              <w:left w:val="nil"/>
              <w:bottom w:val="nil"/>
              <w:right w:val="nil"/>
            </w:tcBorders>
          </w:tcPr>
          <w:p w:rsidR="00BF32C9" w:rsidRPr="0018503B" w:rsidRDefault="00BF32C9" w:rsidP="003C2AD9">
            <w:pPr>
              <w:pStyle w:val="MacroText"/>
              <w:keepNext/>
              <w:tabs>
                <w:tab w:val="clear" w:pos="480"/>
                <w:tab w:val="clear" w:pos="960"/>
                <w:tab w:val="clear" w:pos="1440"/>
                <w:tab w:val="clear" w:pos="1920"/>
                <w:tab w:val="clear" w:pos="2400"/>
                <w:tab w:val="clear" w:pos="2880"/>
                <w:tab w:val="clear" w:pos="3360"/>
                <w:tab w:val="clear" w:pos="3840"/>
                <w:tab w:val="clear" w:pos="4320"/>
                <w:tab w:val="right" w:pos="6012"/>
              </w:tabs>
              <w:rPr>
                <w:rFonts w:ascii="Arial" w:hAnsi="Arial" w:cs="Arial"/>
                <w:color w:val="000000"/>
                <w:sz w:val="22"/>
                <w:szCs w:val="22"/>
              </w:rPr>
            </w:pPr>
            <w:r w:rsidRPr="0018503B">
              <w:rPr>
                <w:rFonts w:ascii="Arial" w:hAnsi="Arial" w:cs="Arial"/>
                <w:bCs/>
                <w:color w:val="000000"/>
                <w:sz w:val="22"/>
                <w:szCs w:val="22"/>
              </w:rPr>
              <w:t>Schedule P:  Products and Related Definitions shall be deleted in its entirety</w:t>
            </w:r>
            <w:r w:rsidRPr="0018503B">
              <w:rPr>
                <w:rFonts w:ascii="Arial" w:hAnsi="Arial" w:cs="Arial"/>
                <w:b/>
                <w:color w:val="000000"/>
                <w:sz w:val="22"/>
                <w:szCs w:val="22"/>
              </w:rPr>
              <w:t xml:space="preserve">. </w:t>
            </w:r>
          </w:p>
        </w:tc>
      </w:tr>
    </w:tbl>
    <w:p w:rsidR="00BF32C9" w:rsidRPr="0018503B" w:rsidRDefault="00BF32C9">
      <w:pPr>
        <w:pStyle w:val="BodyText3"/>
        <w:rPr>
          <w:szCs w:val="22"/>
        </w:rPr>
      </w:pPr>
    </w:p>
    <w:p w:rsidR="0021074D" w:rsidRPr="0018503B" w:rsidRDefault="0021074D" w:rsidP="00EF3779">
      <w:pPr>
        <w:numPr>
          <w:ilvl w:val="0"/>
          <w:numId w:val="1"/>
        </w:numPr>
        <w:spacing w:after="240"/>
        <w:rPr>
          <w:b/>
          <w:szCs w:val="22"/>
          <w:u w:val="single"/>
        </w:rPr>
      </w:pPr>
      <w:r w:rsidRPr="0018503B">
        <w:rPr>
          <w:b/>
          <w:szCs w:val="22"/>
          <w:u w:val="single"/>
        </w:rPr>
        <w:t>Definitions</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Applicable Laws</w:t>
      </w:r>
      <w:r w:rsidRPr="0018503B">
        <w:rPr>
          <w:szCs w:val="22"/>
        </w:rPr>
        <w:t>”</w:t>
      </w:r>
      <w:r w:rsidR="0021074D" w:rsidRPr="0018503B">
        <w:rPr>
          <w:szCs w:val="22"/>
        </w:rPr>
        <w:t xml:space="preserve"> means any law, rule, regulation, order, decision, judgment, or other legal or regulatory determination by any Governmental Body having jurisdiction over one or both Parties or this Transaction, including </w:t>
      </w:r>
      <w:r w:rsidR="00EF3779" w:rsidRPr="0018503B">
        <w:rPr>
          <w:szCs w:val="22"/>
        </w:rPr>
        <w:t>without limitation, the Tariff.</w:t>
      </w:r>
    </w:p>
    <w:p w:rsidR="00274238"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410AF1" w:rsidRPr="0018503B">
        <w:rPr>
          <w:szCs w:val="22"/>
        </w:rPr>
        <w:t>Availability Incentive Payments</w:t>
      </w:r>
      <w:r w:rsidRPr="0018503B">
        <w:rPr>
          <w:szCs w:val="22"/>
        </w:rPr>
        <w:t>”</w:t>
      </w:r>
      <w:r w:rsidR="00410AF1" w:rsidRPr="0018503B">
        <w:rPr>
          <w:szCs w:val="22"/>
        </w:rPr>
        <w:t xml:space="preserve"> </w:t>
      </w:r>
      <w:bookmarkStart w:id="2" w:name="OLE_LINK4"/>
      <w:bookmarkStart w:id="3" w:name="OLE_LINK5"/>
      <w:r w:rsidR="003F6D36" w:rsidRPr="0018503B">
        <w:rPr>
          <w:szCs w:val="22"/>
        </w:rPr>
        <w:t xml:space="preserve">has the meaning </w:t>
      </w:r>
      <w:bookmarkEnd w:id="2"/>
      <w:bookmarkEnd w:id="3"/>
      <w:r w:rsidR="0028417A" w:rsidRPr="0018503B">
        <w:rPr>
          <w:szCs w:val="22"/>
        </w:rPr>
        <w:t>set forth</w:t>
      </w:r>
      <w:r w:rsidR="00E03594" w:rsidRPr="0018503B">
        <w:rPr>
          <w:szCs w:val="22"/>
        </w:rPr>
        <w:t xml:space="preserve"> in the Tariff.</w:t>
      </w:r>
    </w:p>
    <w:p w:rsidR="00AB3E9F"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74238" w:rsidRPr="0018503B">
        <w:rPr>
          <w:szCs w:val="22"/>
        </w:rPr>
        <w:t>Availability Standards</w:t>
      </w:r>
      <w:r w:rsidRPr="0018503B">
        <w:rPr>
          <w:szCs w:val="22"/>
        </w:rPr>
        <w:t>”</w:t>
      </w:r>
      <w:r w:rsidR="00274238" w:rsidRPr="0018503B">
        <w:rPr>
          <w:szCs w:val="22"/>
        </w:rPr>
        <w:t xml:space="preserve"> </w:t>
      </w:r>
      <w:r w:rsidR="00C8417F" w:rsidRPr="0018503B">
        <w:rPr>
          <w:szCs w:val="22"/>
        </w:rPr>
        <w:t xml:space="preserve">has the meaning </w:t>
      </w:r>
      <w:r w:rsidR="0028417A" w:rsidRPr="0018503B">
        <w:rPr>
          <w:szCs w:val="22"/>
        </w:rPr>
        <w:t>set forth</w:t>
      </w:r>
      <w:r w:rsidR="00C8417F" w:rsidRPr="0018503B">
        <w:rPr>
          <w:szCs w:val="22"/>
        </w:rPr>
        <w:t xml:space="preserve"> in the Tariff.</w:t>
      </w:r>
    </w:p>
    <w:p w:rsidR="00B35BD7"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B35BD7" w:rsidRPr="0018503B">
        <w:rPr>
          <w:szCs w:val="22"/>
        </w:rPr>
        <w:t>Buyer</w:t>
      </w:r>
      <w:r w:rsidRPr="0018503B">
        <w:rPr>
          <w:szCs w:val="22"/>
        </w:rPr>
        <w:t>”</w:t>
      </w:r>
      <w:r w:rsidR="00B35BD7" w:rsidRPr="0018503B">
        <w:rPr>
          <w:szCs w:val="22"/>
        </w:rPr>
        <w:t xml:space="preserve"> has the meaning specified in the introductory paragraph.</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CAISO</w:t>
      </w:r>
      <w:r w:rsidRPr="0018503B">
        <w:rPr>
          <w:szCs w:val="22"/>
        </w:rPr>
        <w:t>”</w:t>
      </w:r>
      <w:r w:rsidR="0021074D" w:rsidRPr="0018503B">
        <w:rPr>
          <w:szCs w:val="22"/>
        </w:rPr>
        <w:t xml:space="preserve"> means the California Independent System Operator</w:t>
      </w:r>
      <w:r w:rsidR="00C8417F" w:rsidRPr="0018503B">
        <w:rPr>
          <w:szCs w:val="22"/>
        </w:rPr>
        <w:t xml:space="preserve"> Corporation</w:t>
      </w:r>
      <w:r w:rsidR="0021074D" w:rsidRPr="0018503B">
        <w:rPr>
          <w:szCs w:val="22"/>
        </w:rPr>
        <w:t xml:space="preserve">, or </w:t>
      </w:r>
      <w:r w:rsidR="00E93CE3" w:rsidRPr="0018503B">
        <w:rPr>
          <w:szCs w:val="22"/>
        </w:rPr>
        <w:t>any</w:t>
      </w:r>
      <w:r w:rsidR="0021074D" w:rsidRPr="0018503B">
        <w:rPr>
          <w:szCs w:val="22"/>
        </w:rPr>
        <w:t xml:space="preserve"> successor</w:t>
      </w:r>
      <w:r w:rsidR="00C8417F" w:rsidRPr="0018503B">
        <w:rPr>
          <w:szCs w:val="22"/>
        </w:rPr>
        <w:t xml:space="preserve"> entity</w:t>
      </w:r>
      <w:r w:rsidR="00E93CE3" w:rsidRPr="0018503B">
        <w:rPr>
          <w:szCs w:val="22"/>
        </w:rPr>
        <w:t xml:space="preserve"> performing the same functions</w:t>
      </w:r>
      <w:r w:rsidR="0021074D" w:rsidRPr="0018503B">
        <w:rPr>
          <w:szCs w:val="22"/>
        </w:rPr>
        <w:t>.</w:t>
      </w:r>
    </w:p>
    <w:p w:rsidR="0028417A" w:rsidRPr="0018503B" w:rsidRDefault="00E54C20" w:rsidP="00E80BEF">
      <w:pPr>
        <w:numPr>
          <w:ilvl w:val="1"/>
          <w:numId w:val="1"/>
        </w:numPr>
        <w:tabs>
          <w:tab w:val="clear" w:pos="792"/>
        </w:tabs>
        <w:spacing w:after="240"/>
        <w:ind w:left="1440" w:hanging="720"/>
        <w:jc w:val="both"/>
        <w:rPr>
          <w:szCs w:val="22"/>
        </w:rPr>
      </w:pPr>
      <w:r w:rsidRPr="0018503B">
        <w:rPr>
          <w:szCs w:val="22"/>
        </w:rPr>
        <w:t xml:space="preserve"> </w:t>
      </w:r>
      <w:r w:rsidR="0028417A" w:rsidRPr="0018503B">
        <w:rPr>
          <w:szCs w:val="22"/>
        </w:rPr>
        <w:t>“Capacity Flat Price” means the price specified in the Capacity Flat Price Table in Section 4.1.</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lastRenderedPageBreak/>
        <w:t>“</w:t>
      </w:r>
      <w:r w:rsidR="0021074D" w:rsidRPr="0018503B">
        <w:rPr>
          <w:szCs w:val="22"/>
        </w:rPr>
        <w:t>Capacity Replacement Price</w:t>
      </w:r>
      <w:r w:rsidRPr="0018503B">
        <w:rPr>
          <w:szCs w:val="22"/>
        </w:rPr>
        <w:t>”</w:t>
      </w:r>
      <w:r w:rsidR="0021074D" w:rsidRPr="0018503B">
        <w:rPr>
          <w:szCs w:val="22"/>
        </w:rPr>
        <w:t xml:space="preserve"> means (a) the price paid for any Replacement Capacity purchased by Buyer pursuant to Section 5.</w:t>
      </w:r>
      <w:r w:rsidR="0038795F" w:rsidRPr="0018503B">
        <w:rPr>
          <w:szCs w:val="22"/>
        </w:rPr>
        <w:t>2(a)</w:t>
      </w:r>
      <w:r w:rsidR="0021074D" w:rsidRPr="0018503B">
        <w:rPr>
          <w:szCs w:val="22"/>
        </w:rPr>
        <w:t xml:space="preserve">, plus costs reasonably incurred by Buyer in purchasing such Replacement Capacity, or (b) absent a purchase of Replacement Capacity, the market price for </w:t>
      </w:r>
      <w:r w:rsidR="0008510A" w:rsidRPr="0018503B">
        <w:rPr>
          <w:szCs w:val="22"/>
        </w:rPr>
        <w:t>the Product</w:t>
      </w:r>
      <w:r w:rsidR="0021074D" w:rsidRPr="0018503B">
        <w:rPr>
          <w:szCs w:val="22"/>
        </w:rPr>
        <w:t xml:space="preserve"> not </w:t>
      </w:r>
      <w:r w:rsidR="00782F8B" w:rsidRPr="0018503B">
        <w:rPr>
          <w:szCs w:val="22"/>
        </w:rPr>
        <w:t>delivered</w:t>
      </w:r>
      <w:r w:rsidR="0021074D" w:rsidRPr="0018503B">
        <w:rPr>
          <w:szCs w:val="22"/>
        </w:rPr>
        <w:t xml:space="preserve"> </w:t>
      </w:r>
      <w:r w:rsidR="0008510A" w:rsidRPr="0018503B">
        <w:rPr>
          <w:szCs w:val="22"/>
        </w:rPr>
        <w:t>by Seller under this Confirmation</w:t>
      </w:r>
      <w:r w:rsidR="0021074D" w:rsidRPr="0018503B">
        <w:rPr>
          <w:szCs w:val="22"/>
        </w:rPr>
        <w:t>.  Buyer shall determine such market prices in a comm</w:t>
      </w:r>
      <w:r w:rsidR="00C40004" w:rsidRPr="0018503B">
        <w:rPr>
          <w:szCs w:val="22"/>
        </w:rPr>
        <w:t xml:space="preserve">ercially reasonable manner.  </w:t>
      </w:r>
      <w:r w:rsidR="00410AF1" w:rsidRPr="0018503B">
        <w:rPr>
          <w:szCs w:val="22"/>
        </w:rPr>
        <w:t xml:space="preserve">For purposes of Section 1.51 of the Master Agreement, </w:t>
      </w:r>
      <w:r w:rsidRPr="0018503B">
        <w:rPr>
          <w:szCs w:val="22"/>
        </w:rPr>
        <w:t>“</w:t>
      </w:r>
      <w:r w:rsidR="00410AF1" w:rsidRPr="0018503B">
        <w:rPr>
          <w:szCs w:val="22"/>
        </w:rPr>
        <w:t>Capacity Replacement Price</w:t>
      </w:r>
      <w:r w:rsidRPr="0018503B">
        <w:rPr>
          <w:szCs w:val="22"/>
        </w:rPr>
        <w:t>”</w:t>
      </w:r>
      <w:r w:rsidR="00410AF1" w:rsidRPr="0018503B">
        <w:rPr>
          <w:szCs w:val="22"/>
        </w:rPr>
        <w:t xml:space="preserve"> shall be deemed </w:t>
      </w:r>
      <w:r w:rsidR="00EF3779" w:rsidRPr="0018503B">
        <w:rPr>
          <w:szCs w:val="22"/>
        </w:rPr>
        <w:t xml:space="preserve">the </w:t>
      </w:r>
      <w:r w:rsidRPr="0018503B">
        <w:rPr>
          <w:szCs w:val="22"/>
        </w:rPr>
        <w:t>“</w:t>
      </w:r>
      <w:r w:rsidR="0032739A" w:rsidRPr="0018503B">
        <w:rPr>
          <w:szCs w:val="22"/>
        </w:rPr>
        <w:t>Replacement Price</w:t>
      </w:r>
      <w:r w:rsidRPr="0018503B">
        <w:rPr>
          <w:szCs w:val="22"/>
        </w:rPr>
        <w:t>”</w:t>
      </w:r>
      <w:r w:rsidR="0032739A" w:rsidRPr="0018503B">
        <w:rPr>
          <w:szCs w:val="22"/>
        </w:rPr>
        <w:t xml:space="preserve"> for this Transaction.</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Confirmation</w:t>
      </w:r>
      <w:r w:rsidRPr="0018503B">
        <w:rPr>
          <w:szCs w:val="22"/>
        </w:rPr>
        <w:t>”</w:t>
      </w:r>
      <w:r w:rsidR="0021074D" w:rsidRPr="0018503B">
        <w:rPr>
          <w:szCs w:val="22"/>
        </w:rPr>
        <w:t xml:space="preserve"> has the meaning specified in the introductory paragraph.</w:t>
      </w:r>
    </w:p>
    <w:p w:rsidR="00B37E83"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B37E83" w:rsidRPr="0018503B">
        <w:rPr>
          <w:szCs w:val="22"/>
        </w:rPr>
        <w:t>Confirmation Effective Date</w:t>
      </w:r>
      <w:r w:rsidRPr="0018503B">
        <w:rPr>
          <w:szCs w:val="22"/>
        </w:rPr>
        <w:t>”</w:t>
      </w:r>
      <w:r w:rsidR="00B37E83" w:rsidRPr="0018503B">
        <w:rPr>
          <w:szCs w:val="22"/>
        </w:rPr>
        <w:t xml:space="preserve"> has the meaning specified in the introductory paragraph.</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Contingent Firm RA Product</w:t>
      </w:r>
      <w:r w:rsidRPr="0018503B">
        <w:rPr>
          <w:szCs w:val="22"/>
        </w:rPr>
        <w:t>”</w:t>
      </w:r>
      <w:r w:rsidR="0021074D" w:rsidRPr="0018503B">
        <w:rPr>
          <w:szCs w:val="22"/>
        </w:rPr>
        <w:t xml:space="preserve"> has the meaning specified in Section 3.3.</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Contract Price</w:t>
      </w:r>
      <w:r w:rsidRPr="0018503B">
        <w:rPr>
          <w:szCs w:val="22"/>
        </w:rPr>
        <w:t>”</w:t>
      </w:r>
      <w:r w:rsidR="0021074D" w:rsidRPr="0018503B">
        <w:rPr>
          <w:szCs w:val="22"/>
        </w:rPr>
        <w:t xml:space="preserve"> means, for any</w:t>
      </w:r>
      <w:r w:rsidR="00765EBB">
        <w:rPr>
          <w:szCs w:val="22"/>
        </w:rPr>
        <w:t xml:space="preserve"> day in any</w:t>
      </w:r>
      <w:r w:rsidR="0021074D" w:rsidRPr="0018503B">
        <w:rPr>
          <w:szCs w:val="22"/>
        </w:rPr>
        <w:t xml:space="preserve"> Monthly Delivery Period, the Capacity Flat Price</w:t>
      </w:r>
      <w:r w:rsidR="0028417A" w:rsidRPr="0018503B">
        <w:rPr>
          <w:szCs w:val="22"/>
        </w:rPr>
        <w:t xml:space="preserve"> for such period</w:t>
      </w:r>
      <w:r w:rsidR="0021074D" w:rsidRPr="0018503B">
        <w:rPr>
          <w:szCs w:val="22"/>
        </w:rPr>
        <w:t>.</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Contract Quantity</w:t>
      </w:r>
      <w:r w:rsidRPr="0018503B">
        <w:rPr>
          <w:szCs w:val="22"/>
        </w:rPr>
        <w:t>”</w:t>
      </w:r>
      <w:r w:rsidR="0021074D" w:rsidRPr="0018503B">
        <w:rPr>
          <w:szCs w:val="22"/>
        </w:rPr>
        <w:t xml:space="preserve"> </w:t>
      </w:r>
      <w:r w:rsidR="005B6B48" w:rsidRPr="0018503B">
        <w:rPr>
          <w:szCs w:val="22"/>
        </w:rPr>
        <w:t xml:space="preserve">has the meaning set forth in Section </w:t>
      </w:r>
      <w:r w:rsidR="009F6838" w:rsidRPr="0018503B">
        <w:rPr>
          <w:szCs w:val="22"/>
        </w:rPr>
        <w:t>3</w:t>
      </w:r>
      <w:r w:rsidR="005B6B48" w:rsidRPr="0018503B">
        <w:rPr>
          <w:szCs w:val="22"/>
        </w:rPr>
        <w:t>.</w:t>
      </w:r>
      <w:r w:rsidR="0038795F" w:rsidRPr="0018503B">
        <w:rPr>
          <w:szCs w:val="22"/>
        </w:rPr>
        <w:t>5</w:t>
      </w:r>
      <w:r w:rsidR="0021074D" w:rsidRPr="0018503B">
        <w:rPr>
          <w:szCs w:val="22"/>
        </w:rPr>
        <w:t>.</w:t>
      </w:r>
    </w:p>
    <w:p w:rsidR="009F6838" w:rsidRPr="0018503B" w:rsidRDefault="009F6838" w:rsidP="00E80BEF">
      <w:pPr>
        <w:numPr>
          <w:ilvl w:val="1"/>
          <w:numId w:val="1"/>
        </w:numPr>
        <w:tabs>
          <w:tab w:val="clear" w:pos="792"/>
        </w:tabs>
        <w:spacing w:after="240"/>
        <w:ind w:left="1440" w:hanging="720"/>
        <w:jc w:val="both"/>
        <w:rPr>
          <w:szCs w:val="22"/>
        </w:rPr>
      </w:pPr>
      <w:r w:rsidRPr="0018503B">
        <w:rPr>
          <w:szCs w:val="22"/>
        </w:rPr>
        <w:t>“Contract Term” has the meaning set for</w:t>
      </w:r>
      <w:r w:rsidR="00765EBB">
        <w:rPr>
          <w:szCs w:val="22"/>
        </w:rPr>
        <w:t>th</w:t>
      </w:r>
      <w:r w:rsidRPr="0018503B">
        <w:rPr>
          <w:szCs w:val="22"/>
        </w:rPr>
        <w:t xml:space="preserve"> in Section 2.1.</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CPUC</w:t>
      </w:r>
      <w:r w:rsidRPr="0018503B">
        <w:rPr>
          <w:szCs w:val="22"/>
        </w:rPr>
        <w:t>”</w:t>
      </w:r>
      <w:r w:rsidR="0021074D" w:rsidRPr="0018503B">
        <w:rPr>
          <w:szCs w:val="22"/>
        </w:rPr>
        <w:t xml:space="preserve"> means the California Public Utilities Commission.</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CPUC Decisions</w:t>
      </w:r>
      <w:r w:rsidRPr="0018503B">
        <w:rPr>
          <w:szCs w:val="22"/>
        </w:rPr>
        <w:t>”</w:t>
      </w:r>
      <w:r w:rsidR="0021074D" w:rsidRPr="0018503B">
        <w:rPr>
          <w:szCs w:val="22"/>
        </w:rPr>
        <w:t xml:space="preserve"> means CPUC Decisions 04-01-050, 04-10-035, 05-10-042</w:t>
      </w:r>
      <w:r w:rsidR="00410AF1" w:rsidRPr="0018503B">
        <w:rPr>
          <w:szCs w:val="22"/>
        </w:rPr>
        <w:t xml:space="preserve">, </w:t>
      </w:r>
      <w:bookmarkStart w:id="4" w:name="OLE_LINK2"/>
      <w:bookmarkStart w:id="5" w:name="OLE_LINK3"/>
      <w:r w:rsidR="0028417A" w:rsidRPr="0018503B">
        <w:rPr>
          <w:szCs w:val="22"/>
        </w:rPr>
        <w:t xml:space="preserve">06-04-040, </w:t>
      </w:r>
      <w:r w:rsidR="005D3EE1" w:rsidRPr="0018503B">
        <w:rPr>
          <w:szCs w:val="22"/>
        </w:rPr>
        <w:t xml:space="preserve">06-06-064, </w:t>
      </w:r>
      <w:r w:rsidR="00410AF1" w:rsidRPr="0018503B">
        <w:rPr>
          <w:szCs w:val="22"/>
        </w:rPr>
        <w:t>06-07-031</w:t>
      </w:r>
      <w:bookmarkEnd w:id="4"/>
      <w:bookmarkEnd w:id="5"/>
      <w:r w:rsidR="00410AF1" w:rsidRPr="0018503B">
        <w:rPr>
          <w:szCs w:val="22"/>
        </w:rPr>
        <w:t>, 07-06-029</w:t>
      </w:r>
      <w:r w:rsidR="003F6D36" w:rsidRPr="0018503B">
        <w:rPr>
          <w:szCs w:val="22"/>
        </w:rPr>
        <w:t>, 08-06-031, 09-06-028</w:t>
      </w:r>
      <w:r w:rsidR="00A81CD3" w:rsidRPr="0018503B">
        <w:rPr>
          <w:szCs w:val="22"/>
        </w:rPr>
        <w:t>, 10-06-036</w:t>
      </w:r>
      <w:r w:rsidR="00EF3779" w:rsidRPr="0018503B">
        <w:rPr>
          <w:szCs w:val="22"/>
        </w:rPr>
        <w:t>, 11-06-022</w:t>
      </w:r>
      <w:r w:rsidR="007C0889" w:rsidRPr="0018503B">
        <w:rPr>
          <w:szCs w:val="22"/>
        </w:rPr>
        <w:t xml:space="preserve"> </w:t>
      </w:r>
      <w:r w:rsidR="0021074D" w:rsidRPr="0018503B">
        <w:rPr>
          <w:szCs w:val="22"/>
        </w:rPr>
        <w:t>and</w:t>
      </w:r>
      <w:r w:rsidR="0028417A" w:rsidRPr="0018503B">
        <w:rPr>
          <w:szCs w:val="22"/>
        </w:rPr>
        <w:t xml:space="preserve"> any other existing </w:t>
      </w:r>
      <w:r w:rsidR="0021074D" w:rsidRPr="0018503B">
        <w:rPr>
          <w:szCs w:val="22"/>
        </w:rPr>
        <w:t>or subsequent decisions</w:t>
      </w:r>
      <w:r w:rsidR="0028417A" w:rsidRPr="0018503B">
        <w:rPr>
          <w:szCs w:val="22"/>
        </w:rPr>
        <w:t>, resolutions or rulings</w:t>
      </w:r>
      <w:r w:rsidR="00663CB8" w:rsidRPr="0018503B">
        <w:rPr>
          <w:szCs w:val="22"/>
        </w:rPr>
        <w:t xml:space="preserve"> related to resource adequacy</w:t>
      </w:r>
      <w:r w:rsidR="0021074D" w:rsidRPr="0018503B">
        <w:rPr>
          <w:szCs w:val="22"/>
        </w:rPr>
        <w:t>, as may be amended from time to time by the CPUC.</w:t>
      </w:r>
    </w:p>
    <w:p w:rsidR="0028417A" w:rsidRPr="0018503B" w:rsidRDefault="0028417A" w:rsidP="00E80BEF">
      <w:pPr>
        <w:numPr>
          <w:ilvl w:val="1"/>
          <w:numId w:val="1"/>
        </w:numPr>
        <w:tabs>
          <w:tab w:val="clear" w:pos="792"/>
        </w:tabs>
        <w:spacing w:after="240"/>
        <w:ind w:left="1440" w:hanging="720"/>
        <w:jc w:val="both"/>
        <w:rPr>
          <w:szCs w:val="22"/>
        </w:rPr>
      </w:pPr>
      <w:r w:rsidRPr="0018503B">
        <w:rPr>
          <w:szCs w:val="22"/>
        </w:rPr>
        <w:t xml:space="preserve">“CPUC Filing Guide” is the annual document issued by the CPUC which sets forth the guidelines, requirements and instructions for LSEs to demonstrate compliance with the CPUC’s </w:t>
      </w:r>
      <w:r w:rsidR="00782F8B" w:rsidRPr="0018503B">
        <w:rPr>
          <w:szCs w:val="22"/>
        </w:rPr>
        <w:t>resource adequacy</w:t>
      </w:r>
      <w:r w:rsidRPr="0018503B">
        <w:rPr>
          <w:szCs w:val="22"/>
        </w:rPr>
        <w:t xml:space="preserve"> program</w:t>
      </w:r>
      <w:r w:rsidR="00782F8B" w:rsidRPr="0018503B">
        <w:rPr>
          <w:szCs w:val="22"/>
        </w:rPr>
        <w:t xml:space="preserve"> as provided in the CPUC Decisions</w:t>
      </w:r>
      <w:r w:rsidRPr="0018503B">
        <w:rPr>
          <w:szCs w:val="22"/>
        </w:rPr>
        <w:t>.</w:t>
      </w:r>
    </w:p>
    <w:p w:rsidR="009F1DF8"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9F1DF8" w:rsidRPr="0018503B">
        <w:rPr>
          <w:szCs w:val="22"/>
        </w:rPr>
        <w:t>Credit Rating</w:t>
      </w:r>
      <w:r w:rsidRPr="0018503B">
        <w:rPr>
          <w:szCs w:val="22"/>
        </w:rPr>
        <w:t>”</w:t>
      </w:r>
      <w:r w:rsidR="009F1DF8" w:rsidRPr="0018503B">
        <w:rPr>
          <w:szCs w:val="22"/>
        </w:rPr>
        <w:t xml:space="preserve"> means, with respect to any entity, the rating assigned to such entity’s unsecured, senior long-term debt obligations (not supported by third party credit enhancements) by S&amp;P, Moody’s or any other rating agency agreed by the Parties as set forth in the Master Agreement, or if such entity does not have a rating for its senior unsecured long-term debt, then the rating then assigned to such entity as an issuer rating by S&amp;P, Moody’s or any other rating agency agreed by the Parties as set forth in the Master Agreement</w:t>
      </w:r>
      <w:r w:rsidR="00EF3779" w:rsidRPr="0018503B">
        <w:rPr>
          <w:szCs w:val="22"/>
        </w:rPr>
        <w:t>.</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Delivery Period</w:t>
      </w:r>
      <w:r w:rsidRPr="0018503B">
        <w:rPr>
          <w:szCs w:val="22"/>
        </w:rPr>
        <w:t>”</w:t>
      </w:r>
      <w:r w:rsidR="0021074D" w:rsidRPr="0018503B">
        <w:rPr>
          <w:szCs w:val="22"/>
        </w:rPr>
        <w:t xml:space="preserve"> has the meaning specified in Section </w:t>
      </w:r>
      <w:r w:rsidR="00E22ED1" w:rsidRPr="0018503B">
        <w:rPr>
          <w:szCs w:val="22"/>
        </w:rPr>
        <w:t>3.4</w:t>
      </w:r>
      <w:r w:rsidR="0021074D" w:rsidRPr="0018503B">
        <w:rPr>
          <w:szCs w:val="22"/>
        </w:rPr>
        <w:t>.</w:t>
      </w:r>
    </w:p>
    <w:p w:rsidR="008D1967" w:rsidRPr="0018503B" w:rsidRDefault="003D73C3" w:rsidP="00E80BEF">
      <w:pPr>
        <w:numPr>
          <w:ilvl w:val="1"/>
          <w:numId w:val="1"/>
        </w:numPr>
        <w:tabs>
          <w:tab w:val="clear" w:pos="792"/>
        </w:tabs>
        <w:spacing w:after="240"/>
        <w:ind w:left="1440" w:hanging="720"/>
        <w:jc w:val="both"/>
        <w:rPr>
          <w:szCs w:val="22"/>
        </w:rPr>
      </w:pPr>
      <w:r w:rsidRPr="0018503B">
        <w:rPr>
          <w:szCs w:val="22"/>
        </w:rPr>
        <w:t xml:space="preserve"> </w:t>
      </w:r>
      <w:r w:rsidR="008D14BE" w:rsidRPr="0018503B">
        <w:rPr>
          <w:szCs w:val="22"/>
        </w:rPr>
        <w:t>“</w:t>
      </w:r>
      <w:r w:rsidR="008D1967" w:rsidRPr="0018503B">
        <w:rPr>
          <w:szCs w:val="22"/>
        </w:rPr>
        <w:t>Emission Reduction Credits</w:t>
      </w:r>
      <w:r w:rsidR="008D14BE" w:rsidRPr="0018503B">
        <w:rPr>
          <w:szCs w:val="22"/>
        </w:rPr>
        <w:t>”</w:t>
      </w:r>
      <w:r w:rsidR="008D1967" w:rsidRPr="0018503B">
        <w:rPr>
          <w:szCs w:val="22"/>
        </w:rPr>
        <w:t xml:space="preserve"> or </w:t>
      </w:r>
      <w:r w:rsidR="008D14BE" w:rsidRPr="0018503B">
        <w:rPr>
          <w:szCs w:val="22"/>
        </w:rPr>
        <w:t>“</w:t>
      </w:r>
      <w:r w:rsidR="008D1967" w:rsidRPr="0018503B">
        <w:rPr>
          <w:szCs w:val="22"/>
        </w:rPr>
        <w:t>ERC(s)</w:t>
      </w:r>
      <w:r w:rsidR="008D14BE" w:rsidRPr="0018503B">
        <w:rPr>
          <w:szCs w:val="22"/>
        </w:rPr>
        <w:t>”</w:t>
      </w:r>
      <w:r w:rsidR="008D1967" w:rsidRPr="0018503B">
        <w:rPr>
          <w:szCs w:val="22"/>
        </w:rPr>
        <w:t xml:space="preserve"> means emission reductions that have been authorized by a local air pollution control district pursuant to California Division 26 Air Resources; Health and Safety Code Sections 40709 and 40709.5, whereby </w:t>
      </w:r>
      <w:r w:rsidR="00CD4A6C" w:rsidRPr="0018503B">
        <w:rPr>
          <w:szCs w:val="22"/>
        </w:rPr>
        <w:t>such</w:t>
      </w:r>
      <w:r w:rsidR="008D1967" w:rsidRPr="0018503B">
        <w:rPr>
          <w:szCs w:val="22"/>
        </w:rPr>
        <w:t xml:space="preserve"> district has established a system by which all reductions in the emission of air contaminants that are to be used to offset certain future increases </w:t>
      </w:r>
      <w:r w:rsidR="008D1967" w:rsidRPr="0018503B">
        <w:rPr>
          <w:szCs w:val="22"/>
        </w:rPr>
        <w:lastRenderedPageBreak/>
        <w:t>in the emission of air contaminants shall be banked prior to use to offset future increases in emissions.</w:t>
      </w:r>
    </w:p>
    <w:p w:rsidR="008D1967"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8D1967" w:rsidRPr="0018503B">
        <w:rPr>
          <w:szCs w:val="22"/>
        </w:rPr>
        <w:t>Environmental Costs</w:t>
      </w:r>
      <w:r w:rsidRPr="0018503B">
        <w:rPr>
          <w:szCs w:val="22"/>
        </w:rPr>
        <w:t>”</w:t>
      </w:r>
      <w:r w:rsidR="008D1967" w:rsidRPr="0018503B">
        <w:rPr>
          <w:szCs w:val="22"/>
        </w:rPr>
        <w:t xml:space="preserve"> means costs incurred in connection with acquiring and maintaining all environmental permits and licenses for the Product, and the Product’s compliance with all applicable environmental laws, rules and regulations, including capital costs for pollution mitigation or installation of emissions control equipment required to permit or license the Product, all operating and maintenance costs for operation of pollution mitigation or control equipment, costs of permit maintenance fees and emission fees as applicable, and the costs of all Emission Reduction Credits or Marketable Emission Trading Credits (including any costs related to greenhouse gas emissions) required by any applicable environmental laws, rules, regulations, and permits to operate, and costs associated with the disposal and clean-up of hazardous substances introduced to the site, and the decontamination or remediation, on or off the site, necessitated by the introduction of such hazardous substances on the site.</w:t>
      </w:r>
    </w:p>
    <w:p w:rsidR="00B37E83" w:rsidRPr="0018503B" w:rsidRDefault="003C2AD9" w:rsidP="00E80BEF">
      <w:pPr>
        <w:numPr>
          <w:ilvl w:val="1"/>
          <w:numId w:val="1"/>
        </w:numPr>
        <w:tabs>
          <w:tab w:val="clear" w:pos="792"/>
        </w:tabs>
        <w:spacing w:after="240"/>
        <w:ind w:left="1440" w:hanging="720"/>
        <w:jc w:val="both"/>
        <w:rPr>
          <w:szCs w:val="22"/>
        </w:rPr>
      </w:pPr>
      <w:r w:rsidRPr="0018503B" w:rsidDel="003C2AD9">
        <w:rPr>
          <w:szCs w:val="22"/>
        </w:rPr>
        <w:t xml:space="preserve"> </w:t>
      </w:r>
      <w:r w:rsidR="008D14BE" w:rsidRPr="0018503B">
        <w:rPr>
          <w:szCs w:val="22"/>
        </w:rPr>
        <w:t>“</w:t>
      </w:r>
      <w:r w:rsidR="00B37E83" w:rsidRPr="0018503B">
        <w:rPr>
          <w:szCs w:val="22"/>
        </w:rPr>
        <w:t>GADS</w:t>
      </w:r>
      <w:r w:rsidR="008D14BE" w:rsidRPr="0018503B">
        <w:rPr>
          <w:szCs w:val="22"/>
        </w:rPr>
        <w:t>”</w:t>
      </w:r>
      <w:r w:rsidR="00B37E83" w:rsidRPr="0018503B">
        <w:rPr>
          <w:szCs w:val="22"/>
        </w:rPr>
        <w:t xml:space="preserve"> means the Generating Availability Data System, or its successor.</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Governmental Body</w:t>
      </w:r>
      <w:r w:rsidRPr="0018503B">
        <w:rPr>
          <w:szCs w:val="22"/>
        </w:rPr>
        <w:t>”</w:t>
      </w:r>
      <w:r w:rsidR="0021074D" w:rsidRPr="0018503B">
        <w:rPr>
          <w:szCs w:val="22"/>
        </w:rPr>
        <w:t xml:space="preserve"> means any federal, state, local, municipal or other government; any governmental, regulatory or administrative agency, commission or other authority lawfully exercising or entitled to exercise any administrative, executive, judicial, legislative, police, regulatory or taxing authority or power; and any court or governmental tribunal.</w:t>
      </w:r>
    </w:p>
    <w:p w:rsidR="0028417A" w:rsidRPr="0018503B" w:rsidRDefault="0028417A" w:rsidP="00E80BEF">
      <w:pPr>
        <w:numPr>
          <w:ilvl w:val="1"/>
          <w:numId w:val="1"/>
        </w:numPr>
        <w:tabs>
          <w:tab w:val="clear" w:pos="792"/>
        </w:tabs>
        <w:spacing w:after="240"/>
        <w:ind w:left="1440" w:hanging="720"/>
        <w:jc w:val="both"/>
        <w:rPr>
          <w:szCs w:val="22"/>
        </w:rPr>
      </w:pPr>
      <w:r w:rsidRPr="0018503B">
        <w:rPr>
          <w:szCs w:val="22"/>
        </w:rPr>
        <w:t>“Local Capacity Area” has the meaning set forth in the Tariff.</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8417A" w:rsidRPr="0018503B">
        <w:rPr>
          <w:szCs w:val="22"/>
        </w:rPr>
        <w:t>Local RA</w:t>
      </w:r>
      <w:r w:rsidR="0021074D" w:rsidRPr="0018503B">
        <w:rPr>
          <w:szCs w:val="22"/>
        </w:rPr>
        <w:t xml:space="preserve"> Attributes</w:t>
      </w:r>
      <w:r w:rsidRPr="0018503B">
        <w:rPr>
          <w:szCs w:val="22"/>
        </w:rPr>
        <w:t>”</w:t>
      </w:r>
      <w:r w:rsidR="0021074D" w:rsidRPr="0018503B">
        <w:rPr>
          <w:szCs w:val="22"/>
        </w:rPr>
        <w:t xml:space="preserve"> means, with respect to a Unit, any and all resource adequacy attributes or other locational attributes </w:t>
      </w:r>
      <w:r w:rsidR="0028417A" w:rsidRPr="0018503B">
        <w:rPr>
          <w:szCs w:val="22"/>
        </w:rPr>
        <w:t xml:space="preserve">for the Unit </w:t>
      </w:r>
      <w:r w:rsidR="00E54C20" w:rsidRPr="0018503B">
        <w:rPr>
          <w:szCs w:val="22"/>
        </w:rPr>
        <w:t xml:space="preserve">related to </w:t>
      </w:r>
      <w:r w:rsidR="0028417A" w:rsidRPr="0018503B">
        <w:rPr>
          <w:szCs w:val="22"/>
        </w:rPr>
        <w:t>a Local Capacity Area</w:t>
      </w:r>
      <w:r w:rsidR="0021074D" w:rsidRPr="0018503B">
        <w:rPr>
          <w:szCs w:val="22"/>
        </w:rPr>
        <w:t xml:space="preserve">, as may be identified from time to time by the CPUC, CAISO or other Governmental Body having jurisdiction, associated with the physical location or point of electrical interconnection of the Unit within the CAISO Control Area, that can be counted toward </w:t>
      </w:r>
      <w:r w:rsidR="00E54C20" w:rsidRPr="0018503B">
        <w:rPr>
          <w:szCs w:val="22"/>
        </w:rPr>
        <w:t xml:space="preserve">a </w:t>
      </w:r>
      <w:r w:rsidR="0028417A" w:rsidRPr="0018503B">
        <w:rPr>
          <w:szCs w:val="22"/>
        </w:rPr>
        <w:t>Local R</w:t>
      </w:r>
      <w:r w:rsidR="0021074D" w:rsidRPr="0018503B">
        <w:rPr>
          <w:szCs w:val="22"/>
        </w:rPr>
        <w:t>AR, but exclusive of any RA Attributes.</w:t>
      </w:r>
    </w:p>
    <w:p w:rsidR="0032739A" w:rsidRPr="0018503B" w:rsidRDefault="0032739A" w:rsidP="00E80BEF">
      <w:pPr>
        <w:numPr>
          <w:ilvl w:val="1"/>
          <w:numId w:val="1"/>
        </w:numPr>
        <w:tabs>
          <w:tab w:val="clear" w:pos="792"/>
        </w:tabs>
        <w:spacing w:after="240"/>
        <w:ind w:left="1440" w:hanging="720"/>
        <w:jc w:val="both"/>
        <w:rPr>
          <w:szCs w:val="22"/>
        </w:rPr>
      </w:pPr>
      <w:r w:rsidRPr="0018503B">
        <w:rPr>
          <w:szCs w:val="22"/>
        </w:rPr>
        <w:t>“Local RAR” means the local resource adequacy requirements established for LSEs by the CPUC pursuant to the CPUC Decisions, or by any other Governmental Body having jurisdiction.  Local RAR may also be known as local area reliability, local resource adequacy, local resource adequacy procurement requirements, or local capacity requirement in other regulatory proceedings or legislative actions.</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8417A" w:rsidRPr="0018503B">
        <w:rPr>
          <w:szCs w:val="22"/>
        </w:rPr>
        <w:t>Local RAR</w:t>
      </w:r>
      <w:r w:rsidR="0021074D" w:rsidRPr="0018503B">
        <w:rPr>
          <w:szCs w:val="22"/>
        </w:rPr>
        <w:t xml:space="preserve"> Showings</w:t>
      </w:r>
      <w:r w:rsidRPr="0018503B">
        <w:rPr>
          <w:szCs w:val="22"/>
        </w:rPr>
        <w:t>”</w:t>
      </w:r>
      <w:r w:rsidR="0021074D" w:rsidRPr="0018503B">
        <w:rPr>
          <w:szCs w:val="22"/>
        </w:rPr>
        <w:t xml:space="preserve"> means the L</w:t>
      </w:r>
      <w:r w:rsidR="0028417A" w:rsidRPr="0018503B">
        <w:rPr>
          <w:szCs w:val="22"/>
        </w:rPr>
        <w:t>ocal R</w:t>
      </w:r>
      <w:r w:rsidR="0021074D" w:rsidRPr="0018503B">
        <w:rPr>
          <w:szCs w:val="22"/>
        </w:rPr>
        <w:t xml:space="preserve">AR compliance showings (or similar or successor showings) an LSE is required to make to the </w:t>
      </w:r>
      <w:r w:rsidR="00363639" w:rsidRPr="0018503B">
        <w:rPr>
          <w:szCs w:val="22"/>
        </w:rPr>
        <w:t>CPUC (and</w:t>
      </w:r>
      <w:r w:rsidR="0021074D" w:rsidRPr="0018503B">
        <w:rPr>
          <w:szCs w:val="22"/>
        </w:rPr>
        <w:t>, to the extent authorized by the CPUC, to the CAISO) pursuant to the CPUC Decisions, or to an</w:t>
      </w:r>
      <w:r w:rsidR="0028417A" w:rsidRPr="0018503B">
        <w:rPr>
          <w:szCs w:val="22"/>
        </w:rPr>
        <w:t>y</w:t>
      </w:r>
      <w:r w:rsidR="0021074D" w:rsidRPr="0018503B">
        <w:rPr>
          <w:szCs w:val="22"/>
        </w:rPr>
        <w:t xml:space="preserve"> </w:t>
      </w:r>
      <w:r w:rsidR="0028417A" w:rsidRPr="0018503B">
        <w:rPr>
          <w:szCs w:val="22"/>
        </w:rPr>
        <w:t>Governmental Body</w:t>
      </w:r>
      <w:r w:rsidR="0021074D" w:rsidRPr="0018503B">
        <w:rPr>
          <w:szCs w:val="22"/>
        </w:rPr>
        <w:t xml:space="preserve"> having jurisdiction.</w:t>
      </w:r>
    </w:p>
    <w:p w:rsidR="0021074D" w:rsidRPr="0018503B" w:rsidRDefault="006801F1" w:rsidP="00E80BEF">
      <w:pPr>
        <w:numPr>
          <w:ilvl w:val="1"/>
          <w:numId w:val="1"/>
        </w:numPr>
        <w:tabs>
          <w:tab w:val="clear" w:pos="792"/>
        </w:tabs>
        <w:spacing w:after="240"/>
        <w:ind w:left="1440" w:hanging="720"/>
        <w:jc w:val="both"/>
        <w:rPr>
          <w:szCs w:val="22"/>
        </w:rPr>
      </w:pPr>
      <w:r w:rsidRPr="0018503B" w:rsidDel="006801F1">
        <w:rPr>
          <w:szCs w:val="22"/>
        </w:rPr>
        <w:t xml:space="preserve"> </w:t>
      </w:r>
      <w:r w:rsidR="008D14BE" w:rsidRPr="0018503B">
        <w:rPr>
          <w:szCs w:val="22"/>
        </w:rPr>
        <w:t>“</w:t>
      </w:r>
      <w:r w:rsidR="0021074D" w:rsidRPr="0018503B">
        <w:rPr>
          <w:szCs w:val="22"/>
        </w:rPr>
        <w:t>LSE</w:t>
      </w:r>
      <w:r w:rsidR="008D14BE" w:rsidRPr="0018503B">
        <w:rPr>
          <w:szCs w:val="22"/>
        </w:rPr>
        <w:t>”</w:t>
      </w:r>
      <w:r w:rsidR="0021074D" w:rsidRPr="0018503B">
        <w:rPr>
          <w:szCs w:val="22"/>
        </w:rPr>
        <w:t xml:space="preserve"> means load-serving entity.</w:t>
      </w:r>
    </w:p>
    <w:p w:rsidR="008D1967"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8D1967" w:rsidRPr="0018503B">
        <w:rPr>
          <w:szCs w:val="22"/>
        </w:rPr>
        <w:t>Marketable Emission Trading Credits</w:t>
      </w:r>
      <w:r w:rsidRPr="0018503B">
        <w:rPr>
          <w:szCs w:val="22"/>
        </w:rPr>
        <w:t>”</w:t>
      </w:r>
      <w:r w:rsidR="008D1967" w:rsidRPr="0018503B">
        <w:rPr>
          <w:szCs w:val="22"/>
        </w:rPr>
        <w:t xml:space="preserve"> means without limitation, emissions trading credits or units pursuant to the requirements of California Division 26 Air </w:t>
      </w:r>
      <w:r w:rsidR="008D1967" w:rsidRPr="0018503B">
        <w:rPr>
          <w:szCs w:val="22"/>
        </w:rPr>
        <w:lastRenderedPageBreak/>
        <w:t>Resources; Health &amp; Safety Code Section 39616 and Section 40440.2 for market based incentive programs such as the South Coast Air Quality Management District’s Regional Clean Air Incentives Market, also known as RECLAIM, and allowances of sulfur dioxide trading credits as required under Title IV of the Federal Clean Air Act (see 42 U.S.C. § 7651b.(a) to (f)).</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Master Agreement</w:t>
      </w:r>
      <w:r w:rsidRPr="0018503B">
        <w:rPr>
          <w:szCs w:val="22"/>
        </w:rPr>
        <w:t>”</w:t>
      </w:r>
      <w:r w:rsidR="0021074D" w:rsidRPr="0018503B">
        <w:rPr>
          <w:szCs w:val="22"/>
        </w:rPr>
        <w:t xml:space="preserve"> has the meaning specified in the introductory paragraph.</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Monthly Delivery Period</w:t>
      </w:r>
      <w:r w:rsidRPr="0018503B">
        <w:rPr>
          <w:szCs w:val="22"/>
        </w:rPr>
        <w:t>”</w:t>
      </w:r>
      <w:r w:rsidR="0021074D" w:rsidRPr="0018503B">
        <w:rPr>
          <w:szCs w:val="22"/>
        </w:rPr>
        <w:t xml:space="preserve"> means each calendar month during the Delivery Period</w:t>
      </w:r>
      <w:r w:rsidR="00363639" w:rsidRPr="0018503B">
        <w:rPr>
          <w:szCs w:val="22"/>
        </w:rPr>
        <w:t xml:space="preserve"> and shall correspond to each Showing Month</w:t>
      </w:r>
      <w:r w:rsidR="0021074D" w:rsidRPr="0018503B">
        <w:rPr>
          <w:szCs w:val="22"/>
        </w:rPr>
        <w:t>.</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D54FFC" w:rsidRPr="0018503B">
        <w:rPr>
          <w:szCs w:val="22"/>
        </w:rPr>
        <w:t>Monthly Payment</w:t>
      </w:r>
      <w:r w:rsidRPr="0018503B">
        <w:rPr>
          <w:szCs w:val="22"/>
        </w:rPr>
        <w:t>”</w:t>
      </w:r>
      <w:r w:rsidR="0021074D" w:rsidRPr="0018503B">
        <w:rPr>
          <w:szCs w:val="22"/>
        </w:rPr>
        <w:t xml:space="preserve"> has the meaning specified in Section 4.</w:t>
      </w:r>
      <w:r w:rsidR="00E22ED1" w:rsidRPr="0018503B">
        <w:rPr>
          <w:szCs w:val="22"/>
        </w:rPr>
        <w:t>1</w:t>
      </w:r>
      <w:r w:rsidR="0021074D" w:rsidRPr="0018503B">
        <w:rPr>
          <w:szCs w:val="22"/>
        </w:rPr>
        <w:t>.</w:t>
      </w:r>
    </w:p>
    <w:p w:rsidR="00673ABE"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673ABE" w:rsidRPr="0018503B">
        <w:rPr>
          <w:szCs w:val="22"/>
        </w:rPr>
        <w:t>Moody’s</w:t>
      </w:r>
      <w:r w:rsidRPr="0018503B">
        <w:rPr>
          <w:szCs w:val="22"/>
        </w:rPr>
        <w:t>”</w:t>
      </w:r>
      <w:r w:rsidR="00673ABE" w:rsidRPr="0018503B">
        <w:rPr>
          <w:szCs w:val="22"/>
        </w:rPr>
        <w:t xml:space="preserve"> means Moody’s Investors Services, Inc. or its successor.</w:t>
      </w:r>
    </w:p>
    <w:p w:rsidR="008D1967"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8D1967" w:rsidRPr="0018503B">
        <w:rPr>
          <w:szCs w:val="22"/>
        </w:rPr>
        <w:t>NERC</w:t>
      </w:r>
      <w:r w:rsidRPr="0018503B">
        <w:rPr>
          <w:szCs w:val="22"/>
        </w:rPr>
        <w:t>”</w:t>
      </w:r>
      <w:r w:rsidR="008D1967" w:rsidRPr="0018503B">
        <w:rPr>
          <w:szCs w:val="22"/>
        </w:rPr>
        <w:t xml:space="preserve"> means the North American Electric Reliability Co</w:t>
      </w:r>
      <w:r w:rsidR="00D54FFC" w:rsidRPr="0018503B">
        <w:rPr>
          <w:szCs w:val="22"/>
        </w:rPr>
        <w:t>rporation</w:t>
      </w:r>
      <w:r w:rsidR="008D1967" w:rsidRPr="0018503B">
        <w:rPr>
          <w:szCs w:val="22"/>
        </w:rPr>
        <w:t>, or its successor.</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NERC/GADS Protocols</w:t>
      </w:r>
      <w:r w:rsidRPr="0018503B">
        <w:rPr>
          <w:szCs w:val="22"/>
        </w:rPr>
        <w:t>”</w:t>
      </w:r>
      <w:r w:rsidR="0021074D" w:rsidRPr="0018503B">
        <w:rPr>
          <w:szCs w:val="22"/>
        </w:rPr>
        <w:t xml:space="preserve"> means the GADS protocols</w:t>
      </w:r>
      <w:r w:rsidR="00B37E83" w:rsidRPr="0018503B">
        <w:rPr>
          <w:szCs w:val="22"/>
        </w:rPr>
        <w:t xml:space="preserve"> established by NERC, as may be updated from time to time</w:t>
      </w:r>
      <w:r w:rsidR="0021074D" w:rsidRPr="0018503B">
        <w:rPr>
          <w:szCs w:val="22"/>
        </w:rPr>
        <w:t>.</w:t>
      </w:r>
    </w:p>
    <w:p w:rsidR="00D54FFC" w:rsidRPr="0018503B" w:rsidRDefault="0032739A" w:rsidP="00E80BEF">
      <w:pPr>
        <w:numPr>
          <w:ilvl w:val="1"/>
          <w:numId w:val="1"/>
        </w:numPr>
        <w:tabs>
          <w:tab w:val="clear" w:pos="792"/>
        </w:tabs>
        <w:spacing w:after="240"/>
        <w:ind w:left="1440" w:hanging="720"/>
        <w:jc w:val="both"/>
        <w:rPr>
          <w:szCs w:val="22"/>
        </w:rPr>
      </w:pPr>
      <w:r w:rsidRPr="0018503B">
        <w:rPr>
          <w:szCs w:val="22"/>
        </w:rPr>
        <w:t>“</w:t>
      </w:r>
      <w:r w:rsidR="00D54FFC" w:rsidRPr="0018503B">
        <w:rPr>
          <w:szCs w:val="22"/>
        </w:rPr>
        <w:t>Net Qualifying Capacity” has the meaning set forth in the Tariff.</w:t>
      </w:r>
    </w:p>
    <w:p w:rsidR="00274238"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410AF1" w:rsidRPr="0018503B">
        <w:rPr>
          <w:szCs w:val="22"/>
        </w:rPr>
        <w:t>Non-Availability Charges</w:t>
      </w:r>
      <w:r w:rsidRPr="0018503B">
        <w:rPr>
          <w:szCs w:val="22"/>
        </w:rPr>
        <w:t>”</w:t>
      </w:r>
      <w:r w:rsidR="00410AF1" w:rsidRPr="0018503B">
        <w:rPr>
          <w:szCs w:val="22"/>
        </w:rPr>
        <w:t xml:space="preserve"> </w:t>
      </w:r>
      <w:r w:rsidR="00F97087" w:rsidRPr="0018503B">
        <w:rPr>
          <w:szCs w:val="22"/>
        </w:rPr>
        <w:t xml:space="preserve">has the meaning </w:t>
      </w:r>
      <w:r w:rsidR="0028417A" w:rsidRPr="0018503B">
        <w:rPr>
          <w:szCs w:val="22"/>
        </w:rPr>
        <w:t>set forth</w:t>
      </w:r>
      <w:r w:rsidR="00F97087" w:rsidRPr="0018503B">
        <w:rPr>
          <w:szCs w:val="22"/>
        </w:rPr>
        <w:t xml:space="preserve"> in the Tariff.</w:t>
      </w:r>
    </w:p>
    <w:p w:rsidR="009F6168" w:rsidRPr="0018503B" w:rsidRDefault="009F6168" w:rsidP="00E80BEF">
      <w:pPr>
        <w:numPr>
          <w:ilvl w:val="1"/>
          <w:numId w:val="1"/>
        </w:numPr>
        <w:tabs>
          <w:tab w:val="clear" w:pos="792"/>
        </w:tabs>
        <w:spacing w:after="240"/>
        <w:ind w:left="1440" w:hanging="720"/>
        <w:jc w:val="both"/>
        <w:rPr>
          <w:szCs w:val="22"/>
        </w:rPr>
      </w:pPr>
      <w:r w:rsidRPr="0018503B">
        <w:rPr>
          <w:szCs w:val="22"/>
        </w:rPr>
        <w:t>“Non-Summer Period” means all of the months in a calendar year other than those months in the Summer Period.</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5D3EE1" w:rsidRPr="0018503B">
        <w:rPr>
          <w:szCs w:val="22"/>
        </w:rPr>
        <w:t>Outage</w:t>
      </w:r>
      <w:r w:rsidRPr="0018503B">
        <w:rPr>
          <w:szCs w:val="22"/>
        </w:rPr>
        <w:t>”</w:t>
      </w:r>
      <w:r w:rsidR="0021074D" w:rsidRPr="0018503B">
        <w:rPr>
          <w:szCs w:val="22"/>
        </w:rPr>
        <w:t xml:space="preserve"> </w:t>
      </w:r>
      <w:r w:rsidR="00B37E83" w:rsidRPr="0018503B">
        <w:rPr>
          <w:szCs w:val="22"/>
        </w:rPr>
        <w:t>means any disconnection, separation, or reduction in the capacity of any Unit that relieves all or part of the offer obligations of the Unit consistent with the Tariff</w:t>
      </w:r>
      <w:r w:rsidR="0021074D" w:rsidRPr="0018503B">
        <w:rPr>
          <w:szCs w:val="22"/>
        </w:rPr>
        <w:t>.</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Planned</w:t>
      </w:r>
      <w:r w:rsidR="00673ABE" w:rsidRPr="0018503B">
        <w:rPr>
          <w:szCs w:val="22"/>
        </w:rPr>
        <w:t xml:space="preserve"> </w:t>
      </w:r>
      <w:r w:rsidR="0021074D" w:rsidRPr="0018503B">
        <w:rPr>
          <w:szCs w:val="22"/>
        </w:rPr>
        <w:t>Outage</w:t>
      </w:r>
      <w:r w:rsidRPr="0018503B">
        <w:rPr>
          <w:szCs w:val="22"/>
        </w:rPr>
        <w:t>”</w:t>
      </w:r>
      <w:r w:rsidR="0021074D" w:rsidRPr="0018503B">
        <w:rPr>
          <w:szCs w:val="22"/>
        </w:rPr>
        <w:t xml:space="preserve"> </w:t>
      </w:r>
      <w:r w:rsidR="00D424B2" w:rsidRPr="0018503B">
        <w:rPr>
          <w:szCs w:val="22"/>
        </w:rPr>
        <w:t>shall have</w:t>
      </w:r>
      <w:r w:rsidR="00B37E83" w:rsidRPr="0018503B">
        <w:rPr>
          <w:szCs w:val="22"/>
        </w:rPr>
        <w:t xml:space="preserve"> the meaning in CPUC Decisions, namely a planned, scheduled, or any other Outage </w:t>
      </w:r>
      <w:r w:rsidR="00043C6B" w:rsidRPr="0018503B">
        <w:rPr>
          <w:szCs w:val="22"/>
        </w:rPr>
        <w:t xml:space="preserve">approved by the CAISO </w:t>
      </w:r>
      <w:r w:rsidR="00B37E83" w:rsidRPr="0018503B">
        <w:rPr>
          <w:szCs w:val="22"/>
        </w:rPr>
        <w:t>for the routine repair or maintenance of the Unit, or for the purposes of new construction work, and does not include any Outage designated as either forced or unplanned as defined by the CAISO or NERC/GADS Protocols</w:t>
      </w:r>
      <w:r w:rsidR="0021074D" w:rsidRPr="0018503B">
        <w:rPr>
          <w:szCs w:val="22"/>
        </w:rPr>
        <w:t>.</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Product</w:t>
      </w:r>
      <w:r w:rsidRPr="0018503B">
        <w:rPr>
          <w:szCs w:val="22"/>
        </w:rPr>
        <w:t>”</w:t>
      </w:r>
      <w:r w:rsidR="0021074D" w:rsidRPr="0018503B">
        <w:rPr>
          <w:szCs w:val="22"/>
        </w:rPr>
        <w:t xml:space="preserve"> has the meaning specified in </w:t>
      </w:r>
      <w:r w:rsidR="00363639" w:rsidRPr="0018503B">
        <w:rPr>
          <w:szCs w:val="22"/>
        </w:rPr>
        <w:t>Section 3</w:t>
      </w:r>
      <w:r w:rsidR="009F6838" w:rsidRPr="0018503B">
        <w:rPr>
          <w:szCs w:val="22"/>
        </w:rPr>
        <w:t>.1</w:t>
      </w:r>
      <w:r w:rsidR="0021074D" w:rsidRPr="0018503B">
        <w:rPr>
          <w:szCs w:val="22"/>
        </w:rPr>
        <w:t>.</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color w:val="000000"/>
          <w:szCs w:val="22"/>
        </w:rPr>
        <w:t>Prorated Percentage of Unit Factor</w:t>
      </w:r>
      <w:r w:rsidRPr="0018503B">
        <w:rPr>
          <w:szCs w:val="22"/>
        </w:rPr>
        <w:t>”</w:t>
      </w:r>
      <w:r w:rsidR="0021074D" w:rsidRPr="0018503B">
        <w:rPr>
          <w:szCs w:val="22"/>
        </w:rPr>
        <w:t xml:space="preserve"> means the percentage</w:t>
      </w:r>
      <w:r w:rsidR="0032739A" w:rsidRPr="0018503B">
        <w:rPr>
          <w:szCs w:val="22"/>
        </w:rPr>
        <w:t>, as specified in Appendix A,</w:t>
      </w:r>
      <w:r w:rsidR="0021074D" w:rsidRPr="0018503B">
        <w:rPr>
          <w:szCs w:val="22"/>
        </w:rPr>
        <w:t xml:space="preserve"> of </w:t>
      </w:r>
      <w:r w:rsidR="0032739A" w:rsidRPr="0018503B">
        <w:rPr>
          <w:color w:val="000000"/>
          <w:szCs w:val="22"/>
        </w:rPr>
        <w:t xml:space="preserve">the </w:t>
      </w:r>
      <w:r w:rsidR="0021074D" w:rsidRPr="0018503B">
        <w:rPr>
          <w:szCs w:val="22"/>
        </w:rPr>
        <w:t xml:space="preserve">Unit </w:t>
      </w:r>
      <w:r w:rsidR="00E22ED1" w:rsidRPr="0018503B">
        <w:rPr>
          <w:szCs w:val="22"/>
        </w:rPr>
        <w:t xml:space="preserve">NQC as of the Confirmation Effective Date </w:t>
      </w:r>
      <w:r w:rsidR="0021074D" w:rsidRPr="0018503B">
        <w:rPr>
          <w:szCs w:val="22"/>
        </w:rPr>
        <w:t>that is dedicated to Buyer</w:t>
      </w:r>
      <w:r w:rsidR="00E54C20" w:rsidRPr="0018503B">
        <w:rPr>
          <w:szCs w:val="22"/>
        </w:rPr>
        <w:t xml:space="preserve"> under this Transaction</w:t>
      </w:r>
      <w:r w:rsidR="0021074D" w:rsidRPr="0018503B">
        <w:rPr>
          <w:szCs w:val="22"/>
        </w:rPr>
        <w:t>.</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RA Availability</w:t>
      </w:r>
      <w:r w:rsidRPr="0018503B">
        <w:rPr>
          <w:szCs w:val="22"/>
        </w:rPr>
        <w:t>”</w:t>
      </w:r>
      <w:r w:rsidR="0021074D" w:rsidRPr="0018503B">
        <w:rPr>
          <w:szCs w:val="22"/>
        </w:rPr>
        <w:t xml:space="preserve"> means, for each Unit,</w:t>
      </w:r>
      <w:r w:rsidR="00363639" w:rsidRPr="0018503B">
        <w:rPr>
          <w:szCs w:val="22"/>
        </w:rPr>
        <w:t xml:space="preserve"> expressed as a percentage,</w:t>
      </w:r>
      <w:r w:rsidR="0021074D" w:rsidRPr="0018503B">
        <w:rPr>
          <w:szCs w:val="22"/>
        </w:rPr>
        <w:t xml:space="preserve"> (a) the Unit </w:t>
      </w:r>
      <w:r w:rsidR="003D73C3" w:rsidRPr="0018503B">
        <w:rPr>
          <w:szCs w:val="22"/>
        </w:rPr>
        <w:t>Quantity</w:t>
      </w:r>
      <w:r w:rsidR="0021074D" w:rsidRPr="0018503B">
        <w:rPr>
          <w:szCs w:val="22"/>
        </w:rPr>
        <w:t xml:space="preserve"> for a Monthly Delivery Period</w:t>
      </w:r>
      <w:r w:rsidR="0070363B" w:rsidRPr="0018503B">
        <w:rPr>
          <w:szCs w:val="22"/>
        </w:rPr>
        <w:t xml:space="preserve"> </w:t>
      </w:r>
      <w:r w:rsidR="00782F8B" w:rsidRPr="0018503B">
        <w:rPr>
          <w:szCs w:val="22"/>
        </w:rPr>
        <w:t>a</w:t>
      </w:r>
      <w:r w:rsidR="0029412C" w:rsidRPr="0018503B">
        <w:rPr>
          <w:szCs w:val="22"/>
        </w:rPr>
        <w:t>s</w:t>
      </w:r>
      <w:r w:rsidR="00782F8B" w:rsidRPr="0018503B">
        <w:rPr>
          <w:szCs w:val="22"/>
        </w:rPr>
        <w:t xml:space="preserve"> reduced according to</w:t>
      </w:r>
      <w:r w:rsidR="0070363B" w:rsidRPr="0018503B">
        <w:rPr>
          <w:szCs w:val="22"/>
        </w:rPr>
        <w:t xml:space="preserve"> Section 3.3(b) if applicable</w:t>
      </w:r>
      <w:r w:rsidR="0021074D" w:rsidRPr="0018503B">
        <w:rPr>
          <w:szCs w:val="22"/>
        </w:rPr>
        <w:t>, divided by (b) the Unit Contract Quantity, provided that a Unit's RA Availability shall not exceed 1.00.</w:t>
      </w:r>
    </w:p>
    <w:p w:rsidR="00410AF1"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410AF1" w:rsidRPr="0018503B">
        <w:rPr>
          <w:szCs w:val="22"/>
        </w:rPr>
        <w:t>RA Availability Adjustment</w:t>
      </w:r>
      <w:r w:rsidRPr="0018503B">
        <w:rPr>
          <w:szCs w:val="22"/>
        </w:rPr>
        <w:t>”</w:t>
      </w:r>
      <w:r w:rsidR="00410AF1" w:rsidRPr="0018503B">
        <w:rPr>
          <w:szCs w:val="22"/>
        </w:rPr>
        <w:t xml:space="preserve"> has the meaning specified in Section 4.</w:t>
      </w:r>
      <w:r w:rsidR="00E22ED1" w:rsidRPr="0018503B">
        <w:rPr>
          <w:szCs w:val="22"/>
        </w:rPr>
        <w:t>2</w:t>
      </w:r>
      <w:r w:rsidR="00410AF1" w:rsidRPr="0018503B">
        <w:rPr>
          <w:szCs w:val="22"/>
        </w:rPr>
        <w:t>.</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lastRenderedPageBreak/>
        <w:t>“</w:t>
      </w:r>
      <w:r w:rsidR="0028417A" w:rsidRPr="0018503B">
        <w:rPr>
          <w:szCs w:val="22"/>
        </w:rPr>
        <w:t>RA</w:t>
      </w:r>
      <w:r w:rsidR="0021074D" w:rsidRPr="0018503B">
        <w:rPr>
          <w:szCs w:val="22"/>
        </w:rPr>
        <w:t xml:space="preserve"> Attributes</w:t>
      </w:r>
      <w:r w:rsidRPr="0018503B">
        <w:rPr>
          <w:szCs w:val="22"/>
        </w:rPr>
        <w:t>”</w:t>
      </w:r>
      <w:r w:rsidR="0021074D" w:rsidRPr="0018503B">
        <w:rPr>
          <w:szCs w:val="22"/>
        </w:rPr>
        <w:t xml:space="preserve"> means, with respect to a Unit, any and all resource adequacy attributes, as may be identified from time to time by the CPUC</w:t>
      </w:r>
      <w:r w:rsidR="0028417A" w:rsidRPr="0018503B">
        <w:rPr>
          <w:szCs w:val="22"/>
        </w:rPr>
        <w:t>, CAISO</w:t>
      </w:r>
      <w:r w:rsidR="0021074D" w:rsidRPr="0018503B">
        <w:rPr>
          <w:szCs w:val="22"/>
        </w:rPr>
        <w:t xml:space="preserve"> or </w:t>
      </w:r>
      <w:r w:rsidR="0028417A" w:rsidRPr="0018503B">
        <w:rPr>
          <w:szCs w:val="22"/>
        </w:rPr>
        <w:t xml:space="preserve">other </w:t>
      </w:r>
      <w:r w:rsidR="0021074D" w:rsidRPr="0018503B">
        <w:rPr>
          <w:szCs w:val="22"/>
        </w:rPr>
        <w:t xml:space="preserve">Governmental Body having </w:t>
      </w:r>
      <w:r w:rsidR="002803C1" w:rsidRPr="0018503B">
        <w:rPr>
          <w:szCs w:val="22"/>
        </w:rPr>
        <w:t>jurisdiction that</w:t>
      </w:r>
      <w:r w:rsidR="0021074D" w:rsidRPr="0018503B">
        <w:rPr>
          <w:szCs w:val="22"/>
        </w:rPr>
        <w:t xml:space="preserve"> can be counted toward RAR, exclusive of any </w:t>
      </w:r>
      <w:r w:rsidR="0028417A" w:rsidRPr="0018503B">
        <w:rPr>
          <w:szCs w:val="22"/>
        </w:rPr>
        <w:t xml:space="preserve">Local RA </w:t>
      </w:r>
      <w:r w:rsidR="00D424B2" w:rsidRPr="0018503B">
        <w:rPr>
          <w:szCs w:val="22"/>
        </w:rPr>
        <w:t>Attributes</w:t>
      </w:r>
      <w:r w:rsidR="0021074D" w:rsidRPr="0018503B">
        <w:rPr>
          <w:szCs w:val="22"/>
        </w:rPr>
        <w:t>.</w:t>
      </w:r>
    </w:p>
    <w:p w:rsidR="00D424B2" w:rsidRPr="0018503B" w:rsidRDefault="00D424B2" w:rsidP="00E80BEF">
      <w:pPr>
        <w:numPr>
          <w:ilvl w:val="1"/>
          <w:numId w:val="1"/>
        </w:numPr>
        <w:tabs>
          <w:tab w:val="clear" w:pos="792"/>
        </w:tabs>
        <w:spacing w:after="240"/>
        <w:ind w:left="1440" w:hanging="720"/>
        <w:jc w:val="both"/>
        <w:rPr>
          <w:szCs w:val="22"/>
        </w:rPr>
      </w:pPr>
      <w:r w:rsidRPr="0018503B">
        <w:rPr>
          <w:szCs w:val="22"/>
        </w:rPr>
        <w:t xml:space="preserve">“RAR” means the resource adequacy requirements established for LSEs by the CPUC pursuant to the CPUC Decisions, or by any </w:t>
      </w:r>
      <w:r w:rsidR="00E54C20" w:rsidRPr="0018503B">
        <w:rPr>
          <w:szCs w:val="22"/>
        </w:rPr>
        <w:t xml:space="preserve">other </w:t>
      </w:r>
      <w:r w:rsidRPr="0018503B">
        <w:rPr>
          <w:szCs w:val="22"/>
        </w:rPr>
        <w:t>Governmental Body having jurisdiction.</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RAR Showings</w:t>
      </w:r>
      <w:r w:rsidRPr="0018503B">
        <w:rPr>
          <w:szCs w:val="22"/>
        </w:rPr>
        <w:t>”</w:t>
      </w:r>
      <w:r w:rsidR="0021074D" w:rsidRPr="0018503B">
        <w:rPr>
          <w:szCs w:val="22"/>
        </w:rPr>
        <w:t xml:space="preserve"> means the RAR compliance showings (or similar or successor showings) an LSE is required to make to the CPUC (and/or, to the extent authorized by the CPUC, to the CAISO), pursuant to the CPUC Decisions, or</w:t>
      </w:r>
      <w:r w:rsidR="00E54C20" w:rsidRPr="0018503B">
        <w:rPr>
          <w:szCs w:val="22"/>
        </w:rPr>
        <w:t xml:space="preserve"> to</w:t>
      </w:r>
      <w:r w:rsidR="0021074D" w:rsidRPr="0018503B">
        <w:rPr>
          <w:szCs w:val="22"/>
        </w:rPr>
        <w:t xml:space="preserve"> an</w:t>
      </w:r>
      <w:r w:rsidR="0028417A" w:rsidRPr="0018503B">
        <w:rPr>
          <w:szCs w:val="22"/>
        </w:rPr>
        <w:t>y</w:t>
      </w:r>
      <w:r w:rsidR="0021074D" w:rsidRPr="0018503B">
        <w:rPr>
          <w:szCs w:val="22"/>
        </w:rPr>
        <w:t xml:space="preserve"> </w:t>
      </w:r>
      <w:r w:rsidR="0028417A" w:rsidRPr="0018503B">
        <w:rPr>
          <w:szCs w:val="22"/>
        </w:rPr>
        <w:t>Governmental Body</w:t>
      </w:r>
      <w:r w:rsidR="0021074D" w:rsidRPr="0018503B">
        <w:rPr>
          <w:szCs w:val="22"/>
        </w:rPr>
        <w:t xml:space="preserve"> having jurisdiction.</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Replacement Capacity</w:t>
      </w:r>
      <w:r w:rsidRPr="0018503B">
        <w:rPr>
          <w:szCs w:val="22"/>
        </w:rPr>
        <w:t>”</w:t>
      </w:r>
      <w:r w:rsidR="0021074D" w:rsidRPr="0018503B">
        <w:rPr>
          <w:szCs w:val="22"/>
        </w:rPr>
        <w:t xml:space="preserve"> </w:t>
      </w:r>
      <w:r w:rsidR="00782F8B" w:rsidRPr="0018503B">
        <w:rPr>
          <w:szCs w:val="22"/>
        </w:rPr>
        <w:t>means capacity which has equivalent RA</w:t>
      </w:r>
      <w:r w:rsidR="00957EEC" w:rsidRPr="0018503B">
        <w:rPr>
          <w:szCs w:val="22"/>
        </w:rPr>
        <w:t xml:space="preserve"> and</w:t>
      </w:r>
      <w:r w:rsidR="00782F8B" w:rsidRPr="0018503B">
        <w:rPr>
          <w:szCs w:val="22"/>
        </w:rPr>
        <w:t xml:space="preserve"> Local RA as the </w:t>
      </w:r>
      <w:r w:rsidR="0029412C" w:rsidRPr="0018503B">
        <w:rPr>
          <w:szCs w:val="22"/>
        </w:rPr>
        <w:t xml:space="preserve">portion of the </w:t>
      </w:r>
      <w:r w:rsidR="00782F8B" w:rsidRPr="0018503B">
        <w:rPr>
          <w:szCs w:val="22"/>
        </w:rPr>
        <w:t xml:space="preserve">Product not provided by </w:t>
      </w:r>
      <w:r w:rsidR="003A0D92" w:rsidRPr="0018503B">
        <w:rPr>
          <w:szCs w:val="22"/>
        </w:rPr>
        <w:t>the Units committed to Buyer as of the Confirmation Effective Date</w:t>
      </w:r>
      <w:r w:rsidR="0021074D" w:rsidRPr="0018503B">
        <w:rPr>
          <w:szCs w:val="22"/>
        </w:rPr>
        <w:t>.</w:t>
      </w:r>
      <w:r w:rsidR="00604DC9" w:rsidRPr="0018503B">
        <w:rPr>
          <w:szCs w:val="22"/>
        </w:rPr>
        <w:t xml:space="preserve"> </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Replacement Unit</w:t>
      </w:r>
      <w:r w:rsidRPr="0018503B">
        <w:rPr>
          <w:szCs w:val="22"/>
        </w:rPr>
        <w:t>”</w:t>
      </w:r>
      <w:r w:rsidR="0021074D" w:rsidRPr="0018503B">
        <w:rPr>
          <w:szCs w:val="22"/>
        </w:rPr>
        <w:t xml:space="preserve"> means a generating unit </w:t>
      </w:r>
      <w:r w:rsidR="007972CD" w:rsidRPr="0018503B">
        <w:rPr>
          <w:szCs w:val="22"/>
        </w:rPr>
        <w:t>providing</w:t>
      </w:r>
      <w:r w:rsidR="0029412C" w:rsidRPr="0018503B">
        <w:rPr>
          <w:szCs w:val="22"/>
        </w:rPr>
        <w:t xml:space="preserve"> Replacement Capacity</w:t>
      </w:r>
      <w:r w:rsidR="0021074D" w:rsidRPr="0018503B">
        <w:rPr>
          <w:szCs w:val="22"/>
        </w:rPr>
        <w:t>.</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Resource Category</w:t>
      </w:r>
      <w:r w:rsidRPr="0018503B">
        <w:rPr>
          <w:szCs w:val="22"/>
        </w:rPr>
        <w:t>”</w:t>
      </w:r>
      <w:r w:rsidR="0021074D" w:rsidRPr="0018503B">
        <w:rPr>
          <w:szCs w:val="22"/>
        </w:rPr>
        <w:t xml:space="preserve"> </w:t>
      </w:r>
      <w:r w:rsidR="00D424B2" w:rsidRPr="0018503B">
        <w:rPr>
          <w:szCs w:val="22"/>
        </w:rPr>
        <w:t>shall be</w:t>
      </w:r>
      <w:r w:rsidR="00363639" w:rsidRPr="0018503B">
        <w:rPr>
          <w:szCs w:val="22"/>
        </w:rPr>
        <w:t xml:space="preserve"> as described in the </w:t>
      </w:r>
      <w:r w:rsidR="007C43C7" w:rsidRPr="0018503B">
        <w:rPr>
          <w:szCs w:val="22"/>
        </w:rPr>
        <w:t>CPUC Filing Guide</w:t>
      </w:r>
      <w:r w:rsidR="0021074D" w:rsidRPr="0018503B">
        <w:rPr>
          <w:szCs w:val="22"/>
        </w:rPr>
        <w:t>.</w:t>
      </w:r>
      <w:r w:rsidR="00EC6BF3" w:rsidRPr="0018503B">
        <w:rPr>
          <w:szCs w:val="22"/>
        </w:rPr>
        <w:t xml:space="preserve"> </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RMR Agreement</w:t>
      </w:r>
      <w:r w:rsidRPr="0018503B">
        <w:rPr>
          <w:szCs w:val="22"/>
        </w:rPr>
        <w:t>”</w:t>
      </w:r>
      <w:r w:rsidR="0021074D" w:rsidRPr="0018503B">
        <w:rPr>
          <w:szCs w:val="22"/>
        </w:rPr>
        <w:t xml:space="preserve"> has the meaning specified in Section </w:t>
      </w:r>
      <w:r w:rsidR="004E69EA" w:rsidRPr="0018503B">
        <w:rPr>
          <w:szCs w:val="22"/>
        </w:rPr>
        <w:t>6</w:t>
      </w:r>
      <w:r w:rsidR="0021074D" w:rsidRPr="0018503B">
        <w:rPr>
          <w:szCs w:val="22"/>
        </w:rPr>
        <w:t>.2</w:t>
      </w:r>
      <w:r w:rsidR="00043C6B" w:rsidRPr="0018503B">
        <w:rPr>
          <w:szCs w:val="22"/>
        </w:rPr>
        <w:t>(</w:t>
      </w:r>
      <w:r w:rsidR="00CD4A6C" w:rsidRPr="0018503B">
        <w:rPr>
          <w:szCs w:val="22"/>
        </w:rPr>
        <w:t>b</w:t>
      </w:r>
      <w:r w:rsidR="00043C6B" w:rsidRPr="0018503B">
        <w:rPr>
          <w:szCs w:val="22"/>
        </w:rPr>
        <w:t>)</w:t>
      </w:r>
      <w:r w:rsidR="0021074D" w:rsidRPr="0018503B">
        <w:rPr>
          <w:szCs w:val="22"/>
        </w:rPr>
        <w:t>.</w:t>
      </w:r>
    </w:p>
    <w:p w:rsidR="00673ABE"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673ABE" w:rsidRPr="0018503B">
        <w:rPr>
          <w:szCs w:val="22"/>
        </w:rPr>
        <w:t>S&amp;P</w:t>
      </w:r>
      <w:r w:rsidRPr="0018503B">
        <w:rPr>
          <w:szCs w:val="22"/>
        </w:rPr>
        <w:t>”</w:t>
      </w:r>
      <w:r w:rsidR="00673ABE" w:rsidRPr="0018503B">
        <w:rPr>
          <w:szCs w:val="22"/>
        </w:rPr>
        <w:t xml:space="preserve"> </w:t>
      </w:r>
      <w:r w:rsidR="007170A2" w:rsidRPr="0018503B">
        <w:rPr>
          <w:szCs w:val="22"/>
        </w:rPr>
        <w:t>means the Standard &amp; Poor’s Rating Group (a division of McGraw-Hill, Inc or its successor.</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Scheduling Coordinator</w:t>
      </w:r>
      <w:r w:rsidRPr="0018503B">
        <w:rPr>
          <w:szCs w:val="22"/>
        </w:rPr>
        <w:t>”</w:t>
      </w:r>
      <w:r w:rsidR="0021074D" w:rsidRPr="0018503B">
        <w:rPr>
          <w:szCs w:val="22"/>
        </w:rPr>
        <w:t xml:space="preserve"> or </w:t>
      </w:r>
      <w:r w:rsidRPr="0018503B">
        <w:rPr>
          <w:szCs w:val="22"/>
        </w:rPr>
        <w:t>“</w:t>
      </w:r>
      <w:r w:rsidR="0021074D" w:rsidRPr="0018503B">
        <w:rPr>
          <w:szCs w:val="22"/>
        </w:rPr>
        <w:t>SC</w:t>
      </w:r>
      <w:r w:rsidRPr="0018503B">
        <w:rPr>
          <w:szCs w:val="22"/>
        </w:rPr>
        <w:t>”</w:t>
      </w:r>
      <w:r w:rsidR="0021074D" w:rsidRPr="0018503B">
        <w:rPr>
          <w:szCs w:val="22"/>
        </w:rPr>
        <w:t xml:space="preserve"> has the meaning </w:t>
      </w:r>
      <w:r w:rsidR="0028417A" w:rsidRPr="0018503B">
        <w:rPr>
          <w:szCs w:val="22"/>
        </w:rPr>
        <w:t>set forth</w:t>
      </w:r>
      <w:r w:rsidR="0021074D" w:rsidRPr="0018503B">
        <w:rPr>
          <w:szCs w:val="22"/>
        </w:rPr>
        <w:t xml:space="preserve"> in the Tariff.</w:t>
      </w:r>
    </w:p>
    <w:p w:rsidR="007170A2"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Seller</w:t>
      </w:r>
      <w:r w:rsidRPr="0018503B">
        <w:rPr>
          <w:szCs w:val="22"/>
        </w:rPr>
        <w:t>”</w:t>
      </w:r>
      <w:r w:rsidR="0021074D" w:rsidRPr="0018503B">
        <w:rPr>
          <w:szCs w:val="22"/>
        </w:rPr>
        <w:t xml:space="preserve"> has the meaning specifie</w:t>
      </w:r>
      <w:r w:rsidR="0032739A" w:rsidRPr="0018503B">
        <w:rPr>
          <w:szCs w:val="22"/>
        </w:rPr>
        <w:t>d in the introductory paragraph</w:t>
      </w:r>
      <w:r w:rsidR="0021074D" w:rsidRPr="0018503B">
        <w:rPr>
          <w:szCs w:val="22"/>
        </w:rPr>
        <w:t xml:space="preserve">. </w:t>
      </w:r>
    </w:p>
    <w:p w:rsidR="003C2AD9" w:rsidRDefault="003C2AD9" w:rsidP="003C2AD9">
      <w:pPr>
        <w:numPr>
          <w:ilvl w:val="1"/>
          <w:numId w:val="1"/>
        </w:numPr>
        <w:tabs>
          <w:tab w:val="clear" w:pos="792"/>
        </w:tabs>
        <w:spacing w:after="240"/>
        <w:ind w:left="1440" w:hanging="720"/>
        <w:jc w:val="both"/>
        <w:rPr>
          <w:szCs w:val="22"/>
        </w:rPr>
      </w:pPr>
      <w:r>
        <w:rPr>
          <w:szCs w:val="22"/>
        </w:rPr>
        <w:t>“Seller’s Firm Quantity” has the meaning specified in Section 3.2.</w:t>
      </w:r>
    </w:p>
    <w:p w:rsidR="00B37E83"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B37E83" w:rsidRPr="0018503B">
        <w:rPr>
          <w:szCs w:val="22"/>
        </w:rPr>
        <w:t>Showing Month</w:t>
      </w:r>
      <w:r w:rsidRPr="0018503B">
        <w:rPr>
          <w:szCs w:val="22"/>
        </w:rPr>
        <w:t>”</w:t>
      </w:r>
      <w:r w:rsidR="00B37E83" w:rsidRPr="0018503B">
        <w:rPr>
          <w:szCs w:val="22"/>
        </w:rPr>
        <w:t xml:space="preserve"> shall be the calendar month that is the subject of the RAR Showing, as set forth in the CPUC Decisions.  For illustrative purposes only, pursuant to the CPUC Decisions in effect as of the Confirmation Effective Date, the monthly RAR Showing made in June is for the Showing Month of August.</w:t>
      </w:r>
    </w:p>
    <w:p w:rsidR="009F6838" w:rsidRPr="0018503B" w:rsidRDefault="009F6838" w:rsidP="00E80BEF">
      <w:pPr>
        <w:numPr>
          <w:ilvl w:val="1"/>
          <w:numId w:val="1"/>
        </w:numPr>
        <w:tabs>
          <w:tab w:val="clear" w:pos="792"/>
        </w:tabs>
        <w:spacing w:after="240"/>
        <w:ind w:left="1440" w:hanging="720"/>
        <w:jc w:val="both"/>
        <w:rPr>
          <w:szCs w:val="22"/>
        </w:rPr>
      </w:pPr>
      <w:r w:rsidRPr="0018503B">
        <w:rPr>
          <w:szCs w:val="22"/>
        </w:rPr>
        <w:t xml:space="preserve">“Substitute Capacity” has the meaning set forth in Section </w:t>
      </w:r>
      <w:r w:rsidR="007C43C7" w:rsidRPr="0018503B">
        <w:rPr>
          <w:szCs w:val="22"/>
        </w:rPr>
        <w:t>3.9(a)</w:t>
      </w:r>
      <w:r w:rsidRPr="0018503B">
        <w:rPr>
          <w:szCs w:val="22"/>
        </w:rPr>
        <w:t>.</w:t>
      </w:r>
    </w:p>
    <w:p w:rsidR="009F6838" w:rsidRPr="0018503B" w:rsidRDefault="009F6838" w:rsidP="00E80BEF">
      <w:pPr>
        <w:numPr>
          <w:ilvl w:val="1"/>
          <w:numId w:val="1"/>
        </w:numPr>
        <w:tabs>
          <w:tab w:val="clear" w:pos="792"/>
        </w:tabs>
        <w:spacing w:after="240"/>
        <w:ind w:left="1440" w:hanging="720"/>
        <w:jc w:val="both"/>
        <w:rPr>
          <w:szCs w:val="22"/>
        </w:rPr>
      </w:pPr>
      <w:r w:rsidRPr="0018503B">
        <w:rPr>
          <w:szCs w:val="22"/>
        </w:rPr>
        <w:t xml:space="preserve">“Substitution Rules” has the meaning set forth in Section </w:t>
      </w:r>
      <w:r w:rsidR="007C43C7" w:rsidRPr="0018503B">
        <w:rPr>
          <w:szCs w:val="22"/>
        </w:rPr>
        <w:t>3.9(b)</w:t>
      </w:r>
      <w:r w:rsidRPr="0018503B">
        <w:rPr>
          <w:szCs w:val="22"/>
        </w:rPr>
        <w:t>.</w:t>
      </w:r>
    </w:p>
    <w:p w:rsidR="009F6168" w:rsidRPr="0018503B" w:rsidRDefault="009F6168" w:rsidP="00E80BEF">
      <w:pPr>
        <w:numPr>
          <w:ilvl w:val="1"/>
          <w:numId w:val="1"/>
        </w:numPr>
        <w:tabs>
          <w:tab w:val="clear" w:pos="792"/>
        </w:tabs>
        <w:spacing w:after="240"/>
        <w:ind w:left="1440" w:hanging="720"/>
        <w:jc w:val="both"/>
        <w:rPr>
          <w:szCs w:val="22"/>
        </w:rPr>
      </w:pPr>
      <w:r w:rsidRPr="0018503B">
        <w:rPr>
          <w:szCs w:val="22"/>
        </w:rPr>
        <w:t>“Summer Period” means the months May through September, inclusive.</w:t>
      </w:r>
    </w:p>
    <w:p w:rsidR="00D7529B" w:rsidRPr="0018503B" w:rsidRDefault="00D7529B" w:rsidP="00E80BEF">
      <w:pPr>
        <w:numPr>
          <w:ilvl w:val="1"/>
          <w:numId w:val="1"/>
        </w:numPr>
        <w:tabs>
          <w:tab w:val="clear" w:pos="792"/>
        </w:tabs>
        <w:spacing w:after="240"/>
        <w:ind w:left="1440" w:hanging="720"/>
        <w:jc w:val="both"/>
        <w:rPr>
          <w:szCs w:val="22"/>
        </w:rPr>
      </w:pPr>
      <w:r w:rsidRPr="0018503B">
        <w:rPr>
          <w:szCs w:val="22"/>
        </w:rPr>
        <w:t>“Supply Plan” has the meaning set forth in the Tariff.</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Tariff</w:t>
      </w:r>
      <w:r w:rsidRPr="0018503B">
        <w:rPr>
          <w:szCs w:val="22"/>
        </w:rPr>
        <w:t>”</w:t>
      </w:r>
      <w:r w:rsidR="0021074D" w:rsidRPr="0018503B">
        <w:rPr>
          <w:szCs w:val="22"/>
        </w:rPr>
        <w:t xml:space="preserve"> </w:t>
      </w:r>
      <w:r w:rsidR="009F2C66" w:rsidRPr="0018503B">
        <w:rPr>
          <w:szCs w:val="22"/>
        </w:rPr>
        <w:t>means the tariff and protocol provisions, including any current CAISO-published “Operating Procedures” and “Business Practice Manuals,” as amended or supplemented from time to time, of the CAISO.</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Transaction</w:t>
      </w:r>
      <w:r w:rsidRPr="0018503B">
        <w:rPr>
          <w:szCs w:val="22"/>
        </w:rPr>
        <w:t>”</w:t>
      </w:r>
      <w:r w:rsidR="0021074D" w:rsidRPr="0018503B">
        <w:rPr>
          <w:szCs w:val="22"/>
        </w:rPr>
        <w:t xml:space="preserve"> has the meaning specifie</w:t>
      </w:r>
      <w:r w:rsidR="0029412C" w:rsidRPr="0018503B">
        <w:rPr>
          <w:szCs w:val="22"/>
        </w:rPr>
        <w:t>d in the introductory paragraph</w:t>
      </w:r>
      <w:r w:rsidR="0021074D" w:rsidRPr="0018503B">
        <w:rPr>
          <w:szCs w:val="22"/>
        </w:rPr>
        <w:t>.</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lastRenderedPageBreak/>
        <w:t>“</w:t>
      </w:r>
      <w:r w:rsidR="0021074D" w:rsidRPr="0018503B">
        <w:rPr>
          <w:szCs w:val="22"/>
        </w:rPr>
        <w:t>Unit</w:t>
      </w:r>
      <w:r w:rsidRPr="0018503B">
        <w:rPr>
          <w:szCs w:val="22"/>
        </w:rPr>
        <w:t>”</w:t>
      </w:r>
      <w:r w:rsidR="0021074D" w:rsidRPr="0018503B">
        <w:rPr>
          <w:szCs w:val="22"/>
        </w:rPr>
        <w:t xml:space="preserve"> or </w:t>
      </w:r>
      <w:r w:rsidRPr="0018503B">
        <w:rPr>
          <w:szCs w:val="22"/>
        </w:rPr>
        <w:t>“</w:t>
      </w:r>
      <w:r w:rsidR="0021074D" w:rsidRPr="0018503B">
        <w:rPr>
          <w:szCs w:val="22"/>
        </w:rPr>
        <w:t>Units</w:t>
      </w:r>
      <w:r w:rsidRPr="0018503B">
        <w:rPr>
          <w:szCs w:val="22"/>
        </w:rPr>
        <w:t>”</w:t>
      </w:r>
      <w:r w:rsidR="0021074D" w:rsidRPr="0018503B">
        <w:rPr>
          <w:szCs w:val="22"/>
        </w:rPr>
        <w:t xml:space="preserve"> shall mean the generation assets described in </w:t>
      </w:r>
      <w:r w:rsidR="00E93CE3" w:rsidRPr="0018503B">
        <w:rPr>
          <w:szCs w:val="22"/>
        </w:rPr>
        <w:t>Appendix A</w:t>
      </w:r>
      <w:r w:rsidR="0021074D" w:rsidRPr="0018503B">
        <w:rPr>
          <w:szCs w:val="22"/>
        </w:rPr>
        <w:t xml:space="preserve"> (i</w:t>
      </w:r>
      <w:r w:rsidR="00E22ED1" w:rsidRPr="0018503B">
        <w:rPr>
          <w:szCs w:val="22"/>
        </w:rPr>
        <w:t>ncluding any Replacement Units</w:t>
      </w:r>
      <w:r w:rsidR="0021074D" w:rsidRPr="0018503B">
        <w:rPr>
          <w:szCs w:val="22"/>
        </w:rPr>
        <w:t xml:space="preserve">), from which </w:t>
      </w:r>
      <w:r w:rsidR="009F2C66" w:rsidRPr="0018503B">
        <w:rPr>
          <w:szCs w:val="22"/>
        </w:rPr>
        <w:t>Product</w:t>
      </w:r>
      <w:r w:rsidR="0021074D" w:rsidRPr="0018503B">
        <w:rPr>
          <w:szCs w:val="22"/>
        </w:rPr>
        <w:t xml:space="preserve"> is provided by Seller to Buyer.</w:t>
      </w:r>
    </w:p>
    <w:p w:rsidR="003D73C3" w:rsidRPr="0018503B" w:rsidRDefault="003D73C3" w:rsidP="00E80BEF">
      <w:pPr>
        <w:numPr>
          <w:ilvl w:val="1"/>
          <w:numId w:val="1"/>
        </w:numPr>
        <w:tabs>
          <w:tab w:val="clear" w:pos="792"/>
        </w:tabs>
        <w:spacing w:after="240"/>
        <w:ind w:left="1440" w:hanging="720"/>
        <w:jc w:val="both"/>
        <w:rPr>
          <w:szCs w:val="22"/>
        </w:rPr>
      </w:pPr>
      <w:r w:rsidRPr="0018503B">
        <w:rPr>
          <w:szCs w:val="22"/>
        </w:rPr>
        <w:t>“Unit Contract Quantity” mea</w:t>
      </w:r>
      <w:r w:rsidR="00043C6B" w:rsidRPr="0018503B">
        <w:rPr>
          <w:szCs w:val="22"/>
        </w:rPr>
        <w:t>ns the amount of Product (in MW</w:t>
      </w:r>
      <w:r w:rsidRPr="0018503B">
        <w:rPr>
          <w:szCs w:val="22"/>
        </w:rPr>
        <w:t xml:space="preserve">) </w:t>
      </w:r>
      <w:r w:rsidR="00782F8B" w:rsidRPr="0018503B">
        <w:rPr>
          <w:szCs w:val="22"/>
        </w:rPr>
        <w:t>to be delivered</w:t>
      </w:r>
      <w:r w:rsidRPr="0018503B">
        <w:rPr>
          <w:szCs w:val="22"/>
        </w:rPr>
        <w:t xml:space="preserve"> by Seller to Buyer by each individual Unit, as specified in Appendix A as of the Confirmation Effective Date.</w:t>
      </w:r>
    </w:p>
    <w:p w:rsidR="00702B06" w:rsidRPr="0018503B" w:rsidRDefault="00702B06" w:rsidP="00E80BEF">
      <w:pPr>
        <w:numPr>
          <w:ilvl w:val="1"/>
          <w:numId w:val="1"/>
        </w:numPr>
        <w:tabs>
          <w:tab w:val="clear" w:pos="792"/>
        </w:tabs>
        <w:spacing w:after="240"/>
        <w:ind w:left="1440" w:hanging="720"/>
        <w:jc w:val="both"/>
        <w:rPr>
          <w:szCs w:val="22"/>
        </w:rPr>
      </w:pPr>
      <w:r w:rsidRPr="0018503B">
        <w:rPr>
          <w:szCs w:val="22"/>
        </w:rPr>
        <w:t>“Unit NQC” means the Net Qualifying Capacity set by the CAISO for the applicable Unit.</w:t>
      </w:r>
    </w:p>
    <w:p w:rsidR="0021074D" w:rsidRPr="0018503B" w:rsidRDefault="008D14BE" w:rsidP="00E80BEF">
      <w:pPr>
        <w:numPr>
          <w:ilvl w:val="1"/>
          <w:numId w:val="1"/>
        </w:numPr>
        <w:tabs>
          <w:tab w:val="clear" w:pos="792"/>
        </w:tabs>
        <w:spacing w:after="240"/>
        <w:ind w:left="1440" w:hanging="720"/>
        <w:jc w:val="both"/>
        <w:rPr>
          <w:szCs w:val="22"/>
        </w:rPr>
      </w:pPr>
      <w:r w:rsidRPr="0018503B">
        <w:rPr>
          <w:szCs w:val="22"/>
        </w:rPr>
        <w:t>“</w:t>
      </w:r>
      <w:r w:rsidR="0021074D" w:rsidRPr="0018503B">
        <w:rPr>
          <w:szCs w:val="22"/>
        </w:rPr>
        <w:t>Unit Quantity</w:t>
      </w:r>
      <w:r w:rsidRPr="0018503B">
        <w:rPr>
          <w:szCs w:val="22"/>
        </w:rPr>
        <w:t>”</w:t>
      </w:r>
      <w:r w:rsidR="0021074D" w:rsidRPr="0018503B">
        <w:rPr>
          <w:szCs w:val="22"/>
        </w:rPr>
        <w:t xml:space="preserve"> means the </w:t>
      </w:r>
      <w:r w:rsidR="009F2C66" w:rsidRPr="0018503B">
        <w:rPr>
          <w:szCs w:val="22"/>
        </w:rPr>
        <w:t>amount</w:t>
      </w:r>
      <w:r w:rsidR="0021074D" w:rsidRPr="0018503B">
        <w:rPr>
          <w:szCs w:val="22"/>
        </w:rPr>
        <w:t xml:space="preserve"> </w:t>
      </w:r>
      <w:r w:rsidR="007170A2" w:rsidRPr="0018503B">
        <w:rPr>
          <w:szCs w:val="22"/>
        </w:rPr>
        <w:t xml:space="preserve">of </w:t>
      </w:r>
      <w:r w:rsidR="009F2C66" w:rsidRPr="0018503B">
        <w:rPr>
          <w:szCs w:val="22"/>
        </w:rPr>
        <w:t>Product</w:t>
      </w:r>
      <w:r w:rsidR="007170A2" w:rsidRPr="0018503B">
        <w:rPr>
          <w:szCs w:val="22"/>
        </w:rPr>
        <w:t xml:space="preserve"> </w:t>
      </w:r>
      <w:r w:rsidR="00043C6B" w:rsidRPr="0018503B">
        <w:rPr>
          <w:szCs w:val="22"/>
        </w:rPr>
        <w:t>(in MW</w:t>
      </w:r>
      <w:r w:rsidR="009F2C66" w:rsidRPr="0018503B">
        <w:rPr>
          <w:szCs w:val="22"/>
        </w:rPr>
        <w:t xml:space="preserve">) </w:t>
      </w:r>
      <w:r w:rsidR="007C43C7" w:rsidRPr="0018503B">
        <w:rPr>
          <w:szCs w:val="22"/>
        </w:rPr>
        <w:t>actually delivered</w:t>
      </w:r>
      <w:r w:rsidR="004146F6">
        <w:rPr>
          <w:szCs w:val="22"/>
        </w:rPr>
        <w:t>”</w:t>
      </w:r>
      <w:r w:rsidR="004146F6">
        <w:t xml:space="preserve"> (as such term is used in Section 4.1)</w:t>
      </w:r>
      <w:r w:rsidR="009F2C66" w:rsidRPr="0018503B">
        <w:rPr>
          <w:szCs w:val="22"/>
        </w:rPr>
        <w:t xml:space="preserve"> by Seller to Buyer by each individual</w:t>
      </w:r>
      <w:r w:rsidR="0021074D" w:rsidRPr="0018503B">
        <w:rPr>
          <w:szCs w:val="22"/>
        </w:rPr>
        <w:t xml:space="preserve"> Unit</w:t>
      </w:r>
      <w:r w:rsidR="003D73C3" w:rsidRPr="0018503B">
        <w:rPr>
          <w:szCs w:val="22"/>
        </w:rPr>
        <w:t xml:space="preserve"> </w:t>
      </w:r>
      <w:r w:rsidR="0021074D" w:rsidRPr="0018503B">
        <w:rPr>
          <w:szCs w:val="22"/>
        </w:rPr>
        <w:t xml:space="preserve">and </w:t>
      </w:r>
      <w:r w:rsidR="003D73C3" w:rsidRPr="0018503B">
        <w:rPr>
          <w:szCs w:val="22"/>
        </w:rPr>
        <w:t xml:space="preserve">as </w:t>
      </w:r>
      <w:r w:rsidR="0021074D" w:rsidRPr="0018503B">
        <w:rPr>
          <w:szCs w:val="22"/>
        </w:rPr>
        <w:t xml:space="preserve">may be </w:t>
      </w:r>
      <w:r w:rsidR="00782F8B" w:rsidRPr="0018503B">
        <w:rPr>
          <w:szCs w:val="22"/>
        </w:rPr>
        <w:t>reduced according to</w:t>
      </w:r>
      <w:r w:rsidR="0021074D" w:rsidRPr="0018503B">
        <w:rPr>
          <w:szCs w:val="22"/>
        </w:rPr>
        <w:t xml:space="preserve"> Section </w:t>
      </w:r>
      <w:r w:rsidR="00F02327" w:rsidRPr="0018503B">
        <w:rPr>
          <w:szCs w:val="22"/>
        </w:rPr>
        <w:t>3</w:t>
      </w:r>
      <w:r w:rsidR="0021074D" w:rsidRPr="0018503B">
        <w:rPr>
          <w:szCs w:val="22"/>
        </w:rPr>
        <w:t>.3</w:t>
      </w:r>
      <w:r w:rsidR="00782F8B" w:rsidRPr="0018503B">
        <w:rPr>
          <w:szCs w:val="22"/>
        </w:rPr>
        <w:t>(b) as</w:t>
      </w:r>
      <w:r w:rsidR="00F02327" w:rsidRPr="0018503B">
        <w:rPr>
          <w:szCs w:val="22"/>
        </w:rPr>
        <w:t xml:space="preserve"> applicable</w:t>
      </w:r>
      <w:r w:rsidR="0021074D" w:rsidRPr="0018503B">
        <w:rPr>
          <w:szCs w:val="22"/>
        </w:rPr>
        <w:t>.</w:t>
      </w:r>
    </w:p>
    <w:p w:rsidR="009F6838" w:rsidRPr="0018503B" w:rsidRDefault="009F6838" w:rsidP="004E69EA">
      <w:pPr>
        <w:keepNext/>
        <w:numPr>
          <w:ilvl w:val="0"/>
          <w:numId w:val="1"/>
        </w:numPr>
        <w:spacing w:after="240"/>
        <w:rPr>
          <w:b/>
          <w:szCs w:val="22"/>
          <w:u w:val="single"/>
        </w:rPr>
      </w:pPr>
      <w:r w:rsidRPr="0018503B">
        <w:rPr>
          <w:b/>
          <w:szCs w:val="22"/>
          <w:u w:val="single"/>
        </w:rPr>
        <w:t>Term</w:t>
      </w:r>
    </w:p>
    <w:p w:rsidR="009F6838" w:rsidRPr="0018503B" w:rsidRDefault="009F6838" w:rsidP="004E69EA">
      <w:pPr>
        <w:keepNext/>
        <w:numPr>
          <w:ilvl w:val="1"/>
          <w:numId w:val="1"/>
        </w:numPr>
        <w:tabs>
          <w:tab w:val="clear" w:pos="792"/>
        </w:tabs>
        <w:autoSpaceDE w:val="0"/>
        <w:autoSpaceDN w:val="0"/>
        <w:adjustRightInd w:val="0"/>
        <w:spacing w:after="240"/>
        <w:ind w:left="720" w:hanging="720"/>
        <w:rPr>
          <w:szCs w:val="22"/>
          <w:u w:val="single"/>
        </w:rPr>
      </w:pPr>
      <w:r w:rsidRPr="0018503B">
        <w:rPr>
          <w:szCs w:val="22"/>
          <w:u w:val="single"/>
        </w:rPr>
        <w:t>Contract Term</w:t>
      </w:r>
    </w:p>
    <w:p w:rsidR="009F6838" w:rsidRPr="0018503B" w:rsidRDefault="009F6838" w:rsidP="009F6838">
      <w:pPr>
        <w:spacing w:after="240"/>
        <w:ind w:left="720"/>
        <w:jc w:val="both"/>
        <w:rPr>
          <w:szCs w:val="22"/>
        </w:rPr>
      </w:pPr>
      <w:r w:rsidRPr="0018503B">
        <w:rPr>
          <w:szCs w:val="22"/>
        </w:rPr>
        <w:t xml:space="preserve">The </w:t>
      </w:r>
      <w:r w:rsidR="0029412C" w:rsidRPr="0018503B">
        <w:rPr>
          <w:szCs w:val="22"/>
        </w:rPr>
        <w:t>“</w:t>
      </w:r>
      <w:r w:rsidRPr="0018503B">
        <w:rPr>
          <w:szCs w:val="22"/>
        </w:rPr>
        <w:t>Contract Term</w:t>
      </w:r>
      <w:r w:rsidR="0029412C" w:rsidRPr="0018503B">
        <w:rPr>
          <w:szCs w:val="22"/>
        </w:rPr>
        <w:t>”</w:t>
      </w:r>
      <w:r w:rsidRPr="0018503B">
        <w:rPr>
          <w:szCs w:val="22"/>
        </w:rPr>
        <w:t xml:space="preserve"> shall </w:t>
      </w:r>
      <w:r w:rsidR="0029412C" w:rsidRPr="0018503B">
        <w:rPr>
          <w:szCs w:val="22"/>
        </w:rPr>
        <w:t xml:space="preserve">mean the period of time </w:t>
      </w:r>
      <w:r w:rsidRPr="0018503B">
        <w:rPr>
          <w:szCs w:val="22"/>
        </w:rPr>
        <w:t>commenc</w:t>
      </w:r>
      <w:r w:rsidR="0029412C" w:rsidRPr="0018503B">
        <w:rPr>
          <w:szCs w:val="22"/>
        </w:rPr>
        <w:t>ing</w:t>
      </w:r>
      <w:r w:rsidRPr="0018503B">
        <w:rPr>
          <w:szCs w:val="22"/>
        </w:rPr>
        <w:t xml:space="preserve"> upon the Confirmation Effective Date and </w:t>
      </w:r>
      <w:r w:rsidR="00163CC6" w:rsidRPr="0018503B">
        <w:rPr>
          <w:szCs w:val="22"/>
        </w:rPr>
        <w:t>continu</w:t>
      </w:r>
      <w:r w:rsidR="0029412C" w:rsidRPr="0018503B">
        <w:rPr>
          <w:szCs w:val="22"/>
        </w:rPr>
        <w:t>ing</w:t>
      </w:r>
      <w:r w:rsidRPr="0018503B">
        <w:rPr>
          <w:szCs w:val="22"/>
        </w:rPr>
        <w:t xml:space="preserve"> until the later of (a) the expiration of the Delivery Period or (b) the date the Parties’ obligations under this Agreement have been </w:t>
      </w:r>
      <w:r w:rsidR="00EE2711" w:rsidRPr="0018503B">
        <w:rPr>
          <w:szCs w:val="22"/>
        </w:rPr>
        <w:t>fulfilled</w:t>
      </w:r>
      <w:r w:rsidRPr="0018503B">
        <w:rPr>
          <w:szCs w:val="22"/>
        </w:rPr>
        <w:t>.</w:t>
      </w:r>
    </w:p>
    <w:p w:rsidR="009F6838" w:rsidRPr="0018503B" w:rsidRDefault="009F6838" w:rsidP="004E69EA">
      <w:pPr>
        <w:keepNext/>
        <w:numPr>
          <w:ilvl w:val="1"/>
          <w:numId w:val="1"/>
        </w:numPr>
        <w:tabs>
          <w:tab w:val="clear" w:pos="792"/>
        </w:tabs>
        <w:autoSpaceDE w:val="0"/>
        <w:autoSpaceDN w:val="0"/>
        <w:adjustRightInd w:val="0"/>
        <w:spacing w:after="240"/>
        <w:ind w:left="720" w:hanging="720"/>
        <w:rPr>
          <w:szCs w:val="22"/>
          <w:u w:val="single"/>
        </w:rPr>
      </w:pPr>
      <w:r w:rsidRPr="0018503B">
        <w:rPr>
          <w:szCs w:val="22"/>
          <w:u w:val="single"/>
        </w:rPr>
        <w:t>Binding Nature</w:t>
      </w:r>
    </w:p>
    <w:p w:rsidR="009F6838" w:rsidRPr="0018503B" w:rsidRDefault="009F6838" w:rsidP="009F6838">
      <w:pPr>
        <w:spacing w:after="240"/>
        <w:ind w:left="720"/>
        <w:jc w:val="both"/>
        <w:rPr>
          <w:szCs w:val="22"/>
        </w:rPr>
      </w:pPr>
      <w:r w:rsidRPr="0018503B">
        <w:rPr>
          <w:szCs w:val="22"/>
        </w:rPr>
        <w:t>This Agreement shall be effective and binding as of the Confirmation Effective Date.</w:t>
      </w:r>
    </w:p>
    <w:p w:rsidR="0021074D" w:rsidRPr="0018503B" w:rsidRDefault="009F6838" w:rsidP="004E69EA">
      <w:pPr>
        <w:keepNext/>
        <w:numPr>
          <w:ilvl w:val="0"/>
          <w:numId w:val="1"/>
        </w:numPr>
        <w:spacing w:after="240"/>
        <w:rPr>
          <w:b/>
          <w:szCs w:val="22"/>
          <w:u w:val="single"/>
        </w:rPr>
      </w:pPr>
      <w:r w:rsidRPr="0018503B">
        <w:rPr>
          <w:b/>
          <w:szCs w:val="22"/>
          <w:u w:val="single"/>
        </w:rPr>
        <w:t>Transaction</w:t>
      </w:r>
    </w:p>
    <w:p w:rsidR="009F6838" w:rsidRPr="0018503B" w:rsidRDefault="009F6838" w:rsidP="004E69EA">
      <w:pPr>
        <w:keepNext/>
        <w:numPr>
          <w:ilvl w:val="1"/>
          <w:numId w:val="1"/>
        </w:numPr>
        <w:tabs>
          <w:tab w:val="clear" w:pos="792"/>
        </w:tabs>
        <w:autoSpaceDE w:val="0"/>
        <w:autoSpaceDN w:val="0"/>
        <w:adjustRightInd w:val="0"/>
        <w:spacing w:after="240"/>
        <w:ind w:left="720" w:hanging="720"/>
        <w:rPr>
          <w:szCs w:val="22"/>
          <w:u w:val="single"/>
        </w:rPr>
      </w:pPr>
      <w:r w:rsidRPr="0018503B">
        <w:rPr>
          <w:szCs w:val="22"/>
          <w:u w:val="single"/>
        </w:rPr>
        <w:t>Product</w:t>
      </w:r>
    </w:p>
    <w:p w:rsidR="009F2C66" w:rsidRPr="0018503B" w:rsidRDefault="0029412C" w:rsidP="0029412C">
      <w:pPr>
        <w:numPr>
          <w:ilvl w:val="0"/>
          <w:numId w:val="2"/>
        </w:numPr>
        <w:tabs>
          <w:tab w:val="left" w:pos="720"/>
        </w:tabs>
        <w:autoSpaceDE w:val="0"/>
        <w:autoSpaceDN w:val="0"/>
        <w:adjustRightInd w:val="0"/>
        <w:spacing w:after="240"/>
        <w:jc w:val="both"/>
        <w:rPr>
          <w:szCs w:val="22"/>
        </w:rPr>
      </w:pPr>
      <w:r w:rsidRPr="0018503B">
        <w:rPr>
          <w:szCs w:val="22"/>
        </w:rPr>
        <w:t>Seller shall sell and Buyer shall receive and purchase, t</w:t>
      </w:r>
      <w:r w:rsidR="009F2C66" w:rsidRPr="0018503B">
        <w:rPr>
          <w:szCs w:val="22"/>
        </w:rPr>
        <w:t>he RA</w:t>
      </w:r>
      <w:r w:rsidR="0021074D" w:rsidRPr="0018503B">
        <w:rPr>
          <w:szCs w:val="22"/>
        </w:rPr>
        <w:t xml:space="preserve"> Attributes</w:t>
      </w:r>
      <w:r w:rsidR="00957EEC" w:rsidRPr="0018503B">
        <w:rPr>
          <w:szCs w:val="22"/>
        </w:rPr>
        <w:t xml:space="preserve"> and</w:t>
      </w:r>
      <w:r w:rsidR="003D1557" w:rsidRPr="0018503B">
        <w:rPr>
          <w:szCs w:val="22"/>
        </w:rPr>
        <w:t xml:space="preserve"> </w:t>
      </w:r>
      <w:r w:rsidR="0028417A" w:rsidRPr="0018503B">
        <w:rPr>
          <w:szCs w:val="22"/>
        </w:rPr>
        <w:t xml:space="preserve">Local RA </w:t>
      </w:r>
      <w:r w:rsidR="00D424B2" w:rsidRPr="0018503B">
        <w:rPr>
          <w:szCs w:val="22"/>
        </w:rPr>
        <w:t>Attributes</w:t>
      </w:r>
      <w:r w:rsidR="009F2C66" w:rsidRPr="0018503B">
        <w:rPr>
          <w:szCs w:val="22"/>
        </w:rPr>
        <w:t xml:space="preserve"> of the Units</w:t>
      </w:r>
      <w:r w:rsidR="00D40FB6" w:rsidRPr="0018503B">
        <w:rPr>
          <w:szCs w:val="22"/>
        </w:rPr>
        <w:t xml:space="preserve"> identified in Appendix A (collectively</w:t>
      </w:r>
      <w:r w:rsidR="00687D67" w:rsidRPr="0018503B">
        <w:rPr>
          <w:szCs w:val="22"/>
        </w:rPr>
        <w:t>,</w:t>
      </w:r>
      <w:r w:rsidR="00D40FB6" w:rsidRPr="0018503B">
        <w:rPr>
          <w:szCs w:val="22"/>
        </w:rPr>
        <w:t xml:space="preserve"> the “Product”) and </w:t>
      </w:r>
      <w:r w:rsidRPr="0018503B">
        <w:rPr>
          <w:szCs w:val="22"/>
        </w:rPr>
        <w:t xml:space="preserve">Seller shall </w:t>
      </w:r>
      <w:r w:rsidR="00D40FB6" w:rsidRPr="0018503B">
        <w:rPr>
          <w:szCs w:val="22"/>
        </w:rPr>
        <w:t>deliver</w:t>
      </w:r>
      <w:r w:rsidRPr="0018503B">
        <w:rPr>
          <w:szCs w:val="22"/>
        </w:rPr>
        <w:t xml:space="preserve"> the Product</w:t>
      </w:r>
      <w:r w:rsidR="009F2C66" w:rsidRPr="0018503B">
        <w:rPr>
          <w:szCs w:val="22"/>
        </w:rPr>
        <w:t xml:space="preserve"> as</w:t>
      </w:r>
      <w:r w:rsidR="0021074D" w:rsidRPr="0018503B">
        <w:rPr>
          <w:szCs w:val="22"/>
        </w:rPr>
        <w:t xml:space="preserve"> </w:t>
      </w:r>
      <w:r w:rsidR="00DA6F3A">
        <w:rPr>
          <w:szCs w:val="22"/>
        </w:rPr>
        <w:t>described</w:t>
      </w:r>
      <w:r w:rsidR="007170A2" w:rsidRPr="0018503B">
        <w:rPr>
          <w:szCs w:val="22"/>
        </w:rPr>
        <w:t xml:space="preserve"> </w:t>
      </w:r>
      <w:r w:rsidR="00B37E83" w:rsidRPr="0018503B">
        <w:rPr>
          <w:szCs w:val="22"/>
        </w:rPr>
        <w:t>in Section 3.2</w:t>
      </w:r>
      <w:r w:rsidR="008A5C64">
        <w:rPr>
          <w:szCs w:val="22"/>
        </w:rPr>
        <w:t xml:space="preserve"> </w:t>
      </w:r>
      <w:r w:rsidR="0021074D" w:rsidRPr="0018503B">
        <w:rPr>
          <w:szCs w:val="22"/>
        </w:rPr>
        <w:t xml:space="preserve">below.  Product does </w:t>
      </w:r>
      <w:r w:rsidR="009F2C66" w:rsidRPr="0018503B">
        <w:rPr>
          <w:szCs w:val="22"/>
        </w:rPr>
        <w:t xml:space="preserve">not include any right to </w:t>
      </w:r>
      <w:r w:rsidR="00917198" w:rsidRPr="0018503B">
        <w:rPr>
          <w:szCs w:val="22"/>
        </w:rPr>
        <w:t xml:space="preserve">dispatch or receive </w:t>
      </w:r>
      <w:r w:rsidR="009F2C66" w:rsidRPr="0018503B">
        <w:rPr>
          <w:szCs w:val="22"/>
        </w:rPr>
        <w:t>the energy or a</w:t>
      </w:r>
      <w:r w:rsidR="00687D67" w:rsidRPr="0018503B">
        <w:rPr>
          <w:szCs w:val="22"/>
        </w:rPr>
        <w:t>ncillary services from the Unit</w:t>
      </w:r>
      <w:r w:rsidR="003A0D92" w:rsidRPr="0018503B">
        <w:rPr>
          <w:szCs w:val="22"/>
        </w:rPr>
        <w:t xml:space="preserve">.  Seller retains the right to sell any Product from a Unit in excess of </w:t>
      </w:r>
      <w:r w:rsidR="00917198" w:rsidRPr="0018503B">
        <w:rPr>
          <w:szCs w:val="22"/>
        </w:rPr>
        <w:t>its</w:t>
      </w:r>
      <w:r w:rsidR="003A0D92" w:rsidRPr="0018503B">
        <w:rPr>
          <w:szCs w:val="22"/>
        </w:rPr>
        <w:t xml:space="preserve"> Unit Contract Quantity</w:t>
      </w:r>
      <w:r w:rsidR="00285C86" w:rsidRPr="0018503B">
        <w:rPr>
          <w:szCs w:val="22"/>
        </w:rPr>
        <w:t>.</w:t>
      </w:r>
    </w:p>
    <w:p w:rsidR="0021074D" w:rsidRPr="0018503B" w:rsidRDefault="0029412C" w:rsidP="0029412C">
      <w:pPr>
        <w:numPr>
          <w:ilvl w:val="0"/>
          <w:numId w:val="2"/>
        </w:numPr>
        <w:tabs>
          <w:tab w:val="left" w:pos="720"/>
        </w:tabs>
        <w:autoSpaceDE w:val="0"/>
        <w:autoSpaceDN w:val="0"/>
        <w:adjustRightInd w:val="0"/>
        <w:spacing w:after="240"/>
        <w:jc w:val="both"/>
        <w:rPr>
          <w:szCs w:val="22"/>
        </w:rPr>
      </w:pPr>
      <w:r w:rsidRPr="0018503B">
        <w:rPr>
          <w:szCs w:val="22"/>
        </w:rPr>
        <w:t>The Parties agree that (i) the Contract Price for the Product shall not</w:t>
      </w:r>
      <w:r w:rsidR="009F2C66" w:rsidRPr="0018503B">
        <w:rPr>
          <w:szCs w:val="22"/>
        </w:rPr>
        <w:t xml:space="preserve"> change </w:t>
      </w:r>
      <w:r w:rsidRPr="0018503B">
        <w:rPr>
          <w:szCs w:val="22"/>
        </w:rPr>
        <w:t>if</w:t>
      </w:r>
      <w:r w:rsidR="009F2C66" w:rsidRPr="0018503B">
        <w:rPr>
          <w:szCs w:val="22"/>
        </w:rPr>
        <w:t xml:space="preserve"> the CAISO, CPUC or other Governmental Body </w:t>
      </w:r>
      <w:r w:rsidRPr="0018503B">
        <w:rPr>
          <w:szCs w:val="22"/>
        </w:rPr>
        <w:t>(A)</w:t>
      </w:r>
      <w:r w:rsidR="009F2C66" w:rsidRPr="0018503B">
        <w:rPr>
          <w:szCs w:val="22"/>
        </w:rPr>
        <w:t xml:space="preserve"> defines new or re-defines existing Local Capacity Areas </w:t>
      </w:r>
      <w:r w:rsidRPr="0018503B">
        <w:rPr>
          <w:szCs w:val="22"/>
        </w:rPr>
        <w:t>which</w:t>
      </w:r>
      <w:r w:rsidR="009F2C66" w:rsidRPr="0018503B">
        <w:rPr>
          <w:szCs w:val="22"/>
        </w:rPr>
        <w:t xml:space="preserve"> decrease</w:t>
      </w:r>
      <w:r w:rsidRPr="0018503B">
        <w:rPr>
          <w:szCs w:val="22"/>
        </w:rPr>
        <w:t>s</w:t>
      </w:r>
      <w:r w:rsidR="009F2C66" w:rsidRPr="0018503B">
        <w:rPr>
          <w:szCs w:val="22"/>
        </w:rPr>
        <w:t xml:space="preserve"> or increase</w:t>
      </w:r>
      <w:r w:rsidRPr="0018503B">
        <w:rPr>
          <w:szCs w:val="22"/>
        </w:rPr>
        <w:t>s</w:t>
      </w:r>
      <w:r w:rsidR="009F2C66" w:rsidRPr="0018503B">
        <w:rPr>
          <w:szCs w:val="22"/>
        </w:rPr>
        <w:t xml:space="preserve"> the amount of Local RA Attributes provided hereunder</w:t>
      </w:r>
      <w:r w:rsidRPr="0018503B">
        <w:rPr>
          <w:szCs w:val="22"/>
        </w:rPr>
        <w:t>, or (B)</w:t>
      </w:r>
      <w:r w:rsidR="009F2C66" w:rsidRPr="0018503B">
        <w:rPr>
          <w:szCs w:val="22"/>
        </w:rPr>
        <w:t xml:space="preserve"> defines new or re-defines existing Local Capacity Areas whereby the Units qualify for a Local Capacity Area</w:t>
      </w:r>
      <w:r w:rsidRPr="0018503B">
        <w:rPr>
          <w:szCs w:val="22"/>
        </w:rPr>
        <w:t xml:space="preserve"> and (ii) if the event in Section 3.1</w:t>
      </w:r>
      <w:r w:rsidR="0031492E" w:rsidRPr="0018503B">
        <w:rPr>
          <w:szCs w:val="22"/>
        </w:rPr>
        <w:t>(b)</w:t>
      </w:r>
      <w:r w:rsidRPr="0018503B">
        <w:rPr>
          <w:szCs w:val="22"/>
        </w:rPr>
        <w:t>(i)(B) occurs then</w:t>
      </w:r>
      <w:r w:rsidR="009F2C66" w:rsidRPr="0018503B">
        <w:rPr>
          <w:szCs w:val="22"/>
        </w:rPr>
        <w:t xml:space="preserve"> the Product shall include such Local RA Attributes.</w:t>
      </w:r>
    </w:p>
    <w:p w:rsidR="0021074D" w:rsidRPr="0018503B" w:rsidRDefault="003C2AD9" w:rsidP="004E69EA">
      <w:pPr>
        <w:keepNext/>
        <w:numPr>
          <w:ilvl w:val="1"/>
          <w:numId w:val="1"/>
        </w:numPr>
        <w:tabs>
          <w:tab w:val="clear" w:pos="792"/>
        </w:tabs>
        <w:autoSpaceDE w:val="0"/>
        <w:autoSpaceDN w:val="0"/>
        <w:adjustRightInd w:val="0"/>
        <w:spacing w:after="240"/>
        <w:ind w:left="720" w:hanging="720"/>
        <w:rPr>
          <w:szCs w:val="22"/>
          <w:u w:val="single"/>
        </w:rPr>
      </w:pPr>
      <w:r>
        <w:rPr>
          <w:szCs w:val="22"/>
          <w:u w:val="single"/>
        </w:rPr>
        <w:t xml:space="preserve">Seller’s </w:t>
      </w:r>
      <w:r w:rsidR="0021074D" w:rsidRPr="0018503B">
        <w:rPr>
          <w:szCs w:val="22"/>
          <w:u w:val="single"/>
        </w:rPr>
        <w:t>Firm</w:t>
      </w:r>
      <w:r>
        <w:rPr>
          <w:szCs w:val="22"/>
          <w:u w:val="single"/>
        </w:rPr>
        <w:t xml:space="preserve"> Quantity</w:t>
      </w:r>
      <w:r w:rsidR="0021074D" w:rsidRPr="0018503B">
        <w:rPr>
          <w:szCs w:val="22"/>
          <w:u w:val="single"/>
        </w:rPr>
        <w:t xml:space="preserve"> </w:t>
      </w:r>
    </w:p>
    <w:p w:rsidR="00995CF5" w:rsidRPr="001A42F0" w:rsidRDefault="003C2AD9" w:rsidP="001A42F0">
      <w:pPr>
        <w:spacing w:after="240"/>
        <w:ind w:left="720"/>
        <w:jc w:val="both"/>
        <w:rPr>
          <w:szCs w:val="22"/>
        </w:rPr>
      </w:pPr>
      <w:r w:rsidRPr="00F31AA4">
        <w:rPr>
          <w:szCs w:val="22"/>
        </w:rPr>
        <w:t>Seller shall provide Buyer with the Product from the Unit</w:t>
      </w:r>
      <w:r w:rsidR="00A02344">
        <w:rPr>
          <w:szCs w:val="22"/>
        </w:rPr>
        <w:t>(</w:t>
      </w:r>
      <w:r w:rsidRPr="00F31AA4">
        <w:rPr>
          <w:szCs w:val="22"/>
        </w:rPr>
        <w:t>s</w:t>
      </w:r>
      <w:r w:rsidR="00A02344">
        <w:rPr>
          <w:szCs w:val="22"/>
        </w:rPr>
        <w:t>)</w:t>
      </w:r>
      <w:r w:rsidRPr="00F31AA4">
        <w:rPr>
          <w:szCs w:val="22"/>
        </w:rPr>
        <w:t xml:space="preserve"> in the amount of the Contract Quantity.  Except as otherwise stated in this Section 3.2, if the Unit</w:t>
      </w:r>
      <w:r w:rsidR="00A02344">
        <w:rPr>
          <w:szCs w:val="22"/>
        </w:rPr>
        <w:t>(</w:t>
      </w:r>
      <w:r w:rsidRPr="00F31AA4">
        <w:rPr>
          <w:szCs w:val="22"/>
        </w:rPr>
        <w:t>s</w:t>
      </w:r>
      <w:r w:rsidR="00A02344">
        <w:rPr>
          <w:szCs w:val="22"/>
        </w:rPr>
        <w:t>)</w:t>
      </w:r>
      <w:r w:rsidRPr="00F31AA4">
        <w:rPr>
          <w:szCs w:val="22"/>
        </w:rPr>
        <w:t xml:space="preserve"> are not available to provide any portion of the Product for any reason</w:t>
      </w:r>
      <w:r w:rsidRPr="0021064C">
        <w:rPr>
          <w:szCs w:val="22"/>
        </w:rPr>
        <w:t xml:space="preserve">, except Force Majeure, including </w:t>
      </w:r>
      <w:r w:rsidRPr="0021064C">
        <w:rPr>
          <w:szCs w:val="22"/>
        </w:rPr>
        <w:lastRenderedPageBreak/>
        <w:t>without limitation any Outage or any adjustment of the RA Attributes and Local RA Attributes of any Unit</w:t>
      </w:r>
      <w:r w:rsidR="0029534F">
        <w:rPr>
          <w:szCs w:val="22"/>
        </w:rPr>
        <w:t>(s)</w:t>
      </w:r>
      <w:r w:rsidRPr="0021064C">
        <w:rPr>
          <w:szCs w:val="22"/>
        </w:rPr>
        <w:t>, Seller shall provide Buyer with Replacement Capacity from one or more Replacement Units pursuant to Section 5.1  If Seller fails to provide Buyer with Replacement Capacity pursuant to Section 5.1, then Seller shall be liable for damages and/or to indemnify Buyer for penalties, fines or costs pursuant to the terms of Section 5</w:t>
      </w:r>
      <w:r w:rsidR="001C2FE8">
        <w:rPr>
          <w:szCs w:val="22"/>
        </w:rPr>
        <w:t xml:space="preserve"> and Section 11</w:t>
      </w:r>
      <w:r w:rsidRPr="0021064C">
        <w:rPr>
          <w:szCs w:val="22"/>
        </w:rPr>
        <w:t xml:space="preserve">.  </w:t>
      </w:r>
      <w:r w:rsidR="001C2FE8" w:rsidRPr="001A42F0">
        <w:rPr>
          <w:szCs w:val="22"/>
        </w:rPr>
        <w:t xml:space="preserve">If marked as </w:t>
      </w:r>
      <w:r w:rsidR="001A42F0">
        <w:rPr>
          <w:szCs w:val="22"/>
        </w:rPr>
        <w:t>“</w:t>
      </w:r>
      <w:r w:rsidR="001C2FE8" w:rsidRPr="001A42F0">
        <w:rPr>
          <w:szCs w:val="22"/>
        </w:rPr>
        <w:t>applicable</w:t>
      </w:r>
      <w:r w:rsidR="001A42F0">
        <w:rPr>
          <w:szCs w:val="22"/>
        </w:rPr>
        <w:t>”</w:t>
      </w:r>
      <w:r w:rsidR="001C2FE8" w:rsidRPr="001A42F0">
        <w:rPr>
          <w:szCs w:val="22"/>
        </w:rPr>
        <w:t xml:space="preserve"> in Section 3.3, f</w:t>
      </w:r>
      <w:r w:rsidRPr="001A42F0">
        <w:rPr>
          <w:szCs w:val="22"/>
        </w:rPr>
        <w:t xml:space="preserve">or any day during the Delivery Period, Seller shall not be obligated to and shall not provide Buyer with Replacement Capacity pursuant to Section 5.1 for quantities above the quantities agreed to by the Parties and listed in Appendix B (such quantities shall be referred to as “Seller’s Firm Quantity”). </w:t>
      </w:r>
      <w:r w:rsidR="009248F8" w:rsidRPr="001A42F0">
        <w:rPr>
          <w:szCs w:val="22"/>
        </w:rPr>
        <w:t xml:space="preserve"> </w:t>
      </w:r>
      <w:r w:rsidR="001C2FE8" w:rsidRPr="001A42F0">
        <w:rPr>
          <w:szCs w:val="22"/>
        </w:rPr>
        <w:t>If marked as “</w:t>
      </w:r>
      <w:r w:rsidR="001A42F0">
        <w:rPr>
          <w:szCs w:val="22"/>
        </w:rPr>
        <w:t xml:space="preserve">NOT </w:t>
      </w:r>
      <w:r w:rsidR="001C2FE8" w:rsidRPr="001A42F0">
        <w:rPr>
          <w:szCs w:val="22"/>
        </w:rPr>
        <w:t xml:space="preserve">applicable” in Section 3.3, </w:t>
      </w:r>
      <w:r w:rsidR="009248F8" w:rsidRPr="001A42F0">
        <w:rPr>
          <w:szCs w:val="22"/>
        </w:rPr>
        <w:t xml:space="preserve">then Seller’s Firm Quantity shall equal the Contract Quantity during all times </w:t>
      </w:r>
      <w:r w:rsidR="001C2FE8" w:rsidRPr="001A42F0">
        <w:rPr>
          <w:szCs w:val="22"/>
        </w:rPr>
        <w:t>during</w:t>
      </w:r>
      <w:r w:rsidR="009248F8" w:rsidRPr="001A42F0">
        <w:rPr>
          <w:szCs w:val="22"/>
        </w:rPr>
        <w:t xml:space="preserve"> the Delivery Period.</w:t>
      </w:r>
    </w:p>
    <w:p w:rsidR="0021074D" w:rsidRPr="00B64B2C" w:rsidRDefault="00CB0EA6" w:rsidP="004E69EA">
      <w:pPr>
        <w:keepNext/>
        <w:numPr>
          <w:ilvl w:val="1"/>
          <w:numId w:val="1"/>
        </w:numPr>
        <w:tabs>
          <w:tab w:val="clear" w:pos="792"/>
        </w:tabs>
        <w:autoSpaceDE w:val="0"/>
        <w:autoSpaceDN w:val="0"/>
        <w:adjustRightInd w:val="0"/>
        <w:spacing w:after="240"/>
        <w:ind w:left="720" w:hanging="720"/>
        <w:rPr>
          <w:b/>
          <w:szCs w:val="22"/>
        </w:rPr>
      </w:pPr>
      <w:r w:rsidRPr="00CB0EA6">
        <w:rPr>
          <w:szCs w:val="22"/>
        </w:rPr>
        <w:t>Appendix B Election</w:t>
      </w:r>
      <w:r w:rsidR="001C2FE8">
        <w:rPr>
          <w:szCs w:val="22"/>
        </w:rPr>
        <w:t xml:space="preserve"> </w:t>
      </w:r>
      <w:r w:rsidR="001C2FE8" w:rsidRPr="001A42F0">
        <w:rPr>
          <w:b/>
          <w:szCs w:val="22"/>
          <w:highlight w:val="yellow"/>
        </w:rPr>
        <w:t xml:space="preserve">[NOTE TO BIDDER:  please select one </w:t>
      </w:r>
      <w:r w:rsidR="005C759B">
        <w:rPr>
          <w:b/>
          <w:szCs w:val="22"/>
          <w:highlight w:val="yellow"/>
        </w:rPr>
        <w:t xml:space="preserve">box </w:t>
      </w:r>
      <w:r w:rsidR="001C2FE8" w:rsidRPr="001A42F0">
        <w:rPr>
          <w:b/>
          <w:szCs w:val="22"/>
          <w:highlight w:val="yellow"/>
        </w:rPr>
        <w:t xml:space="preserve">based on </w:t>
      </w:r>
      <w:r w:rsidR="005C759B">
        <w:rPr>
          <w:b/>
          <w:szCs w:val="22"/>
          <w:highlight w:val="yellow"/>
        </w:rPr>
        <w:t>Proposal</w:t>
      </w:r>
      <w:r w:rsidR="001C2FE8" w:rsidRPr="001A42F0">
        <w:rPr>
          <w:b/>
          <w:szCs w:val="22"/>
          <w:highlight w:val="yellow"/>
        </w:rPr>
        <w:t>]</w:t>
      </w:r>
    </w:p>
    <w:p w:rsidR="009C677B" w:rsidRPr="001C2FE8" w:rsidRDefault="00995CF5">
      <w:pPr>
        <w:spacing w:after="240"/>
        <w:ind w:left="720"/>
        <w:jc w:val="both"/>
        <w:rPr>
          <w:szCs w:val="22"/>
        </w:rPr>
      </w:pPr>
      <w:r w:rsidRPr="00B64B2C">
        <w:rPr>
          <w:szCs w:val="22"/>
        </w:rPr>
        <w:fldChar w:fldCharType="begin">
          <w:ffData>
            <w:name w:val=""/>
            <w:enabled w:val="0"/>
            <w:calcOnExit w:val="0"/>
            <w:checkBox>
              <w:size w:val="18"/>
              <w:default w:val="0"/>
            </w:checkBox>
          </w:ffData>
        </w:fldChar>
      </w:r>
      <w:r w:rsidR="00CB0EA6" w:rsidRPr="001C2FE8">
        <w:rPr>
          <w:szCs w:val="22"/>
        </w:rPr>
        <w:instrText xml:space="preserve"> FORMCHECKBOX </w:instrText>
      </w:r>
      <w:r w:rsidRPr="00B64B2C">
        <w:rPr>
          <w:szCs w:val="22"/>
        </w:rPr>
      </w:r>
      <w:r w:rsidRPr="00B64B2C">
        <w:rPr>
          <w:szCs w:val="22"/>
        </w:rPr>
        <w:fldChar w:fldCharType="end"/>
      </w:r>
      <w:r w:rsidR="00CB0EA6" w:rsidRPr="001C2FE8">
        <w:rPr>
          <w:szCs w:val="22"/>
        </w:rPr>
        <w:t xml:space="preserve"> Appendix B</w:t>
      </w:r>
      <w:r w:rsidR="001C2FE8" w:rsidRPr="00B64B2C">
        <w:rPr>
          <w:szCs w:val="22"/>
        </w:rPr>
        <w:t xml:space="preserve"> is applicable</w:t>
      </w:r>
    </w:p>
    <w:p w:rsidR="009C677B" w:rsidRPr="001C2FE8" w:rsidRDefault="001C2FE8">
      <w:pPr>
        <w:spacing w:after="240"/>
        <w:ind w:left="720"/>
        <w:jc w:val="both"/>
        <w:rPr>
          <w:szCs w:val="22"/>
        </w:rPr>
      </w:pPr>
      <w:r w:rsidRPr="00B64B2C">
        <w:rPr>
          <w:szCs w:val="22"/>
        </w:rPr>
        <w:fldChar w:fldCharType="begin">
          <w:ffData>
            <w:name w:val=""/>
            <w:enabled w:val="0"/>
            <w:calcOnExit w:val="0"/>
            <w:checkBox>
              <w:size w:val="18"/>
              <w:default w:val="0"/>
            </w:checkBox>
          </w:ffData>
        </w:fldChar>
      </w:r>
      <w:r w:rsidRPr="001C2FE8">
        <w:rPr>
          <w:szCs w:val="22"/>
        </w:rPr>
        <w:instrText xml:space="preserve"> FORMCHECKBOX </w:instrText>
      </w:r>
      <w:r w:rsidRPr="00B64B2C">
        <w:rPr>
          <w:szCs w:val="22"/>
        </w:rPr>
      </w:r>
      <w:r w:rsidRPr="00B64B2C">
        <w:rPr>
          <w:szCs w:val="22"/>
        </w:rPr>
        <w:fldChar w:fldCharType="end"/>
      </w:r>
      <w:r w:rsidR="00CB0EA6" w:rsidRPr="00B64B2C">
        <w:rPr>
          <w:szCs w:val="22"/>
        </w:rPr>
        <w:t>Appendix B</w:t>
      </w:r>
      <w:r w:rsidRPr="00B64B2C">
        <w:rPr>
          <w:szCs w:val="22"/>
        </w:rPr>
        <w:t xml:space="preserve"> is NOT applicable</w:t>
      </w:r>
    </w:p>
    <w:p w:rsidR="0008510A" w:rsidRPr="0018503B" w:rsidRDefault="0008510A" w:rsidP="004E69EA">
      <w:pPr>
        <w:keepNext/>
        <w:numPr>
          <w:ilvl w:val="1"/>
          <w:numId w:val="1"/>
        </w:numPr>
        <w:tabs>
          <w:tab w:val="clear" w:pos="792"/>
        </w:tabs>
        <w:autoSpaceDE w:val="0"/>
        <w:autoSpaceDN w:val="0"/>
        <w:adjustRightInd w:val="0"/>
        <w:spacing w:after="240"/>
        <w:ind w:left="720" w:hanging="720"/>
        <w:rPr>
          <w:szCs w:val="22"/>
          <w:u w:val="single"/>
        </w:rPr>
      </w:pPr>
      <w:r w:rsidRPr="0018503B">
        <w:rPr>
          <w:szCs w:val="22"/>
          <w:u w:val="single"/>
        </w:rPr>
        <w:t>Delivery Period</w:t>
      </w:r>
    </w:p>
    <w:p w:rsidR="0008510A" w:rsidRPr="0018503B" w:rsidRDefault="0008510A" w:rsidP="0008510A">
      <w:pPr>
        <w:pStyle w:val="BodyTextIndent"/>
        <w:ind w:left="720"/>
        <w:jc w:val="both"/>
      </w:pPr>
      <w:r w:rsidRPr="0018503B">
        <w:t xml:space="preserve">The </w:t>
      </w:r>
      <w:r w:rsidR="0029412C" w:rsidRPr="0018503B">
        <w:t>“</w:t>
      </w:r>
      <w:r w:rsidRPr="0018503B">
        <w:t>Delivery Period</w:t>
      </w:r>
      <w:r w:rsidR="0029412C" w:rsidRPr="0018503B">
        <w:t>”</w:t>
      </w:r>
      <w:r w:rsidRPr="0018503B">
        <w:t xml:space="preserve"> shall be</w:t>
      </w:r>
      <w:r w:rsidR="00917198" w:rsidRPr="0018503B">
        <w:t xml:space="preserve"> the month</w:t>
      </w:r>
      <w:r w:rsidR="00A21400" w:rsidRPr="0018503B">
        <w:t>s</w:t>
      </w:r>
      <w:r w:rsidR="00917198" w:rsidRPr="0018503B">
        <w:t xml:space="preserve"> of</w:t>
      </w:r>
      <w:r w:rsidR="00C7662A" w:rsidRPr="0018503B">
        <w:t xml:space="preserve"> [        </w:t>
      </w:r>
      <w:r w:rsidR="00490D7C" w:rsidRPr="0018503B">
        <w:t>]</w:t>
      </w:r>
      <w:r w:rsidR="005B6B48" w:rsidRPr="0018503B">
        <w:t xml:space="preserve"> unless terminated earlier in accordance with the terms of this Agreement</w:t>
      </w:r>
      <w:r w:rsidRPr="0018503B">
        <w:t>.</w:t>
      </w:r>
    </w:p>
    <w:p w:rsidR="0008510A" w:rsidRPr="0018503B" w:rsidRDefault="0008510A" w:rsidP="004E69EA">
      <w:pPr>
        <w:keepNext/>
        <w:numPr>
          <w:ilvl w:val="1"/>
          <w:numId w:val="1"/>
        </w:numPr>
        <w:tabs>
          <w:tab w:val="clear" w:pos="792"/>
        </w:tabs>
        <w:autoSpaceDE w:val="0"/>
        <w:autoSpaceDN w:val="0"/>
        <w:adjustRightInd w:val="0"/>
        <w:spacing w:after="240"/>
        <w:ind w:left="720" w:hanging="720"/>
        <w:rPr>
          <w:szCs w:val="22"/>
          <w:u w:val="single"/>
        </w:rPr>
      </w:pPr>
      <w:r w:rsidRPr="0018503B">
        <w:rPr>
          <w:szCs w:val="22"/>
          <w:u w:val="single"/>
        </w:rPr>
        <w:t>Contract Quantity:</w:t>
      </w:r>
    </w:p>
    <w:p w:rsidR="00917198" w:rsidRPr="0018503B" w:rsidRDefault="005B1240" w:rsidP="004E69EA">
      <w:pPr>
        <w:pStyle w:val="BodyTextIndent"/>
        <w:keepNext/>
        <w:ind w:left="720"/>
        <w:jc w:val="both"/>
      </w:pPr>
      <w:r w:rsidRPr="0018503B">
        <w:t xml:space="preserve">During </w:t>
      </w:r>
      <w:r w:rsidR="00765EBB">
        <w:t xml:space="preserve">each month of </w:t>
      </w:r>
      <w:r w:rsidRPr="0018503B">
        <w:t>the Delivery Period</w:t>
      </w:r>
      <w:r w:rsidR="00896CB5" w:rsidRPr="0018503B">
        <w:t>,</w:t>
      </w:r>
      <w:r w:rsidRPr="0018503B">
        <w:t xml:space="preserve"> </w:t>
      </w:r>
      <w:r w:rsidR="00917198" w:rsidRPr="0018503B">
        <w:t>Seller shall provide the Product</w:t>
      </w:r>
      <w:r w:rsidR="00765EBB">
        <w:t xml:space="preserve"> for each Unit</w:t>
      </w:r>
      <w:r w:rsidR="00917198" w:rsidRPr="0018503B">
        <w:t xml:space="preserve"> in the total amount (“Contract Quantity”)</w:t>
      </w:r>
      <w:r w:rsidRPr="0018503B">
        <w:t>, as follows</w:t>
      </w:r>
      <w:r w:rsidR="00917198" w:rsidRPr="0018503B">
        <w:t>:</w:t>
      </w:r>
    </w:p>
    <w:p w:rsidR="00917198" w:rsidRPr="0018503B" w:rsidRDefault="00917198" w:rsidP="001A42F0">
      <w:pPr>
        <w:pStyle w:val="BodyTextIndent"/>
        <w:keepNext/>
        <w:spacing w:after="120"/>
        <w:ind w:left="0"/>
        <w:jc w:val="center"/>
      </w:pPr>
      <w:r w:rsidRPr="0018503B">
        <w:rPr>
          <w:b/>
          <w:bCs/>
        </w:rPr>
        <w:t>Contract Quantity</w:t>
      </w:r>
    </w:p>
    <w:tbl>
      <w:tblPr>
        <w:tblW w:w="0" w:type="auto"/>
        <w:jc w:val="center"/>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9"/>
        <w:gridCol w:w="1890"/>
        <w:gridCol w:w="1530"/>
        <w:gridCol w:w="1659"/>
      </w:tblGrid>
      <w:tr w:rsidR="001C201B" w:rsidRPr="0018503B" w:rsidTr="001A42F0">
        <w:trPr>
          <w:cantSplit/>
          <w:tblHeader/>
          <w:jc w:val="center"/>
        </w:trPr>
        <w:tc>
          <w:tcPr>
            <w:tcW w:w="2919" w:type="dxa"/>
            <w:shd w:val="clear" w:color="auto" w:fill="D9D9D9" w:themeFill="background1" w:themeFillShade="D9"/>
            <w:vAlign w:val="bottom"/>
          </w:tcPr>
          <w:p w:rsidR="001C201B" w:rsidRPr="0018503B" w:rsidRDefault="001C201B" w:rsidP="001C201B">
            <w:pPr>
              <w:spacing w:before="120" w:after="120"/>
              <w:jc w:val="center"/>
              <w:rPr>
                <w:b/>
                <w:szCs w:val="22"/>
              </w:rPr>
            </w:pPr>
            <w:r>
              <w:rPr>
                <w:b/>
                <w:szCs w:val="22"/>
              </w:rPr>
              <w:t>Unit Resource Name*</w:t>
            </w:r>
          </w:p>
        </w:tc>
        <w:tc>
          <w:tcPr>
            <w:tcW w:w="1890" w:type="dxa"/>
            <w:shd w:val="clear" w:color="auto" w:fill="D9D9D9" w:themeFill="background1" w:themeFillShade="D9"/>
            <w:vAlign w:val="bottom"/>
          </w:tcPr>
          <w:p w:rsidR="001C201B" w:rsidRPr="0018503B" w:rsidRDefault="001C201B" w:rsidP="001C201B">
            <w:pPr>
              <w:spacing w:before="120" w:after="120"/>
              <w:jc w:val="center"/>
              <w:rPr>
                <w:b/>
                <w:szCs w:val="22"/>
              </w:rPr>
            </w:pPr>
            <w:r>
              <w:rPr>
                <w:b/>
                <w:szCs w:val="22"/>
              </w:rPr>
              <w:t>CAISO Resource ID*</w:t>
            </w:r>
          </w:p>
        </w:tc>
        <w:tc>
          <w:tcPr>
            <w:tcW w:w="1530" w:type="dxa"/>
            <w:shd w:val="clear" w:color="auto" w:fill="D9D9D9" w:themeFill="background1" w:themeFillShade="D9"/>
            <w:vAlign w:val="bottom"/>
          </w:tcPr>
          <w:p w:rsidR="001C201B" w:rsidRPr="0018503B" w:rsidRDefault="001C201B" w:rsidP="001C201B">
            <w:pPr>
              <w:spacing w:before="120" w:after="120"/>
              <w:jc w:val="center"/>
              <w:rPr>
                <w:b/>
                <w:szCs w:val="22"/>
              </w:rPr>
            </w:pPr>
            <w:r w:rsidRPr="0018503B">
              <w:rPr>
                <w:b/>
                <w:szCs w:val="22"/>
              </w:rPr>
              <w:t>Month</w:t>
            </w:r>
          </w:p>
        </w:tc>
        <w:tc>
          <w:tcPr>
            <w:tcW w:w="1659" w:type="dxa"/>
            <w:shd w:val="clear" w:color="auto" w:fill="D9D9D9" w:themeFill="background1" w:themeFillShade="D9"/>
            <w:vAlign w:val="bottom"/>
          </w:tcPr>
          <w:p w:rsidR="001C201B" w:rsidRPr="0018503B" w:rsidRDefault="001C201B" w:rsidP="001C201B">
            <w:pPr>
              <w:spacing w:before="120" w:after="120"/>
              <w:jc w:val="center"/>
              <w:rPr>
                <w:b/>
                <w:szCs w:val="22"/>
              </w:rPr>
            </w:pPr>
            <w:r w:rsidRPr="0018503B">
              <w:rPr>
                <w:b/>
                <w:bCs/>
                <w:szCs w:val="22"/>
              </w:rPr>
              <w:t>Quantity</w:t>
            </w:r>
            <w:r>
              <w:rPr>
                <w:b/>
                <w:bCs/>
                <w:szCs w:val="22"/>
              </w:rPr>
              <w:t xml:space="preserve"> (MW)</w:t>
            </w:r>
          </w:p>
        </w:tc>
      </w:tr>
      <w:tr w:rsidR="001C201B" w:rsidRPr="0018503B" w:rsidTr="001A42F0">
        <w:trPr>
          <w:cantSplit/>
          <w:jc w:val="center"/>
        </w:trPr>
        <w:tc>
          <w:tcPr>
            <w:tcW w:w="2919" w:type="dxa"/>
          </w:tcPr>
          <w:p w:rsidR="001C201B" w:rsidRPr="0018503B" w:rsidRDefault="001C201B" w:rsidP="00A21400">
            <w:pPr>
              <w:pStyle w:val="BriefText"/>
              <w:spacing w:before="120" w:after="120" w:line="240" w:lineRule="auto"/>
              <w:jc w:val="both"/>
              <w:rPr>
                <w:rFonts w:ascii="Arial" w:hAnsi="Arial"/>
                <w:szCs w:val="22"/>
              </w:rPr>
            </w:pPr>
          </w:p>
        </w:tc>
        <w:tc>
          <w:tcPr>
            <w:tcW w:w="1890" w:type="dxa"/>
          </w:tcPr>
          <w:p w:rsidR="001C201B" w:rsidRPr="0018503B" w:rsidRDefault="001C201B" w:rsidP="00A21400">
            <w:pPr>
              <w:pStyle w:val="BriefText"/>
              <w:spacing w:before="120" w:after="120" w:line="240" w:lineRule="auto"/>
              <w:jc w:val="both"/>
              <w:rPr>
                <w:rFonts w:ascii="Arial" w:hAnsi="Arial"/>
                <w:szCs w:val="22"/>
              </w:rPr>
            </w:pPr>
          </w:p>
        </w:tc>
        <w:tc>
          <w:tcPr>
            <w:tcW w:w="1530" w:type="dxa"/>
            <w:vAlign w:val="center"/>
          </w:tcPr>
          <w:p w:rsidR="001C201B" w:rsidRPr="0018503B" w:rsidRDefault="001C201B" w:rsidP="00A21400">
            <w:pPr>
              <w:pStyle w:val="BriefText"/>
              <w:spacing w:before="120" w:after="120" w:line="240" w:lineRule="auto"/>
              <w:jc w:val="both"/>
              <w:rPr>
                <w:rFonts w:ascii="Arial" w:hAnsi="Arial"/>
                <w:szCs w:val="22"/>
              </w:rPr>
            </w:pPr>
          </w:p>
        </w:tc>
        <w:tc>
          <w:tcPr>
            <w:tcW w:w="1659" w:type="dxa"/>
            <w:vAlign w:val="center"/>
          </w:tcPr>
          <w:p w:rsidR="001C201B" w:rsidRPr="0018503B" w:rsidRDefault="001C201B" w:rsidP="002C07A1">
            <w:pPr>
              <w:spacing w:before="120" w:after="120"/>
              <w:jc w:val="center"/>
              <w:rPr>
                <w:szCs w:val="22"/>
              </w:rPr>
            </w:pPr>
          </w:p>
        </w:tc>
      </w:tr>
      <w:tr w:rsidR="001C201B" w:rsidRPr="0018503B" w:rsidTr="001A42F0">
        <w:trPr>
          <w:cantSplit/>
          <w:jc w:val="center"/>
        </w:trPr>
        <w:tc>
          <w:tcPr>
            <w:tcW w:w="7998" w:type="dxa"/>
            <w:gridSpan w:val="4"/>
            <w:vAlign w:val="center"/>
          </w:tcPr>
          <w:p w:rsidR="001C201B" w:rsidRPr="001A42F0" w:rsidRDefault="001C201B" w:rsidP="001A42F0">
            <w:pPr>
              <w:spacing w:before="120" w:after="120"/>
              <w:ind w:left="201"/>
              <w:rPr>
                <w:sz w:val="18"/>
                <w:szCs w:val="18"/>
              </w:rPr>
            </w:pPr>
            <w:r w:rsidRPr="001A42F0">
              <w:rPr>
                <w:sz w:val="18"/>
                <w:szCs w:val="18"/>
              </w:rPr>
              <w:t xml:space="preserve">* </w:t>
            </w:r>
            <w:r w:rsidRPr="001A42F0">
              <w:rPr>
                <w:i/>
                <w:sz w:val="18"/>
                <w:szCs w:val="18"/>
              </w:rPr>
              <w:t>Unit Resource Name</w:t>
            </w:r>
            <w:r w:rsidRPr="001A42F0">
              <w:rPr>
                <w:sz w:val="18"/>
                <w:szCs w:val="18"/>
              </w:rPr>
              <w:t xml:space="preserve"> &amp; </w:t>
            </w:r>
            <w:r w:rsidRPr="001A42F0">
              <w:rPr>
                <w:i/>
                <w:sz w:val="18"/>
                <w:szCs w:val="18"/>
              </w:rPr>
              <w:t>CAISO Resource ID</w:t>
            </w:r>
            <w:r w:rsidRPr="001A42F0">
              <w:rPr>
                <w:sz w:val="18"/>
                <w:szCs w:val="18"/>
              </w:rPr>
              <w:t xml:space="preserve"> should match a Unit described in Appendix A </w:t>
            </w:r>
          </w:p>
        </w:tc>
      </w:tr>
    </w:tbl>
    <w:p w:rsidR="005A006E" w:rsidRPr="0018503B" w:rsidRDefault="005A006E" w:rsidP="005A006E">
      <w:pPr>
        <w:keepNext/>
        <w:autoSpaceDE w:val="0"/>
        <w:autoSpaceDN w:val="0"/>
        <w:adjustRightInd w:val="0"/>
        <w:spacing w:after="240"/>
        <w:rPr>
          <w:szCs w:val="22"/>
          <w:u w:val="single"/>
        </w:rPr>
      </w:pPr>
    </w:p>
    <w:p w:rsidR="005B6B48" w:rsidRPr="0018503B" w:rsidRDefault="005B6B48" w:rsidP="004E69EA">
      <w:pPr>
        <w:keepNext/>
        <w:numPr>
          <w:ilvl w:val="1"/>
          <w:numId w:val="1"/>
        </w:numPr>
        <w:tabs>
          <w:tab w:val="clear" w:pos="792"/>
        </w:tabs>
        <w:autoSpaceDE w:val="0"/>
        <w:autoSpaceDN w:val="0"/>
        <w:adjustRightInd w:val="0"/>
        <w:spacing w:after="240"/>
        <w:ind w:left="720" w:hanging="720"/>
        <w:rPr>
          <w:szCs w:val="22"/>
          <w:u w:val="single"/>
        </w:rPr>
      </w:pPr>
      <w:r w:rsidRPr="0018503B">
        <w:rPr>
          <w:szCs w:val="22"/>
          <w:u w:val="single"/>
        </w:rPr>
        <w:t>Delivery of Product</w:t>
      </w:r>
    </w:p>
    <w:p w:rsidR="00687D67" w:rsidRPr="0018503B" w:rsidRDefault="00687D67" w:rsidP="00687D67">
      <w:pPr>
        <w:pStyle w:val="BodyTextIndent"/>
        <w:ind w:left="720"/>
        <w:jc w:val="both"/>
      </w:pPr>
      <w:r w:rsidRPr="0018503B">
        <w:t xml:space="preserve">Seller shall provide Buyer with the Contract Quantity for each </w:t>
      </w:r>
      <w:r w:rsidR="00765EBB">
        <w:t xml:space="preserve">day in each </w:t>
      </w:r>
      <w:r w:rsidRPr="0018503B">
        <w:t>Monthly Delivery Period</w:t>
      </w:r>
      <w:r w:rsidR="00285C86" w:rsidRPr="0018503B">
        <w:t xml:space="preserve"> consistent with the following:</w:t>
      </w:r>
    </w:p>
    <w:p w:rsidR="00687D67" w:rsidRPr="0018503B" w:rsidRDefault="00687D67" w:rsidP="002B2FF1">
      <w:pPr>
        <w:numPr>
          <w:ilvl w:val="0"/>
          <w:numId w:val="4"/>
        </w:numPr>
        <w:tabs>
          <w:tab w:val="clear" w:pos="1080"/>
          <w:tab w:val="left" w:pos="720"/>
          <w:tab w:val="num" w:pos="1170"/>
        </w:tabs>
        <w:autoSpaceDE w:val="0"/>
        <w:autoSpaceDN w:val="0"/>
        <w:adjustRightInd w:val="0"/>
        <w:spacing w:after="240"/>
        <w:ind w:left="1170" w:hanging="450"/>
        <w:jc w:val="both"/>
        <w:rPr>
          <w:szCs w:val="22"/>
        </w:rPr>
      </w:pPr>
      <w:r w:rsidRPr="0018503B">
        <w:rPr>
          <w:szCs w:val="22"/>
        </w:rPr>
        <w:t xml:space="preserve">Seller shall, on a timely basis, submit, or cause each Unit's SC to submit, Supply Plans to identify and confirm the Unit Quantity </w:t>
      </w:r>
      <w:r w:rsidR="00765EBB">
        <w:rPr>
          <w:szCs w:val="22"/>
        </w:rPr>
        <w:t xml:space="preserve">for each Unit </w:t>
      </w:r>
      <w:r w:rsidRPr="0018503B">
        <w:rPr>
          <w:szCs w:val="22"/>
        </w:rPr>
        <w:t>provided to Buyer so that the total amount of Unit Quantity identified and confirmed equals the Contract Quantity</w:t>
      </w:r>
      <w:r w:rsidR="003C2AD9">
        <w:rPr>
          <w:szCs w:val="22"/>
        </w:rPr>
        <w:t xml:space="preserve"> for each Unit</w:t>
      </w:r>
      <w:r w:rsidRPr="0018503B">
        <w:rPr>
          <w:szCs w:val="22"/>
        </w:rPr>
        <w:t>, unless specifically requested not to do so by the Buyer</w:t>
      </w:r>
      <w:r w:rsidR="00FE0B40" w:rsidRPr="0018503B">
        <w:rPr>
          <w:szCs w:val="22"/>
        </w:rPr>
        <w:t xml:space="preserve"> pursuant to Section </w:t>
      </w:r>
      <w:r w:rsidR="007C43C7" w:rsidRPr="0018503B">
        <w:rPr>
          <w:szCs w:val="22"/>
        </w:rPr>
        <w:t>3.9</w:t>
      </w:r>
      <w:r w:rsidR="00366EED" w:rsidRPr="0018503B">
        <w:rPr>
          <w:szCs w:val="22"/>
        </w:rPr>
        <w:t>, and;</w:t>
      </w:r>
    </w:p>
    <w:p w:rsidR="00687D67" w:rsidRPr="0018503B" w:rsidRDefault="00687D67" w:rsidP="002B2FF1">
      <w:pPr>
        <w:numPr>
          <w:ilvl w:val="0"/>
          <w:numId w:val="4"/>
        </w:numPr>
        <w:tabs>
          <w:tab w:val="clear" w:pos="1080"/>
          <w:tab w:val="left" w:pos="720"/>
          <w:tab w:val="num" w:pos="1170"/>
        </w:tabs>
        <w:autoSpaceDE w:val="0"/>
        <w:autoSpaceDN w:val="0"/>
        <w:adjustRightInd w:val="0"/>
        <w:spacing w:after="240"/>
        <w:ind w:left="1170" w:hanging="450"/>
        <w:jc w:val="both"/>
        <w:rPr>
          <w:szCs w:val="22"/>
        </w:rPr>
      </w:pPr>
      <w:r w:rsidRPr="0018503B">
        <w:rPr>
          <w:szCs w:val="22"/>
        </w:rPr>
        <w:t xml:space="preserve">Seller shall cause each Unit’s SC to submit written notification to Buyer, no later than fifteen (15) Business Days before the relevant deadline for any applicable RAR </w:t>
      </w:r>
      <w:r w:rsidRPr="0018503B">
        <w:rPr>
          <w:szCs w:val="22"/>
        </w:rPr>
        <w:lastRenderedPageBreak/>
        <w:t xml:space="preserve">or Local RAR Showing, that Buyer will be credited with the Unit Quantity for the Delivery Period in the Unit’s SC Supply Plan so that the total amount of Unit Quantity </w:t>
      </w:r>
      <w:r w:rsidR="00765EBB">
        <w:rPr>
          <w:szCs w:val="22"/>
        </w:rPr>
        <w:t xml:space="preserve">for each Unit </w:t>
      </w:r>
      <w:r w:rsidRPr="0018503B">
        <w:rPr>
          <w:szCs w:val="22"/>
        </w:rPr>
        <w:t>credited equals the Contract Quantity.</w:t>
      </w:r>
    </w:p>
    <w:p w:rsidR="00F02327" w:rsidRPr="0018503B" w:rsidRDefault="00F02327" w:rsidP="004E69EA">
      <w:pPr>
        <w:keepNext/>
        <w:numPr>
          <w:ilvl w:val="1"/>
          <w:numId w:val="1"/>
        </w:numPr>
        <w:tabs>
          <w:tab w:val="clear" w:pos="792"/>
        </w:tabs>
        <w:autoSpaceDE w:val="0"/>
        <w:autoSpaceDN w:val="0"/>
        <w:adjustRightInd w:val="0"/>
        <w:spacing w:after="240"/>
        <w:ind w:left="720" w:hanging="720"/>
        <w:rPr>
          <w:szCs w:val="22"/>
          <w:u w:val="single"/>
        </w:rPr>
      </w:pPr>
      <w:r w:rsidRPr="0018503B">
        <w:rPr>
          <w:szCs w:val="22"/>
          <w:u w:val="single"/>
        </w:rPr>
        <w:t>CAISO Offer Requirements</w:t>
      </w:r>
    </w:p>
    <w:p w:rsidR="00F02327" w:rsidRPr="0018503B" w:rsidRDefault="00F02327" w:rsidP="00F02327">
      <w:pPr>
        <w:tabs>
          <w:tab w:val="left" w:pos="720"/>
        </w:tabs>
        <w:spacing w:after="240"/>
        <w:ind w:left="720"/>
        <w:jc w:val="both"/>
        <w:rPr>
          <w:szCs w:val="22"/>
        </w:rPr>
      </w:pPr>
      <w:r w:rsidRPr="0018503B">
        <w:rPr>
          <w:szCs w:val="22"/>
        </w:rPr>
        <w:t xml:space="preserve">Subject to Buyer’s request under Section </w:t>
      </w:r>
      <w:r w:rsidR="007C43C7" w:rsidRPr="0018503B">
        <w:rPr>
          <w:szCs w:val="22"/>
        </w:rPr>
        <w:t>3.9(a)</w:t>
      </w:r>
      <w:r w:rsidRPr="0018503B">
        <w:rPr>
          <w:szCs w:val="22"/>
        </w:rPr>
        <w:t>, Seller shall</w:t>
      </w:r>
      <w:r w:rsidR="0029412C" w:rsidRPr="0018503B">
        <w:rPr>
          <w:szCs w:val="22"/>
        </w:rPr>
        <w:t>,</w:t>
      </w:r>
      <w:r w:rsidRPr="0018503B">
        <w:rPr>
          <w:szCs w:val="22"/>
        </w:rPr>
        <w:t xml:space="preserve"> or cause the Unit’s SC to</w:t>
      </w:r>
      <w:r w:rsidR="0029412C" w:rsidRPr="0018503B">
        <w:rPr>
          <w:szCs w:val="22"/>
        </w:rPr>
        <w:t>,</w:t>
      </w:r>
      <w:r w:rsidRPr="0018503B">
        <w:rPr>
          <w:szCs w:val="22"/>
        </w:rPr>
        <w:t xml:space="preserve"> schedule with, or make available to, the CAISO the Unit Quantity</w:t>
      </w:r>
      <w:r w:rsidR="003C2AD9">
        <w:rPr>
          <w:szCs w:val="22"/>
        </w:rPr>
        <w:t xml:space="preserve"> </w:t>
      </w:r>
      <w:r w:rsidRPr="0018503B">
        <w:rPr>
          <w:szCs w:val="22"/>
        </w:rPr>
        <w:t xml:space="preserve">for each Unit in compliance with the Tariff, and shall, or cause the Unit’s SC, owner, or operator, as applicable, to perform all obligations under the Tariff that are associated with the sale </w:t>
      </w:r>
      <w:r w:rsidR="0029412C" w:rsidRPr="0018503B">
        <w:rPr>
          <w:szCs w:val="22"/>
        </w:rPr>
        <w:t xml:space="preserve">and delivery </w:t>
      </w:r>
      <w:r w:rsidRPr="0018503B">
        <w:rPr>
          <w:szCs w:val="22"/>
        </w:rPr>
        <w:t>of Product hereunder.  Buyer shall have no liability for the failure of Seller or the failure of any Unit’s SC, owner, or operator to comply with such Tariff provisions, including any penalties, charges or fines imposed on Seller or the Unit’s SC, owner, or operator for such noncompliance.</w:t>
      </w:r>
    </w:p>
    <w:p w:rsidR="003D2B39" w:rsidRPr="0018503B" w:rsidRDefault="003D2B39" w:rsidP="004E69EA">
      <w:pPr>
        <w:keepNext/>
        <w:numPr>
          <w:ilvl w:val="1"/>
          <w:numId w:val="1"/>
        </w:numPr>
        <w:tabs>
          <w:tab w:val="clear" w:pos="792"/>
        </w:tabs>
        <w:autoSpaceDE w:val="0"/>
        <w:autoSpaceDN w:val="0"/>
        <w:adjustRightInd w:val="0"/>
        <w:spacing w:after="240"/>
        <w:ind w:left="720" w:hanging="720"/>
        <w:rPr>
          <w:szCs w:val="22"/>
          <w:u w:val="single"/>
        </w:rPr>
      </w:pPr>
      <w:r w:rsidRPr="0018503B">
        <w:rPr>
          <w:szCs w:val="22"/>
          <w:u w:val="single"/>
        </w:rPr>
        <w:t>Planned Outages</w:t>
      </w:r>
    </w:p>
    <w:p w:rsidR="003C2AD9" w:rsidRDefault="001C2FE8" w:rsidP="002E4672">
      <w:pPr>
        <w:numPr>
          <w:ilvl w:val="0"/>
          <w:numId w:val="11"/>
        </w:numPr>
        <w:tabs>
          <w:tab w:val="left" w:pos="720"/>
        </w:tabs>
        <w:autoSpaceDE w:val="0"/>
        <w:autoSpaceDN w:val="0"/>
        <w:adjustRightInd w:val="0"/>
        <w:spacing w:after="240"/>
        <w:jc w:val="both"/>
        <w:rPr>
          <w:szCs w:val="22"/>
        </w:rPr>
      </w:pPr>
      <w:r w:rsidRPr="008D6F9A">
        <w:rPr>
          <w:b/>
          <w:szCs w:val="22"/>
        </w:rPr>
        <w:t xml:space="preserve">[NOTE TO BIDDERS:  if appendix B does apply, insert the following: </w:t>
      </w:r>
      <w:r w:rsidR="003C2AD9" w:rsidRPr="001C2FE8">
        <w:rPr>
          <w:szCs w:val="22"/>
        </w:rPr>
        <w:t xml:space="preserve">As </w:t>
      </w:r>
      <w:r w:rsidR="003C2AD9">
        <w:rPr>
          <w:szCs w:val="22"/>
        </w:rPr>
        <w:t xml:space="preserve">of the Confirmation Effective Date, Seller and Buyer have agreed to all Planned Outages during the Delivery Period (such Planned Outages are incorporated into the quantities listing in </w:t>
      </w:r>
      <w:r w:rsidR="0079226B">
        <w:rPr>
          <w:szCs w:val="22"/>
        </w:rPr>
        <w:t xml:space="preserve">optional </w:t>
      </w:r>
      <w:r w:rsidR="003C2AD9">
        <w:rPr>
          <w:szCs w:val="22"/>
        </w:rPr>
        <w:t xml:space="preserve">Appendix B), and Seller shall, or cause the Unit’s SC to, submit any subsequent Seller initiated changes to the schedule of Planned Outages to Buyer at least five (5) Business Days before such change is to occur.  </w:t>
      </w:r>
      <w:r w:rsidR="003C2AD9" w:rsidRPr="00E37F2E">
        <w:rPr>
          <w:szCs w:val="22"/>
        </w:rPr>
        <w:t>Any such notification shall not affect Seller’s obligation to provide Replacement Capacity in accordance with Section 3.2</w:t>
      </w:r>
      <w:r w:rsidR="003C2AD9">
        <w:rPr>
          <w:szCs w:val="22"/>
        </w:rPr>
        <w:t>, and any changes to the Planned Outages listed in Appendix B after the Confirmation Effective Date shall not change or otherwise amend Seller’s Firm Quantities</w:t>
      </w:r>
      <w:r w:rsidR="003C2AD9" w:rsidRPr="00E37F2E">
        <w:rPr>
          <w:szCs w:val="22"/>
        </w:rPr>
        <w:t>.</w:t>
      </w:r>
      <w:r>
        <w:rPr>
          <w:szCs w:val="22"/>
        </w:rPr>
        <w:t xml:space="preserve">]  </w:t>
      </w:r>
    </w:p>
    <w:p w:rsidR="001C2FE8" w:rsidRPr="00052A6F" w:rsidRDefault="001C2FE8" w:rsidP="008D6F9A">
      <w:pPr>
        <w:tabs>
          <w:tab w:val="left" w:pos="720"/>
        </w:tabs>
        <w:autoSpaceDE w:val="0"/>
        <w:autoSpaceDN w:val="0"/>
        <w:adjustRightInd w:val="0"/>
        <w:spacing w:after="240"/>
        <w:ind w:left="1170"/>
        <w:jc w:val="both"/>
        <w:rPr>
          <w:szCs w:val="22"/>
        </w:rPr>
      </w:pPr>
      <w:r>
        <w:rPr>
          <w:b/>
          <w:szCs w:val="22"/>
        </w:rPr>
        <w:t>[NOTE TO BIDDERS:  if appendix B does not apply, insert the following:</w:t>
      </w:r>
      <w:r>
        <w:rPr>
          <w:szCs w:val="22"/>
        </w:rPr>
        <w:t xml:space="preserve">  </w:t>
      </w:r>
      <w:r w:rsidRPr="0018503B">
        <w:rPr>
          <w:szCs w:val="22"/>
        </w:rPr>
        <w:t xml:space="preserve">Seller shall, or cause the Unit’s SC to, submit a schedule of proposed Planned Outages during the Delivery Period (“Outage Schedule”), if any, to Buyer on each of the following dates during the Contract Term (i) the Confirmation Effective Date, (ii) </w:t>
      </w:r>
      <w:r w:rsidRPr="00052A6F">
        <w:rPr>
          <w:szCs w:val="22"/>
        </w:rPr>
        <w:t xml:space="preserve">thirty (30) days before the applicable year-ahead showing, and (iii) no later than January 1, April 1, July 1 and October 1 of each calendar year. Within twenty (20) Business Days after its receipt of an Outage Schedule, </w:t>
      </w:r>
      <w:r w:rsidRPr="00A05090">
        <w:rPr>
          <w:szCs w:val="22"/>
        </w:rPr>
        <w:t>Buyer shall notify Seller in writing of any reasonable request for changes to the Outage Schedule, and Seller shall, to the extent consistent with Good Utility Practices, accommodate Buyer's requests regarding the timing of any Pl</w:t>
      </w:r>
      <w:r>
        <w:rPr>
          <w:szCs w:val="22"/>
        </w:rPr>
        <w:t>anned Outage.</w:t>
      </w:r>
      <w:r w:rsidRPr="00A05090">
        <w:rPr>
          <w:szCs w:val="22"/>
        </w:rPr>
        <w:t xml:space="preserve"> Seller or the Unit’s SC shall notify Buyer within five (5) Business Days of any change to the Outage Schedule.  Any such notification shall not affect Seller’s obligation to provide Replacement Capacity in accordance with Section 3.2</w:t>
      </w:r>
      <w:r w:rsidR="0003680E">
        <w:rPr>
          <w:szCs w:val="22"/>
        </w:rPr>
        <w:t>, and any changes to the Planned Outages shall not change or amend Seller’s Firm Quantities.]</w:t>
      </w:r>
    </w:p>
    <w:p w:rsidR="007C43C7" w:rsidRPr="0018503B" w:rsidRDefault="007C43C7" w:rsidP="007C43C7">
      <w:pPr>
        <w:keepNext/>
        <w:numPr>
          <w:ilvl w:val="1"/>
          <w:numId w:val="1"/>
        </w:numPr>
        <w:tabs>
          <w:tab w:val="clear" w:pos="792"/>
        </w:tabs>
        <w:autoSpaceDE w:val="0"/>
        <w:autoSpaceDN w:val="0"/>
        <w:adjustRightInd w:val="0"/>
        <w:spacing w:after="240"/>
        <w:ind w:left="720" w:hanging="720"/>
        <w:rPr>
          <w:szCs w:val="22"/>
          <w:u w:val="single"/>
        </w:rPr>
      </w:pPr>
      <w:r w:rsidRPr="0018503B">
        <w:rPr>
          <w:szCs w:val="22"/>
          <w:u w:val="single"/>
        </w:rPr>
        <w:t>Unit Substitution</w:t>
      </w:r>
      <w:r w:rsidR="00C20D28" w:rsidRPr="0018503B">
        <w:rPr>
          <w:szCs w:val="22"/>
          <w:u w:val="single"/>
        </w:rPr>
        <w:t xml:space="preserve"> </w:t>
      </w:r>
    </w:p>
    <w:p w:rsidR="007C43C7" w:rsidRPr="0018503B" w:rsidRDefault="007C43C7" w:rsidP="0031492E">
      <w:pPr>
        <w:numPr>
          <w:ilvl w:val="0"/>
          <w:numId w:val="15"/>
        </w:numPr>
        <w:tabs>
          <w:tab w:val="left" w:pos="720"/>
        </w:tabs>
        <w:autoSpaceDE w:val="0"/>
        <w:autoSpaceDN w:val="0"/>
        <w:adjustRightInd w:val="0"/>
        <w:spacing w:after="240"/>
        <w:jc w:val="both"/>
        <w:rPr>
          <w:szCs w:val="22"/>
        </w:rPr>
      </w:pPr>
      <w:r w:rsidRPr="0018503B">
        <w:rPr>
          <w:szCs w:val="22"/>
          <w:u w:val="single"/>
        </w:rPr>
        <w:t>Substitute Capacity</w:t>
      </w:r>
      <w:r w:rsidRPr="0018503B">
        <w:rPr>
          <w:szCs w:val="22"/>
        </w:rPr>
        <w:t xml:space="preserve">:  </w:t>
      </w:r>
      <w:r w:rsidR="00532D25" w:rsidRPr="0018503B">
        <w:rPr>
          <w:szCs w:val="22"/>
        </w:rPr>
        <w:t>Subject to Seller approval and n</w:t>
      </w:r>
      <w:r w:rsidRPr="0018503B">
        <w:rPr>
          <w:szCs w:val="22"/>
        </w:rPr>
        <w:t>o later than five (5) Business Days before the relevant deadline for each RAR or Local RAR Showing, Buyer may request that Seller not,</w:t>
      </w:r>
      <w:r w:rsidR="0029412C" w:rsidRPr="0018503B">
        <w:rPr>
          <w:szCs w:val="22"/>
        </w:rPr>
        <w:t xml:space="preserve"> or cause each Unit’s SC not to</w:t>
      </w:r>
      <w:r w:rsidRPr="0018503B">
        <w:rPr>
          <w:szCs w:val="22"/>
        </w:rPr>
        <w:t>,</w:t>
      </w:r>
      <w:r w:rsidR="0029412C" w:rsidRPr="0018503B">
        <w:rPr>
          <w:szCs w:val="22"/>
        </w:rPr>
        <w:t xml:space="preserve"> list</w:t>
      </w:r>
      <w:r w:rsidRPr="0018503B">
        <w:rPr>
          <w:szCs w:val="22"/>
        </w:rPr>
        <w:t xml:space="preserve"> a portion or all of a Unit’s Unit Quantity on the Supply Plan.  The amount of Unit Quantity that is the subject of such a request shall be known as “Substitute Capacity” and, for purposes of calculating a Monthly Payment pursuant to Section 4.1, </w:t>
      </w:r>
      <w:r w:rsidR="00632C8F" w:rsidRPr="0018503B">
        <w:rPr>
          <w:szCs w:val="22"/>
        </w:rPr>
        <w:t>to the exten</w:t>
      </w:r>
      <w:r w:rsidR="00532D25" w:rsidRPr="0018503B">
        <w:rPr>
          <w:szCs w:val="22"/>
        </w:rPr>
        <w:t>t</w:t>
      </w:r>
      <w:r w:rsidR="00632C8F" w:rsidRPr="0018503B">
        <w:rPr>
          <w:szCs w:val="22"/>
        </w:rPr>
        <w:t xml:space="preserve"> provided, </w:t>
      </w:r>
      <w:r w:rsidR="0029412C" w:rsidRPr="0018503B">
        <w:rPr>
          <w:szCs w:val="22"/>
        </w:rPr>
        <w:t xml:space="preserve">such </w:t>
      </w:r>
      <w:r w:rsidR="0029412C" w:rsidRPr="0018503B">
        <w:rPr>
          <w:szCs w:val="22"/>
        </w:rPr>
        <w:lastRenderedPageBreak/>
        <w:t xml:space="preserve">Substitute Capacity shall </w:t>
      </w:r>
      <w:r w:rsidRPr="0018503B">
        <w:rPr>
          <w:szCs w:val="22"/>
        </w:rPr>
        <w:t>be deemed</w:t>
      </w:r>
      <w:r w:rsidR="0029412C" w:rsidRPr="0018503B">
        <w:rPr>
          <w:szCs w:val="22"/>
        </w:rPr>
        <w:t xml:space="preserve"> as</w:t>
      </w:r>
      <w:r w:rsidRPr="0018503B">
        <w:rPr>
          <w:szCs w:val="22"/>
        </w:rPr>
        <w:t xml:space="preserve"> Unit Quantity provided consistent with Section 3.6.</w:t>
      </w:r>
    </w:p>
    <w:p w:rsidR="007C43C7" w:rsidRPr="0018503B" w:rsidRDefault="007C43C7" w:rsidP="00173437">
      <w:pPr>
        <w:numPr>
          <w:ilvl w:val="0"/>
          <w:numId w:val="15"/>
        </w:numPr>
        <w:tabs>
          <w:tab w:val="left" w:pos="720"/>
        </w:tabs>
        <w:autoSpaceDE w:val="0"/>
        <w:autoSpaceDN w:val="0"/>
        <w:adjustRightInd w:val="0"/>
        <w:spacing w:after="240"/>
        <w:jc w:val="both"/>
        <w:rPr>
          <w:szCs w:val="22"/>
        </w:rPr>
      </w:pPr>
      <w:r w:rsidRPr="0018503B">
        <w:rPr>
          <w:szCs w:val="22"/>
          <w:u w:val="single"/>
        </w:rPr>
        <w:t>Seller’s Obligations With Respect to Substitute Capacity</w:t>
      </w:r>
      <w:r w:rsidRPr="0018503B">
        <w:rPr>
          <w:szCs w:val="22"/>
        </w:rPr>
        <w:t xml:space="preserve">:  If Buyer </w:t>
      </w:r>
      <w:r w:rsidR="0029412C" w:rsidRPr="0018503B">
        <w:rPr>
          <w:szCs w:val="22"/>
        </w:rPr>
        <w:t>r</w:t>
      </w:r>
      <w:r w:rsidRPr="0018503B">
        <w:rPr>
          <w:szCs w:val="22"/>
        </w:rPr>
        <w:t>equest</w:t>
      </w:r>
      <w:r w:rsidR="0029412C" w:rsidRPr="0018503B">
        <w:rPr>
          <w:szCs w:val="22"/>
        </w:rPr>
        <w:t>s</w:t>
      </w:r>
      <w:r w:rsidRPr="0018503B">
        <w:rPr>
          <w:szCs w:val="22"/>
        </w:rPr>
        <w:t xml:space="preserve"> Substitute Capacity, Seller shall (i) make such Substitute Capacity available to Buyer during the applicable Showing Month to allow Buyer to utilize the substitution rules in Section 40.9.4.2.1 of the Tariff (“Substitution Rules”) and (ii) take, or cause each Unit’s SC to take</w:t>
      </w:r>
      <w:r w:rsidR="0029412C" w:rsidRPr="0018503B">
        <w:rPr>
          <w:szCs w:val="22"/>
        </w:rPr>
        <w:t>,</w:t>
      </w:r>
      <w:r w:rsidRPr="0018503B">
        <w:rPr>
          <w:szCs w:val="22"/>
        </w:rPr>
        <w:t xml:space="preserve"> </w:t>
      </w:r>
      <w:r w:rsidR="0031492E" w:rsidRPr="0018503B">
        <w:rPr>
          <w:szCs w:val="22"/>
        </w:rPr>
        <w:t>all action</w:t>
      </w:r>
      <w:r w:rsidRPr="0018503B">
        <w:rPr>
          <w:szCs w:val="22"/>
        </w:rPr>
        <w:t xml:space="preserve"> to allow Buyer to utilize the Substitution Rules, including, but not limited to, ensuring that the Substitute Capacity will qualify for substitution under the Substitution Rules and providing Buyer with all information needed to utilize the Substitution Rules.</w:t>
      </w:r>
    </w:p>
    <w:p w:rsidR="007C43C7" w:rsidRPr="0018503B" w:rsidRDefault="007C43C7" w:rsidP="00C7662A">
      <w:pPr>
        <w:numPr>
          <w:ilvl w:val="0"/>
          <w:numId w:val="15"/>
        </w:numPr>
        <w:tabs>
          <w:tab w:val="left" w:pos="720"/>
        </w:tabs>
        <w:autoSpaceDE w:val="0"/>
        <w:autoSpaceDN w:val="0"/>
        <w:adjustRightInd w:val="0"/>
        <w:spacing w:after="240"/>
        <w:jc w:val="both"/>
        <w:rPr>
          <w:szCs w:val="22"/>
        </w:rPr>
      </w:pPr>
      <w:r w:rsidRPr="0018503B">
        <w:rPr>
          <w:szCs w:val="22"/>
        </w:rPr>
        <w:t xml:space="preserve">Seller agrees that all Substitute Capacity utilized </w:t>
      </w:r>
      <w:r w:rsidR="0029412C" w:rsidRPr="0018503B">
        <w:rPr>
          <w:szCs w:val="22"/>
        </w:rPr>
        <w:t xml:space="preserve">by Buyer </w:t>
      </w:r>
      <w:r w:rsidRPr="0018503B">
        <w:rPr>
          <w:szCs w:val="22"/>
        </w:rPr>
        <w:t xml:space="preserve">under the Substitution Rules is subject to the requirements identified in Section 3.7 as if </w:t>
      </w:r>
      <w:r w:rsidR="0029412C" w:rsidRPr="0018503B">
        <w:rPr>
          <w:szCs w:val="22"/>
        </w:rPr>
        <w:t>such Substitute C</w:t>
      </w:r>
      <w:r w:rsidRPr="0018503B">
        <w:rPr>
          <w:szCs w:val="22"/>
        </w:rPr>
        <w:t>apacity had been included on the Supply Plan.</w:t>
      </w:r>
    </w:p>
    <w:p w:rsidR="007C43C7" w:rsidRPr="0018503B" w:rsidRDefault="007C43C7" w:rsidP="00173437">
      <w:pPr>
        <w:numPr>
          <w:ilvl w:val="0"/>
          <w:numId w:val="15"/>
        </w:numPr>
        <w:tabs>
          <w:tab w:val="left" w:pos="720"/>
        </w:tabs>
        <w:autoSpaceDE w:val="0"/>
        <w:autoSpaceDN w:val="0"/>
        <w:adjustRightInd w:val="0"/>
        <w:spacing w:after="240"/>
        <w:jc w:val="both"/>
        <w:rPr>
          <w:szCs w:val="22"/>
        </w:rPr>
      </w:pPr>
      <w:r w:rsidRPr="0018503B">
        <w:rPr>
          <w:szCs w:val="22"/>
          <w:u w:val="single"/>
        </w:rPr>
        <w:t>Failure to Provide Substitute Capacity</w:t>
      </w:r>
      <w:r w:rsidRPr="0018503B">
        <w:rPr>
          <w:szCs w:val="22"/>
        </w:rPr>
        <w:t>:  If Seller fails to provide Substitute Capacity or Buyer is unable to utilize the Substitute Capacity under the Substitution Rules</w:t>
      </w:r>
      <w:r w:rsidR="003A0D92" w:rsidRPr="0018503B">
        <w:rPr>
          <w:szCs w:val="22"/>
        </w:rPr>
        <w:t xml:space="preserve"> due to Seller’s failure to fulfill its obligations under Section 3.9(b)(ii)</w:t>
      </w:r>
      <w:r w:rsidRPr="0018503B">
        <w:rPr>
          <w:szCs w:val="22"/>
        </w:rPr>
        <w:t>, then Seller shall pay for any and all Non-Availability Charges incurred by Buyer for such failure or inability to utilize the Substitution Rules; provided, that if Buyer is unable to utilize the Substitution Rules because the Substitute Capacity does not qualify for substitution under Section 40.9.4.2.1(1)(i) or (ii) of the Tariff, or a Planned Outage coincides with the substitution request, then Seller shall not be responsible for any such Non-Availability Charges described in this Section 3.9(</w:t>
      </w:r>
      <w:r w:rsidR="00765EBB">
        <w:rPr>
          <w:szCs w:val="22"/>
        </w:rPr>
        <w:t>d</w:t>
      </w:r>
      <w:r w:rsidRPr="0018503B">
        <w:rPr>
          <w:szCs w:val="22"/>
        </w:rPr>
        <w:t>) associated with such inability.</w:t>
      </w:r>
    </w:p>
    <w:p w:rsidR="00687D67" w:rsidRPr="0018503B" w:rsidRDefault="00687D67" w:rsidP="004E69EA">
      <w:pPr>
        <w:keepNext/>
        <w:numPr>
          <w:ilvl w:val="1"/>
          <w:numId w:val="1"/>
        </w:numPr>
        <w:tabs>
          <w:tab w:val="clear" w:pos="792"/>
        </w:tabs>
        <w:autoSpaceDE w:val="0"/>
        <w:autoSpaceDN w:val="0"/>
        <w:adjustRightInd w:val="0"/>
        <w:spacing w:after="240"/>
        <w:ind w:left="720" w:hanging="720"/>
        <w:rPr>
          <w:szCs w:val="22"/>
          <w:u w:val="single"/>
        </w:rPr>
      </w:pPr>
      <w:r w:rsidRPr="0018503B">
        <w:rPr>
          <w:szCs w:val="22"/>
          <w:u w:val="single"/>
        </w:rPr>
        <w:t>Buyer’s Re-Sale of Product</w:t>
      </w:r>
    </w:p>
    <w:p w:rsidR="00687D67" w:rsidRPr="0018503B" w:rsidRDefault="00687D67" w:rsidP="00687D67">
      <w:pPr>
        <w:pStyle w:val="BodyTextIndent"/>
        <w:ind w:left="720"/>
        <w:jc w:val="both"/>
      </w:pPr>
      <w:r w:rsidRPr="0018503B">
        <w:t>Buyer may re-sell all or a portion of the Product.</w:t>
      </w:r>
    </w:p>
    <w:p w:rsidR="005B6B48" w:rsidRPr="0018503B" w:rsidRDefault="005B6B48" w:rsidP="004E69EA">
      <w:pPr>
        <w:keepNext/>
        <w:numPr>
          <w:ilvl w:val="0"/>
          <w:numId w:val="1"/>
        </w:numPr>
        <w:spacing w:after="240"/>
        <w:rPr>
          <w:b/>
          <w:szCs w:val="22"/>
          <w:u w:val="single"/>
        </w:rPr>
      </w:pPr>
      <w:r w:rsidRPr="0018503B">
        <w:rPr>
          <w:b/>
          <w:szCs w:val="22"/>
          <w:u w:val="single"/>
        </w:rPr>
        <w:t>Payment</w:t>
      </w:r>
    </w:p>
    <w:p w:rsidR="0021074D" w:rsidRDefault="00D54FFC" w:rsidP="004E69EA">
      <w:pPr>
        <w:keepNext/>
        <w:numPr>
          <w:ilvl w:val="1"/>
          <w:numId w:val="1"/>
        </w:numPr>
        <w:tabs>
          <w:tab w:val="clear" w:pos="792"/>
        </w:tabs>
        <w:autoSpaceDE w:val="0"/>
        <w:autoSpaceDN w:val="0"/>
        <w:adjustRightInd w:val="0"/>
        <w:spacing w:after="240"/>
        <w:ind w:left="720" w:hanging="720"/>
        <w:rPr>
          <w:szCs w:val="22"/>
          <w:u w:val="single"/>
        </w:rPr>
      </w:pPr>
      <w:r w:rsidRPr="0018503B">
        <w:rPr>
          <w:szCs w:val="22"/>
          <w:u w:val="single"/>
        </w:rPr>
        <w:t>Monthly Payment</w:t>
      </w:r>
    </w:p>
    <w:p w:rsidR="004146F6" w:rsidRPr="00E37F2E" w:rsidRDefault="004146F6" w:rsidP="004146F6">
      <w:pPr>
        <w:pStyle w:val="BodyTextIndent"/>
        <w:ind w:left="720"/>
        <w:jc w:val="both"/>
      </w:pPr>
      <w:r>
        <w:t>In accordance with the terms of Article Six of the Master Agreement, Buyer shall make a Monthly Payment to Seller for each Unit after the applicable Monthly Delivery Period, as follows</w:t>
      </w:r>
      <w:r w:rsidRPr="00E37F2E">
        <w:t>:</w:t>
      </w:r>
      <w:r>
        <w:t xml:space="preserve"> </w:t>
      </w:r>
    </w:p>
    <w:p w:rsidR="004146F6" w:rsidRPr="00E37F2E" w:rsidRDefault="004146F6" w:rsidP="004146F6">
      <w:pPr>
        <w:pStyle w:val="BodyTextIndent"/>
        <w:ind w:left="720"/>
        <w:jc w:val="both"/>
      </w:pPr>
      <w:r w:rsidRPr="00E37F2E">
        <w:tab/>
      </w:r>
      <w:r>
        <w:br/>
      </w:r>
      <m:oMathPara>
        <m:oMath>
          <m:r>
            <w:rPr>
              <w:rFonts w:ascii="Cambria Math" w:hAnsi="Cambria Math"/>
            </w:rPr>
            <m:t>Monthly Payment=</m:t>
          </m:r>
          <m:nary>
            <m:naryPr>
              <m:chr m:val="∑"/>
              <m:grow m:val="1"/>
              <m:ctrlPr>
                <w:rPr>
                  <w:rFonts w:ascii="Cambria Math" w:hAnsi="Cambria Math"/>
                  <w:sz w:val="24"/>
                  <w:szCs w:val="24"/>
                </w:rPr>
              </m:ctrlPr>
            </m:naryPr>
            <m:sub>
              <m:r>
                <w:rPr>
                  <w:rFonts w:ascii="Cambria Math" w:hAnsi="Cambria Math"/>
                </w:rPr>
                <m:t>n=1</m:t>
              </m:r>
            </m:sub>
            <m:sup>
              <m:r>
                <w:rPr>
                  <w:rFonts w:ascii="Cambria Math" w:hAnsi="Cambria Math"/>
                </w:rPr>
                <m:t>d</m:t>
              </m:r>
            </m:sup>
            <m:e>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rPr>
                        <m:t>A</m:t>
                      </m:r>
                    </m:e>
                    <m:sub>
                      <m:r>
                        <w:rPr>
                          <w:rFonts w:ascii="Cambria Math" w:hAnsi="Cambria Math"/>
                        </w:rPr>
                        <m:t>n</m:t>
                      </m:r>
                    </m:sub>
                  </m:sSub>
                  <m:r>
                    <w:rPr>
                      <w:rFonts w:ascii="Cambria Math" w:hAnsi="Cambria Math"/>
                    </w:rPr>
                    <m:t>*</m:t>
                  </m:r>
                  <m:sSub>
                    <m:sSubPr>
                      <m:ctrlPr>
                        <w:rPr>
                          <w:rFonts w:ascii="Cambria Math" w:hAnsi="Cambria Math"/>
                          <w:sz w:val="24"/>
                          <w:szCs w:val="24"/>
                        </w:rPr>
                      </m:ctrlPr>
                    </m:sSubPr>
                    <m:e>
                      <m:r>
                        <w:rPr>
                          <w:rFonts w:ascii="Cambria Math" w:hAnsi="Cambria Math"/>
                        </w:rPr>
                        <m:t>B</m:t>
                      </m:r>
                    </m:e>
                    <m:sub>
                      <m:r>
                        <w:rPr>
                          <w:rFonts w:ascii="Cambria Math" w:hAnsi="Cambria Math"/>
                        </w:rPr>
                        <m:t>n</m:t>
                      </m:r>
                    </m:sub>
                  </m:sSub>
                  <m:r>
                    <w:rPr>
                      <w:rFonts w:ascii="Cambria Math" w:hAnsi="Cambria Math"/>
                    </w:rPr>
                    <m:t>*1000</m:t>
                  </m:r>
                </m:e>
              </m:d>
            </m:e>
          </m:nary>
          <m:r>
            <m:rPr>
              <m:sty m:val="p"/>
            </m:rPr>
            <w:br/>
          </m:r>
        </m:oMath>
      </m:oMathPara>
      <w:r w:rsidRPr="00E37F2E">
        <w:t xml:space="preserve"> </w:t>
      </w:r>
    </w:p>
    <w:p w:rsidR="004146F6" w:rsidRPr="00E37F2E" w:rsidRDefault="004146F6" w:rsidP="004146F6">
      <w:pPr>
        <w:pStyle w:val="BodyText2"/>
        <w:spacing w:after="240"/>
        <w:ind w:left="1080"/>
        <w:rPr>
          <w:b w:val="0"/>
          <w:szCs w:val="22"/>
        </w:rPr>
      </w:pPr>
      <w:proofErr w:type="gramStart"/>
      <w:r w:rsidRPr="00E37F2E">
        <w:rPr>
          <w:b w:val="0"/>
          <w:szCs w:val="22"/>
        </w:rPr>
        <w:t>where</w:t>
      </w:r>
      <w:proofErr w:type="gramEnd"/>
      <w:r w:rsidRPr="00E37F2E">
        <w:rPr>
          <w:b w:val="0"/>
          <w:szCs w:val="22"/>
        </w:rPr>
        <w:t>:</w:t>
      </w:r>
    </w:p>
    <w:p w:rsidR="004146F6" w:rsidRPr="00E37F2E" w:rsidRDefault="004146F6" w:rsidP="004146F6">
      <w:pPr>
        <w:pStyle w:val="BodyText2"/>
        <w:spacing w:after="240"/>
        <w:ind w:left="1080"/>
        <w:rPr>
          <w:b w:val="0"/>
          <w:szCs w:val="22"/>
        </w:rPr>
      </w:pPr>
      <w:r w:rsidRPr="00E37F2E">
        <w:rPr>
          <w:b w:val="0"/>
          <w:i/>
          <w:iCs/>
          <w:szCs w:val="22"/>
        </w:rPr>
        <w:t>A</w:t>
      </w:r>
      <w:r w:rsidRPr="00E37F2E">
        <w:rPr>
          <w:b w:val="0"/>
          <w:szCs w:val="22"/>
        </w:rPr>
        <w:t xml:space="preserve"> = applicable Contract Price (in $/kW-</w:t>
      </w:r>
      <w:r>
        <w:rPr>
          <w:b w:val="0"/>
          <w:szCs w:val="22"/>
        </w:rPr>
        <w:t>day</w:t>
      </w:r>
      <w:r w:rsidRPr="00E37F2E">
        <w:rPr>
          <w:b w:val="0"/>
          <w:szCs w:val="22"/>
        </w:rPr>
        <w:t xml:space="preserve">) </w:t>
      </w:r>
      <w:r>
        <w:rPr>
          <w:b w:val="0"/>
          <w:szCs w:val="22"/>
        </w:rPr>
        <w:t>for that calendar day</w:t>
      </w:r>
    </w:p>
    <w:p w:rsidR="004146F6" w:rsidRDefault="004146F6" w:rsidP="004146F6">
      <w:pPr>
        <w:pStyle w:val="BodyTextIndent"/>
        <w:ind w:left="1080"/>
        <w:jc w:val="both"/>
      </w:pPr>
      <w:r w:rsidRPr="00E37F2E">
        <w:rPr>
          <w:i/>
          <w:iCs/>
        </w:rPr>
        <w:t>B</w:t>
      </w:r>
      <w:r w:rsidRPr="00E37F2E">
        <w:t xml:space="preserve"> = Unit Quantity (in MW) delivered by Seller’s Unit </w:t>
      </w:r>
      <w:r>
        <w:t xml:space="preserve">in that calendar day </w:t>
      </w:r>
      <w:r w:rsidR="0003680E">
        <w:t xml:space="preserve">up to the Seller’s Firm Quantity </w:t>
      </w:r>
      <w:r>
        <w:t>(as used herein, “delivered” shall mean shown in the Supply Plan</w:t>
      </w:r>
      <w:r w:rsidR="00DC4F8E">
        <w:t>)</w:t>
      </w:r>
      <w:r w:rsidR="00D11A9A">
        <w:t>.</w:t>
      </w:r>
    </w:p>
    <w:p w:rsidR="004146F6" w:rsidRPr="00E37F2E" w:rsidRDefault="004146F6" w:rsidP="004146F6">
      <w:pPr>
        <w:pStyle w:val="BodyTextIndent"/>
        <w:ind w:left="1080"/>
        <w:jc w:val="both"/>
      </w:pPr>
      <w:r>
        <w:rPr>
          <w:i/>
          <w:iCs/>
        </w:rPr>
        <w:lastRenderedPageBreak/>
        <w:t>d = Total number of calendar days in the respective Monthly Delivery Period</w:t>
      </w:r>
    </w:p>
    <w:p w:rsidR="004146F6" w:rsidRPr="004146F6" w:rsidRDefault="004146F6" w:rsidP="004146F6">
      <w:pPr>
        <w:pStyle w:val="BodyTextIndent"/>
        <w:ind w:left="720"/>
        <w:jc w:val="both"/>
      </w:pPr>
      <w:r w:rsidRPr="00E37F2E">
        <w:t xml:space="preserve">The Monthly Payment calculation shall be rounded to two decimal places.  In no case shall a Unit's Monthly Payment </w:t>
      </w:r>
      <w:r>
        <w:t xml:space="preserve">(or any day in any Monthly Payment) </w:t>
      </w:r>
      <w:r w:rsidRPr="00E37F2E">
        <w:t>be less than zero.</w:t>
      </w:r>
    </w:p>
    <w:p w:rsidR="0021074D" w:rsidRPr="0018503B" w:rsidRDefault="0021074D" w:rsidP="004E69EA">
      <w:pPr>
        <w:pStyle w:val="Heading8"/>
        <w:rPr>
          <w:szCs w:val="22"/>
        </w:rPr>
      </w:pPr>
      <w:r w:rsidRPr="0018503B">
        <w:rPr>
          <w:szCs w:val="22"/>
        </w:rPr>
        <w:t>CAPACITY PRICE TABLE</w:t>
      </w:r>
    </w:p>
    <w:tbl>
      <w:tblPr>
        <w:tblW w:w="2782" w:type="pct"/>
        <w:jc w:val="center"/>
        <w:tblInd w:w="31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52"/>
        <w:gridCol w:w="3276"/>
      </w:tblGrid>
      <w:tr w:rsidR="00F9199A" w:rsidRPr="0018503B" w:rsidTr="00187DD8">
        <w:trPr>
          <w:jc w:val="center"/>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tcPr>
          <w:p w:rsidR="00F9199A" w:rsidRPr="0018503B" w:rsidRDefault="00F9199A" w:rsidP="00F9199A">
            <w:pPr>
              <w:spacing w:before="120" w:after="120"/>
              <w:jc w:val="center"/>
              <w:rPr>
                <w:b/>
                <w:szCs w:val="22"/>
              </w:rPr>
            </w:pPr>
            <w:r w:rsidRPr="0018503B">
              <w:rPr>
                <w:b/>
                <w:szCs w:val="22"/>
              </w:rPr>
              <w:t xml:space="preserve">Contract </w:t>
            </w:r>
            <w:r w:rsidR="00913729" w:rsidRPr="0018503B">
              <w:rPr>
                <w:b/>
                <w:szCs w:val="22"/>
              </w:rPr>
              <w:t>Month</w:t>
            </w:r>
          </w:p>
        </w:tc>
        <w:tc>
          <w:tcPr>
            <w:tcW w:w="3074" w:type="pct"/>
            <w:tcBorders>
              <w:top w:val="single" w:sz="4" w:space="0" w:color="auto"/>
              <w:left w:val="single" w:sz="4" w:space="0" w:color="auto"/>
              <w:bottom w:val="single" w:sz="4" w:space="0" w:color="auto"/>
              <w:right w:val="single" w:sz="4" w:space="0" w:color="auto"/>
            </w:tcBorders>
            <w:shd w:val="clear" w:color="auto" w:fill="auto"/>
          </w:tcPr>
          <w:p w:rsidR="00F9199A" w:rsidRPr="0018503B" w:rsidRDefault="00F9199A" w:rsidP="00F9199A">
            <w:pPr>
              <w:spacing w:before="120" w:after="120"/>
              <w:jc w:val="center"/>
              <w:rPr>
                <w:b/>
                <w:szCs w:val="22"/>
              </w:rPr>
            </w:pPr>
            <w:r w:rsidRPr="0018503B">
              <w:rPr>
                <w:b/>
                <w:szCs w:val="22"/>
              </w:rPr>
              <w:t>Capacity Price</w:t>
            </w:r>
          </w:p>
          <w:p w:rsidR="00F9199A" w:rsidRPr="0018503B" w:rsidRDefault="00F9199A" w:rsidP="00152E56">
            <w:pPr>
              <w:spacing w:before="120" w:after="120"/>
              <w:jc w:val="center"/>
              <w:rPr>
                <w:b/>
                <w:szCs w:val="22"/>
              </w:rPr>
            </w:pPr>
            <w:r w:rsidRPr="0018503B">
              <w:rPr>
                <w:b/>
                <w:szCs w:val="22"/>
              </w:rPr>
              <w:t>($/kW-</w:t>
            </w:r>
            <w:r w:rsidR="00152E56">
              <w:rPr>
                <w:b/>
                <w:szCs w:val="22"/>
              </w:rPr>
              <w:t>day</w:t>
            </w:r>
            <w:r w:rsidRPr="0018503B">
              <w:rPr>
                <w:b/>
                <w:szCs w:val="22"/>
              </w:rPr>
              <w:t>)</w:t>
            </w:r>
          </w:p>
        </w:tc>
      </w:tr>
      <w:tr w:rsidR="00187DD8" w:rsidRPr="0018503B" w:rsidTr="00187DD8">
        <w:trPr>
          <w:jc w:val="center"/>
        </w:trPr>
        <w:tc>
          <w:tcPr>
            <w:tcW w:w="1926" w:type="pct"/>
            <w:tcBorders>
              <w:top w:val="single" w:sz="4" w:space="0" w:color="auto"/>
              <w:left w:val="single" w:sz="4" w:space="0" w:color="auto"/>
              <w:bottom w:val="single" w:sz="4" w:space="0" w:color="auto"/>
              <w:right w:val="single" w:sz="4" w:space="0" w:color="auto"/>
            </w:tcBorders>
            <w:vAlign w:val="center"/>
          </w:tcPr>
          <w:p w:rsidR="00187DD8" w:rsidRPr="0018503B" w:rsidRDefault="00187DD8" w:rsidP="00975142">
            <w:pPr>
              <w:pStyle w:val="BriefText"/>
              <w:spacing w:before="120" w:after="120" w:line="240" w:lineRule="auto"/>
              <w:jc w:val="both"/>
              <w:rPr>
                <w:rFonts w:ascii="Arial" w:hAnsi="Arial"/>
                <w:szCs w:val="22"/>
              </w:rPr>
            </w:pPr>
          </w:p>
        </w:tc>
        <w:tc>
          <w:tcPr>
            <w:tcW w:w="3074" w:type="pct"/>
            <w:tcBorders>
              <w:top w:val="single" w:sz="4" w:space="0" w:color="auto"/>
              <w:left w:val="single" w:sz="4" w:space="0" w:color="auto"/>
              <w:bottom w:val="single" w:sz="4" w:space="0" w:color="auto"/>
              <w:right w:val="single" w:sz="4" w:space="0" w:color="auto"/>
            </w:tcBorders>
            <w:vAlign w:val="center"/>
          </w:tcPr>
          <w:p w:rsidR="00187DD8" w:rsidRPr="0018503B" w:rsidRDefault="00187DD8" w:rsidP="00C7662A">
            <w:pPr>
              <w:spacing w:before="120" w:after="120"/>
              <w:jc w:val="center"/>
              <w:rPr>
                <w:szCs w:val="22"/>
              </w:rPr>
            </w:pPr>
          </w:p>
        </w:tc>
      </w:tr>
    </w:tbl>
    <w:p w:rsidR="005A006E" w:rsidRPr="0018503B" w:rsidRDefault="005A006E" w:rsidP="005A006E">
      <w:pPr>
        <w:keepNext/>
        <w:autoSpaceDE w:val="0"/>
        <w:autoSpaceDN w:val="0"/>
        <w:adjustRightInd w:val="0"/>
        <w:spacing w:after="240"/>
        <w:rPr>
          <w:szCs w:val="22"/>
          <w:u w:val="single"/>
        </w:rPr>
      </w:pPr>
    </w:p>
    <w:p w:rsidR="0021074D" w:rsidRPr="0018503B" w:rsidRDefault="00052A6F" w:rsidP="004E69EA">
      <w:pPr>
        <w:keepNext/>
        <w:numPr>
          <w:ilvl w:val="1"/>
          <w:numId w:val="1"/>
        </w:numPr>
        <w:tabs>
          <w:tab w:val="clear" w:pos="792"/>
        </w:tabs>
        <w:autoSpaceDE w:val="0"/>
        <w:autoSpaceDN w:val="0"/>
        <w:adjustRightInd w:val="0"/>
        <w:spacing w:after="240"/>
        <w:ind w:left="720" w:hanging="720"/>
        <w:rPr>
          <w:szCs w:val="22"/>
          <w:u w:val="single"/>
        </w:rPr>
      </w:pPr>
      <w:r>
        <w:rPr>
          <w:szCs w:val="22"/>
          <w:u w:val="single"/>
        </w:rPr>
        <w:t>Reserved.</w:t>
      </w:r>
    </w:p>
    <w:p w:rsidR="0021074D" w:rsidRPr="0018503B" w:rsidRDefault="0021074D">
      <w:pPr>
        <w:pStyle w:val="listindent"/>
        <w:tabs>
          <w:tab w:val="clear" w:pos="2160"/>
          <w:tab w:val="left" w:pos="2340"/>
        </w:tabs>
        <w:ind w:left="720" w:firstLine="0"/>
        <w:jc w:val="both"/>
        <w:rPr>
          <w:sz w:val="22"/>
          <w:szCs w:val="22"/>
        </w:rPr>
      </w:pPr>
    </w:p>
    <w:p w:rsidR="0021074D" w:rsidRPr="0018503B" w:rsidRDefault="0021074D" w:rsidP="004E69EA">
      <w:pPr>
        <w:keepNext/>
        <w:numPr>
          <w:ilvl w:val="1"/>
          <w:numId w:val="1"/>
        </w:numPr>
        <w:tabs>
          <w:tab w:val="clear" w:pos="792"/>
        </w:tabs>
        <w:autoSpaceDE w:val="0"/>
        <w:autoSpaceDN w:val="0"/>
        <w:adjustRightInd w:val="0"/>
        <w:spacing w:after="240"/>
        <w:ind w:left="720" w:hanging="720"/>
        <w:rPr>
          <w:szCs w:val="22"/>
          <w:u w:val="single"/>
        </w:rPr>
      </w:pPr>
      <w:r w:rsidRPr="0018503B">
        <w:rPr>
          <w:szCs w:val="22"/>
          <w:u w:val="single"/>
        </w:rPr>
        <w:t xml:space="preserve">Allocation of Other Payments </w:t>
      </w:r>
      <w:r w:rsidR="00545386" w:rsidRPr="0018503B">
        <w:rPr>
          <w:szCs w:val="22"/>
          <w:u w:val="single"/>
        </w:rPr>
        <w:t>a</w:t>
      </w:r>
      <w:r w:rsidRPr="0018503B">
        <w:rPr>
          <w:szCs w:val="22"/>
          <w:u w:val="single"/>
        </w:rPr>
        <w:t>nd Costs</w:t>
      </w:r>
    </w:p>
    <w:p w:rsidR="00D40FB6" w:rsidRPr="0018503B" w:rsidRDefault="00545386" w:rsidP="001331C3">
      <w:pPr>
        <w:numPr>
          <w:ilvl w:val="0"/>
          <w:numId w:val="6"/>
        </w:numPr>
        <w:tabs>
          <w:tab w:val="left" w:pos="720"/>
        </w:tabs>
        <w:autoSpaceDE w:val="0"/>
        <w:autoSpaceDN w:val="0"/>
        <w:adjustRightInd w:val="0"/>
        <w:spacing w:after="240"/>
        <w:jc w:val="both"/>
        <w:rPr>
          <w:szCs w:val="22"/>
        </w:rPr>
      </w:pPr>
      <w:r w:rsidRPr="0018503B">
        <w:rPr>
          <w:szCs w:val="22"/>
        </w:rPr>
        <w:t xml:space="preserve">Seller </w:t>
      </w:r>
      <w:r w:rsidR="00D40FB6" w:rsidRPr="0018503B">
        <w:rPr>
          <w:szCs w:val="22"/>
        </w:rPr>
        <w:t>shall</w:t>
      </w:r>
      <w:r w:rsidRPr="0018503B">
        <w:rPr>
          <w:szCs w:val="22"/>
        </w:rPr>
        <w:t xml:space="preserve"> retain any revenues it may receive from </w:t>
      </w:r>
      <w:r w:rsidR="00D40FB6" w:rsidRPr="0018503B">
        <w:rPr>
          <w:szCs w:val="22"/>
        </w:rPr>
        <w:t>and pay all costs charged by</w:t>
      </w:r>
      <w:r w:rsidR="0031492E" w:rsidRPr="0018503B">
        <w:rPr>
          <w:szCs w:val="22"/>
        </w:rPr>
        <w:t>,</w:t>
      </w:r>
      <w:r w:rsidR="00D40FB6" w:rsidRPr="0018503B">
        <w:rPr>
          <w:szCs w:val="22"/>
        </w:rPr>
        <w:t xml:space="preserve"> the </w:t>
      </w:r>
      <w:r w:rsidRPr="0018503B">
        <w:rPr>
          <w:szCs w:val="22"/>
        </w:rPr>
        <w:t>CAISO or any other third party with respect to any Unit for (</w:t>
      </w:r>
      <w:r w:rsidR="00D40FB6" w:rsidRPr="0018503B">
        <w:rPr>
          <w:szCs w:val="22"/>
        </w:rPr>
        <w:t>i</w:t>
      </w:r>
      <w:r w:rsidR="00D003D2" w:rsidRPr="0018503B">
        <w:rPr>
          <w:szCs w:val="22"/>
        </w:rPr>
        <w:t>) start-up, shut</w:t>
      </w:r>
      <w:r w:rsidRPr="0018503B">
        <w:rPr>
          <w:szCs w:val="22"/>
        </w:rPr>
        <w:t>down, and minimum load costs, (</w:t>
      </w:r>
      <w:r w:rsidR="00D40FB6" w:rsidRPr="0018503B">
        <w:rPr>
          <w:szCs w:val="22"/>
        </w:rPr>
        <w:t>ii</w:t>
      </w:r>
      <w:r w:rsidRPr="0018503B">
        <w:rPr>
          <w:szCs w:val="22"/>
        </w:rPr>
        <w:t>) capacity revenue for ancillary services, (</w:t>
      </w:r>
      <w:r w:rsidR="00D40FB6" w:rsidRPr="0018503B">
        <w:rPr>
          <w:szCs w:val="22"/>
        </w:rPr>
        <w:t>iii</w:t>
      </w:r>
      <w:r w:rsidRPr="0018503B">
        <w:rPr>
          <w:szCs w:val="22"/>
        </w:rPr>
        <w:t xml:space="preserve">) energy sales, and </w:t>
      </w:r>
      <w:proofErr w:type="gramStart"/>
      <w:r w:rsidRPr="0018503B">
        <w:rPr>
          <w:szCs w:val="22"/>
        </w:rPr>
        <w:t>(</w:t>
      </w:r>
      <w:r w:rsidR="00D40FB6" w:rsidRPr="0018503B">
        <w:rPr>
          <w:szCs w:val="22"/>
        </w:rPr>
        <w:t>iv</w:t>
      </w:r>
      <w:r w:rsidRPr="0018503B">
        <w:rPr>
          <w:szCs w:val="22"/>
        </w:rPr>
        <w:t>) any</w:t>
      </w:r>
      <w:proofErr w:type="gramEnd"/>
      <w:r w:rsidRPr="0018503B">
        <w:rPr>
          <w:szCs w:val="22"/>
        </w:rPr>
        <w:t xml:space="preserve"> revenues for black start or reactive power services.  </w:t>
      </w:r>
      <w:r w:rsidR="00257AA3" w:rsidRPr="0018503B">
        <w:rPr>
          <w:szCs w:val="22"/>
        </w:rPr>
        <w:t xml:space="preserve">Seller shall indemnify, defend and hold Buyer harmless from and against all liabilities, damages, claims, losses, costs or expenses (including, without limitation, attorneys' fees) incurred by or brought against </w:t>
      </w:r>
      <w:r w:rsidR="00B90A37" w:rsidRPr="0018503B">
        <w:rPr>
          <w:szCs w:val="22"/>
        </w:rPr>
        <w:t>Buyer</w:t>
      </w:r>
      <w:r w:rsidR="00257AA3" w:rsidRPr="0018503B">
        <w:rPr>
          <w:szCs w:val="22"/>
        </w:rPr>
        <w:t xml:space="preserve"> in connec</w:t>
      </w:r>
      <w:r w:rsidR="00D40FB6" w:rsidRPr="0018503B">
        <w:rPr>
          <w:szCs w:val="22"/>
        </w:rPr>
        <w:t>tion with Environmental Costs.</w:t>
      </w:r>
    </w:p>
    <w:p w:rsidR="00D40FB6" w:rsidRPr="0018503B" w:rsidRDefault="00545386" w:rsidP="001331C3">
      <w:pPr>
        <w:numPr>
          <w:ilvl w:val="0"/>
          <w:numId w:val="6"/>
        </w:numPr>
        <w:tabs>
          <w:tab w:val="left" w:pos="720"/>
        </w:tabs>
        <w:autoSpaceDE w:val="0"/>
        <w:autoSpaceDN w:val="0"/>
        <w:adjustRightInd w:val="0"/>
        <w:spacing w:after="240"/>
        <w:jc w:val="both"/>
        <w:rPr>
          <w:szCs w:val="22"/>
        </w:rPr>
      </w:pPr>
      <w:r w:rsidRPr="0018503B">
        <w:rPr>
          <w:szCs w:val="22"/>
        </w:rPr>
        <w:t xml:space="preserve">Buyer shall be entitled to receive and retain all revenues associated with the </w:t>
      </w:r>
      <w:r w:rsidR="00D40FB6" w:rsidRPr="0018503B">
        <w:rPr>
          <w:szCs w:val="22"/>
        </w:rPr>
        <w:t xml:space="preserve">Contract Quantity </w:t>
      </w:r>
      <w:r w:rsidRPr="0018503B">
        <w:rPr>
          <w:szCs w:val="22"/>
        </w:rPr>
        <w:t>during the Delivery Period including any capacity or availability revenues from RMR Agreements for any Unit, Capacity Procurement Mechanism</w:t>
      </w:r>
      <w:r w:rsidR="00D40FB6" w:rsidRPr="0018503B">
        <w:rPr>
          <w:szCs w:val="22"/>
        </w:rPr>
        <w:t xml:space="preserve"> </w:t>
      </w:r>
      <w:r w:rsidRPr="0018503B">
        <w:rPr>
          <w:szCs w:val="22"/>
        </w:rPr>
        <w:t>(CPM)</w:t>
      </w:r>
      <w:r w:rsidR="00D40FB6" w:rsidRPr="0018503B">
        <w:rPr>
          <w:szCs w:val="22"/>
        </w:rPr>
        <w:t xml:space="preserve"> or its successor</w:t>
      </w:r>
      <w:r w:rsidRPr="0018503B">
        <w:rPr>
          <w:szCs w:val="22"/>
        </w:rPr>
        <w:t xml:space="preserve">, and Residual Unit Commitment </w:t>
      </w:r>
      <w:r w:rsidR="00D40FB6" w:rsidRPr="0018503B">
        <w:rPr>
          <w:szCs w:val="22"/>
        </w:rPr>
        <w:t xml:space="preserve">(RUC) </w:t>
      </w:r>
      <w:r w:rsidR="00D003D2" w:rsidRPr="0018503B">
        <w:rPr>
          <w:szCs w:val="22"/>
        </w:rPr>
        <w:t xml:space="preserve">Availability </w:t>
      </w:r>
      <w:r w:rsidR="00D40FB6" w:rsidRPr="0018503B">
        <w:rPr>
          <w:szCs w:val="22"/>
        </w:rPr>
        <w:t>P</w:t>
      </w:r>
      <w:r w:rsidRPr="0018503B">
        <w:rPr>
          <w:szCs w:val="22"/>
        </w:rPr>
        <w:t xml:space="preserve">ayments, </w:t>
      </w:r>
      <w:r w:rsidR="00D40FB6" w:rsidRPr="0018503B">
        <w:rPr>
          <w:szCs w:val="22"/>
        </w:rPr>
        <w:t xml:space="preserve">or its successor, </w:t>
      </w:r>
      <w:r w:rsidRPr="0018503B">
        <w:rPr>
          <w:szCs w:val="22"/>
        </w:rPr>
        <w:t xml:space="preserve">but excluding payments described in </w:t>
      </w:r>
      <w:r w:rsidR="00D40FB6" w:rsidRPr="0018503B">
        <w:rPr>
          <w:szCs w:val="22"/>
        </w:rPr>
        <w:t>Section 4.</w:t>
      </w:r>
      <w:r w:rsidR="00F02327" w:rsidRPr="0018503B">
        <w:rPr>
          <w:szCs w:val="22"/>
        </w:rPr>
        <w:t>3</w:t>
      </w:r>
      <w:r w:rsidR="00D40FB6" w:rsidRPr="0018503B">
        <w:rPr>
          <w:szCs w:val="22"/>
        </w:rPr>
        <w:t>(a)(i)-(iv</w:t>
      </w:r>
      <w:r w:rsidR="0031492E" w:rsidRPr="0018503B">
        <w:rPr>
          <w:szCs w:val="22"/>
        </w:rPr>
        <w:t>)</w:t>
      </w:r>
      <w:r w:rsidRPr="0018503B">
        <w:rPr>
          <w:szCs w:val="22"/>
        </w:rPr>
        <w:t>.</w:t>
      </w:r>
    </w:p>
    <w:p w:rsidR="00D40FB6" w:rsidRPr="0018503B" w:rsidRDefault="00545386" w:rsidP="001331C3">
      <w:pPr>
        <w:numPr>
          <w:ilvl w:val="0"/>
          <w:numId w:val="6"/>
        </w:numPr>
        <w:tabs>
          <w:tab w:val="left" w:pos="720"/>
        </w:tabs>
        <w:autoSpaceDE w:val="0"/>
        <w:autoSpaceDN w:val="0"/>
        <w:adjustRightInd w:val="0"/>
        <w:spacing w:after="240"/>
        <w:jc w:val="both"/>
        <w:rPr>
          <w:szCs w:val="22"/>
        </w:rPr>
      </w:pPr>
      <w:r w:rsidRPr="0018503B">
        <w:rPr>
          <w:szCs w:val="22"/>
        </w:rPr>
        <w:t xml:space="preserve">In accordance with Section </w:t>
      </w:r>
      <w:r w:rsidR="003B300F" w:rsidRPr="0018503B">
        <w:rPr>
          <w:szCs w:val="22"/>
        </w:rPr>
        <w:t>4.</w:t>
      </w:r>
      <w:r w:rsidR="00F02327" w:rsidRPr="0018503B">
        <w:rPr>
          <w:szCs w:val="22"/>
        </w:rPr>
        <w:t>1</w:t>
      </w:r>
      <w:r w:rsidRPr="0018503B">
        <w:rPr>
          <w:szCs w:val="22"/>
        </w:rPr>
        <w:t xml:space="preserve"> of this Confirmation and Article Six of the Master Agreement, all such Buyer revenues described in Section</w:t>
      </w:r>
      <w:r w:rsidR="0029412C" w:rsidRPr="0018503B">
        <w:rPr>
          <w:szCs w:val="22"/>
        </w:rPr>
        <w:t xml:space="preserve"> 4.3(b)</w:t>
      </w:r>
      <w:r w:rsidRPr="0018503B">
        <w:rPr>
          <w:szCs w:val="22"/>
        </w:rPr>
        <w:t xml:space="preserve">, but received by Seller, or a Unit’s SC, owner, or operator shall be remitted to Buyer, and Seller shall pay such revenues to Buyer if the Unit’s SC, owner, or operator fails to remit those revenues to Buyer.  </w:t>
      </w:r>
      <w:r w:rsidR="00257AA3" w:rsidRPr="0018503B">
        <w:rPr>
          <w:szCs w:val="22"/>
        </w:rPr>
        <w:t xml:space="preserve">In order to verify the accuracy of such revenues, Buyer shall have the right, at its sole expense and during normal working hours after reasonable prior notice, to hire an independent third party reasonably acceptable to Seller to audit any documents, records or data of Seller associated with the </w:t>
      </w:r>
      <w:r w:rsidR="00D40FB6" w:rsidRPr="0018503B">
        <w:rPr>
          <w:szCs w:val="22"/>
        </w:rPr>
        <w:t>Contract Quantity.</w:t>
      </w:r>
    </w:p>
    <w:p w:rsidR="00F45B32" w:rsidRPr="0018503B" w:rsidRDefault="00545386" w:rsidP="001331C3">
      <w:pPr>
        <w:numPr>
          <w:ilvl w:val="0"/>
          <w:numId w:val="6"/>
        </w:numPr>
        <w:tabs>
          <w:tab w:val="left" w:pos="720"/>
        </w:tabs>
        <w:autoSpaceDE w:val="0"/>
        <w:autoSpaceDN w:val="0"/>
        <w:adjustRightInd w:val="0"/>
        <w:spacing w:after="240"/>
        <w:jc w:val="both"/>
        <w:rPr>
          <w:szCs w:val="22"/>
        </w:rPr>
      </w:pPr>
      <w:r w:rsidRPr="0018503B">
        <w:rPr>
          <w:szCs w:val="22"/>
        </w:rPr>
        <w:t xml:space="preserve">If a centralized capacity market develops within the CAISO region, Buyer will have exclusive rights to offer, bid, or otherwise submit </w:t>
      </w:r>
      <w:r w:rsidR="00D40FB6" w:rsidRPr="0018503B">
        <w:rPr>
          <w:szCs w:val="22"/>
        </w:rPr>
        <w:t>the Contract Quantity</w:t>
      </w:r>
      <w:r w:rsidRPr="0018503B">
        <w:rPr>
          <w:szCs w:val="22"/>
        </w:rPr>
        <w:t xml:space="preserve"> for re-sale in such market, and retain and receive any and all related revenues.</w:t>
      </w:r>
    </w:p>
    <w:p w:rsidR="00D40FB6" w:rsidRPr="0018503B" w:rsidRDefault="00D40FB6" w:rsidP="001331C3">
      <w:pPr>
        <w:numPr>
          <w:ilvl w:val="0"/>
          <w:numId w:val="6"/>
        </w:numPr>
        <w:tabs>
          <w:tab w:val="left" w:pos="720"/>
        </w:tabs>
        <w:autoSpaceDE w:val="0"/>
        <w:autoSpaceDN w:val="0"/>
        <w:adjustRightInd w:val="0"/>
        <w:spacing w:after="240"/>
        <w:jc w:val="both"/>
        <w:rPr>
          <w:szCs w:val="22"/>
        </w:rPr>
      </w:pPr>
      <w:r w:rsidRPr="0018503B">
        <w:rPr>
          <w:szCs w:val="22"/>
        </w:rPr>
        <w:t>S</w:t>
      </w:r>
      <w:r w:rsidR="003A0D92" w:rsidRPr="0018503B">
        <w:rPr>
          <w:szCs w:val="22"/>
        </w:rPr>
        <w:t>ubject to the Unit being made available to the CAISO in accordance with Article 3</w:t>
      </w:r>
      <w:r w:rsidR="00917198" w:rsidRPr="0018503B">
        <w:rPr>
          <w:szCs w:val="22"/>
        </w:rPr>
        <w:t xml:space="preserve"> of this Confirmation</w:t>
      </w:r>
      <w:r w:rsidR="003A0D92" w:rsidRPr="0018503B">
        <w:rPr>
          <w:szCs w:val="22"/>
        </w:rPr>
        <w:t>, S</w:t>
      </w:r>
      <w:r w:rsidRPr="0018503B">
        <w:rPr>
          <w:szCs w:val="22"/>
        </w:rPr>
        <w:t>eller agrees that the Unit is subject to the terms of the Availability Standards</w:t>
      </w:r>
      <w:r w:rsidRPr="0018503B">
        <w:rPr>
          <w:color w:val="000000"/>
          <w:szCs w:val="22"/>
        </w:rPr>
        <w:t>, Non-Availability Charges, and Availability Incentive Payments under Section 40.9 of the Tariff</w:t>
      </w:r>
      <w:r w:rsidRPr="0018503B">
        <w:rPr>
          <w:szCs w:val="22"/>
        </w:rPr>
        <w:t xml:space="preserve">.  Furthermore, the Parties agree that any Availability </w:t>
      </w:r>
      <w:r w:rsidRPr="0018503B">
        <w:rPr>
          <w:szCs w:val="22"/>
        </w:rPr>
        <w:lastRenderedPageBreak/>
        <w:t>Incentive Payments are for the benefit of Seller and for Seller’s account and that any Non-Availability Charges are the responsibility of Seller and for Seller’s account.</w:t>
      </w:r>
    </w:p>
    <w:p w:rsidR="00702B06" w:rsidRPr="0018503B" w:rsidRDefault="00285C86" w:rsidP="004E69EA">
      <w:pPr>
        <w:keepNext/>
        <w:numPr>
          <w:ilvl w:val="1"/>
          <w:numId w:val="1"/>
        </w:numPr>
        <w:tabs>
          <w:tab w:val="clear" w:pos="792"/>
        </w:tabs>
        <w:autoSpaceDE w:val="0"/>
        <w:autoSpaceDN w:val="0"/>
        <w:adjustRightInd w:val="0"/>
        <w:spacing w:after="240"/>
        <w:ind w:left="720" w:hanging="720"/>
        <w:rPr>
          <w:szCs w:val="22"/>
          <w:u w:val="single"/>
        </w:rPr>
      </w:pPr>
      <w:r w:rsidRPr="0018503B">
        <w:rPr>
          <w:szCs w:val="22"/>
          <w:u w:val="single"/>
        </w:rPr>
        <w:t>Offset Rights</w:t>
      </w:r>
    </w:p>
    <w:p w:rsidR="00702B06" w:rsidRPr="0018503B" w:rsidRDefault="00702B06" w:rsidP="00702B06">
      <w:pPr>
        <w:pStyle w:val="BodyTextIndent"/>
        <w:ind w:left="720"/>
        <w:jc w:val="both"/>
      </w:pPr>
      <w:r w:rsidRPr="0018503B">
        <w:t>Either Party may offset any amounts owing to it for revenues, penalties</w:t>
      </w:r>
      <w:r w:rsidR="001331C3" w:rsidRPr="0018503B">
        <w:t>, fines, costs</w:t>
      </w:r>
      <w:r w:rsidRPr="0018503B">
        <w:t xml:space="preserve">, reimbursement or other payments </w:t>
      </w:r>
      <w:r w:rsidR="00F02327" w:rsidRPr="0018503B">
        <w:t xml:space="preserve">pursuant to Article Six of the Master Agreement </w:t>
      </w:r>
      <w:r w:rsidRPr="0018503B">
        <w:t>against any future amounts it may owe to the other Party under this Confirmation.</w:t>
      </w:r>
    </w:p>
    <w:p w:rsidR="0021074D" w:rsidRPr="0018503B" w:rsidRDefault="0021074D" w:rsidP="004E69EA">
      <w:pPr>
        <w:keepNext/>
        <w:numPr>
          <w:ilvl w:val="0"/>
          <w:numId w:val="1"/>
        </w:numPr>
        <w:spacing w:after="240"/>
        <w:rPr>
          <w:b/>
          <w:szCs w:val="22"/>
          <w:u w:val="single"/>
        </w:rPr>
      </w:pPr>
      <w:r w:rsidRPr="0018503B">
        <w:rPr>
          <w:b/>
          <w:szCs w:val="22"/>
          <w:u w:val="single"/>
        </w:rPr>
        <w:t>Seller's Failure to Deliver Contract Quantity</w:t>
      </w:r>
    </w:p>
    <w:p w:rsidR="0021074D" w:rsidRPr="0018503B" w:rsidRDefault="00687D67" w:rsidP="004E69EA">
      <w:pPr>
        <w:keepNext/>
        <w:numPr>
          <w:ilvl w:val="1"/>
          <w:numId w:val="1"/>
        </w:numPr>
        <w:tabs>
          <w:tab w:val="clear" w:pos="792"/>
        </w:tabs>
        <w:autoSpaceDE w:val="0"/>
        <w:autoSpaceDN w:val="0"/>
        <w:adjustRightInd w:val="0"/>
        <w:spacing w:after="240"/>
        <w:ind w:left="720" w:hanging="720"/>
        <w:rPr>
          <w:szCs w:val="22"/>
          <w:u w:val="single"/>
        </w:rPr>
      </w:pPr>
      <w:r w:rsidRPr="0018503B">
        <w:rPr>
          <w:szCs w:val="22"/>
          <w:u w:val="single"/>
        </w:rPr>
        <w:t>Seller’s Duty to Provide</w:t>
      </w:r>
      <w:r w:rsidR="0021074D" w:rsidRPr="0018503B">
        <w:rPr>
          <w:szCs w:val="22"/>
          <w:u w:val="single"/>
        </w:rPr>
        <w:t xml:space="preserve"> Replacement </w:t>
      </w:r>
      <w:r w:rsidRPr="0018503B">
        <w:rPr>
          <w:szCs w:val="22"/>
          <w:u w:val="single"/>
        </w:rPr>
        <w:t>Capacity</w:t>
      </w:r>
    </w:p>
    <w:p w:rsidR="00995CF5" w:rsidRDefault="00BA48A7">
      <w:pPr>
        <w:tabs>
          <w:tab w:val="left" w:pos="720"/>
        </w:tabs>
        <w:autoSpaceDE w:val="0"/>
        <w:autoSpaceDN w:val="0"/>
        <w:adjustRightInd w:val="0"/>
        <w:spacing w:after="240"/>
        <w:ind w:left="720"/>
        <w:jc w:val="both"/>
        <w:rPr>
          <w:szCs w:val="22"/>
        </w:rPr>
      </w:pPr>
      <w:r w:rsidRPr="00E37F2E">
        <w:rPr>
          <w:szCs w:val="22"/>
        </w:rPr>
        <w:t xml:space="preserve">If Seller is unable to provide the Contract Quantity </w:t>
      </w:r>
      <w:r>
        <w:rPr>
          <w:szCs w:val="22"/>
        </w:rPr>
        <w:t>from any Unit</w:t>
      </w:r>
      <w:r w:rsidR="002E4672">
        <w:rPr>
          <w:szCs w:val="22"/>
        </w:rPr>
        <w:t>(s)</w:t>
      </w:r>
      <w:r>
        <w:rPr>
          <w:szCs w:val="22"/>
        </w:rPr>
        <w:t xml:space="preserve"> </w:t>
      </w:r>
      <w:r w:rsidRPr="00E37F2E">
        <w:rPr>
          <w:szCs w:val="22"/>
        </w:rPr>
        <w:t xml:space="preserve">for any </w:t>
      </w:r>
      <w:r>
        <w:rPr>
          <w:szCs w:val="22"/>
        </w:rPr>
        <w:t xml:space="preserve">day in any </w:t>
      </w:r>
      <w:r w:rsidRPr="00E37F2E">
        <w:rPr>
          <w:szCs w:val="22"/>
        </w:rPr>
        <w:t>Monthly Delivery Period and Replacement Capacity is required under Section 3.2</w:t>
      </w:r>
      <w:r w:rsidRPr="00E37F2E">
        <w:rPr>
          <w:bCs/>
          <w:szCs w:val="22"/>
        </w:rPr>
        <w:t>, then</w:t>
      </w:r>
      <w:r w:rsidR="005710AF">
        <w:rPr>
          <w:bCs/>
          <w:szCs w:val="22"/>
        </w:rPr>
        <w:t>:</w:t>
      </w:r>
    </w:p>
    <w:p w:rsidR="00BA48A7" w:rsidRPr="00E37F2E" w:rsidRDefault="00BA48A7" w:rsidP="00BA48A7">
      <w:pPr>
        <w:numPr>
          <w:ilvl w:val="0"/>
          <w:numId w:val="7"/>
        </w:numPr>
        <w:tabs>
          <w:tab w:val="clear" w:pos="1080"/>
          <w:tab w:val="left" w:pos="720"/>
          <w:tab w:val="num" w:pos="1170"/>
        </w:tabs>
        <w:autoSpaceDE w:val="0"/>
        <w:autoSpaceDN w:val="0"/>
        <w:adjustRightInd w:val="0"/>
        <w:spacing w:after="240"/>
        <w:ind w:left="1170" w:hanging="450"/>
        <w:jc w:val="both"/>
        <w:rPr>
          <w:szCs w:val="22"/>
        </w:rPr>
      </w:pPr>
      <w:r w:rsidRPr="00E37F2E">
        <w:rPr>
          <w:szCs w:val="22"/>
        </w:rPr>
        <w:t xml:space="preserve">Seller shall notify Buyer of the non-availability of any portion of the Contract Quantity </w:t>
      </w:r>
      <w:r>
        <w:rPr>
          <w:szCs w:val="22"/>
        </w:rPr>
        <w:t>from any Unit</w:t>
      </w:r>
      <w:r w:rsidR="002E4672">
        <w:rPr>
          <w:szCs w:val="22"/>
        </w:rPr>
        <w:t>(s)</w:t>
      </w:r>
      <w:r>
        <w:rPr>
          <w:szCs w:val="22"/>
        </w:rPr>
        <w:t xml:space="preserve"> </w:t>
      </w:r>
      <w:r w:rsidRPr="00E37F2E">
        <w:rPr>
          <w:szCs w:val="22"/>
        </w:rPr>
        <w:t>and identify Replacement Unit</w:t>
      </w:r>
      <w:r w:rsidR="002E4672">
        <w:rPr>
          <w:szCs w:val="22"/>
        </w:rPr>
        <w:t>(</w:t>
      </w:r>
      <w:r w:rsidRPr="00E37F2E">
        <w:rPr>
          <w:szCs w:val="22"/>
        </w:rPr>
        <w:t>s</w:t>
      </w:r>
      <w:r w:rsidR="002E4672">
        <w:rPr>
          <w:szCs w:val="22"/>
        </w:rPr>
        <w:t>)</w:t>
      </w:r>
      <w:r w:rsidR="005710AF">
        <w:rPr>
          <w:szCs w:val="22"/>
        </w:rPr>
        <w:t>,</w:t>
      </w:r>
      <w:r w:rsidRPr="00E37F2E">
        <w:rPr>
          <w:szCs w:val="22"/>
        </w:rPr>
        <w:t xml:space="preserve"> (i) no later than fifteen (15) Business Days before the relevant deadline for Buyer's RAR Showing and/or Local RAR Showing, or (ii) if, after the relevant deadline for Buyer’s RAR Showing and/or Local RAR Showing, such non-availability is prompted by CAISO’s </w:t>
      </w:r>
      <w:r>
        <w:rPr>
          <w:szCs w:val="22"/>
        </w:rPr>
        <w:t xml:space="preserve">then applicable replacement </w:t>
      </w:r>
      <w:r w:rsidRPr="00E37F2E">
        <w:rPr>
          <w:szCs w:val="22"/>
        </w:rPr>
        <w:t>requirement</w:t>
      </w:r>
      <w:r>
        <w:rPr>
          <w:szCs w:val="22"/>
        </w:rPr>
        <w:t xml:space="preserve"> for Planned Outages</w:t>
      </w:r>
      <w:r w:rsidRPr="00E37F2E">
        <w:rPr>
          <w:szCs w:val="22"/>
        </w:rPr>
        <w:t>, no later than two (2) calendar days following Seller</w:t>
      </w:r>
      <w:r>
        <w:rPr>
          <w:szCs w:val="22"/>
        </w:rPr>
        <w:t>’</w:t>
      </w:r>
      <w:r w:rsidRPr="00E37F2E">
        <w:rPr>
          <w:szCs w:val="22"/>
        </w:rPr>
        <w:t>s receipt of notice from the CAISO, and;</w:t>
      </w:r>
    </w:p>
    <w:p w:rsidR="00BA48A7" w:rsidRPr="00E37F2E" w:rsidRDefault="00BA48A7" w:rsidP="00BA48A7">
      <w:pPr>
        <w:numPr>
          <w:ilvl w:val="0"/>
          <w:numId w:val="7"/>
        </w:numPr>
        <w:tabs>
          <w:tab w:val="clear" w:pos="1080"/>
          <w:tab w:val="left" w:pos="720"/>
          <w:tab w:val="num" w:pos="1170"/>
        </w:tabs>
        <w:autoSpaceDE w:val="0"/>
        <w:autoSpaceDN w:val="0"/>
        <w:adjustRightInd w:val="0"/>
        <w:spacing w:after="240"/>
        <w:ind w:left="1170" w:hanging="450"/>
        <w:jc w:val="both"/>
        <w:rPr>
          <w:szCs w:val="22"/>
        </w:rPr>
      </w:pPr>
      <w:r w:rsidRPr="00E37F2E">
        <w:rPr>
          <w:szCs w:val="22"/>
        </w:rPr>
        <w:t xml:space="preserve">Seller shall, (i) at no cost to Buyer, provide Buyer with Replacement Capacity from one or more Replacement Units, such that the total amount of Product provided to Buyer from all Units and Replacement Units equals </w:t>
      </w:r>
      <w:r>
        <w:rPr>
          <w:szCs w:val="22"/>
        </w:rPr>
        <w:t xml:space="preserve">Seller’s Firm </w:t>
      </w:r>
      <w:r w:rsidRPr="00E37F2E">
        <w:rPr>
          <w:szCs w:val="22"/>
        </w:rPr>
        <w:t>Quantity, and (ii) Seller shall identify Replacement Units within five (5) calendar days of the notice provided</w:t>
      </w:r>
      <w:r>
        <w:rPr>
          <w:szCs w:val="22"/>
        </w:rPr>
        <w:t xml:space="preserve"> by Buyer in Section 5.1(a</w:t>
      </w:r>
      <w:r w:rsidRPr="00E37F2E">
        <w:rPr>
          <w:szCs w:val="22"/>
        </w:rPr>
        <w:t>) above.</w:t>
      </w:r>
    </w:p>
    <w:p w:rsidR="00BA48A7" w:rsidRPr="00E37F2E" w:rsidRDefault="00BA48A7" w:rsidP="00BA48A7">
      <w:pPr>
        <w:pStyle w:val="BodyTextIndent"/>
        <w:ind w:left="720"/>
        <w:jc w:val="both"/>
      </w:pPr>
      <w:proofErr w:type="gramStart"/>
      <w:r w:rsidRPr="00E37F2E">
        <w:rPr>
          <w:i/>
          <w:u w:val="single"/>
        </w:rPr>
        <w:t>provided</w:t>
      </w:r>
      <w:proofErr w:type="gramEnd"/>
      <w:r w:rsidRPr="00E37F2E">
        <w:t xml:space="preserve"> that the designation of any Replacement Unit by Seller shall be subject to Buyer’s prior written approval, which shall not be unreasonably withheld.  Once Seller has identified in writing any Replacement Units that meet the requirements of this Section 5.1, and Buyer has approved the designation of the Replacement Unit, then any such Replacement Unit shall be deemed a Unit for purposes of this Confirmation for that </w:t>
      </w:r>
      <w:r>
        <w:t xml:space="preserve">day in any </w:t>
      </w:r>
      <w:r w:rsidRPr="00E37F2E">
        <w:t>Monthly Delivery Period.  Notwithstanding anything to the contrary in this Confirmation, Seller’s failure to properly provide Replacement Capacity, including Seller’s obligation to identify Replacement Units within the notice deadlines specified in this Section 5.1, may result in the calculation of damages payable to Buyer under Section 5.2 and/or the indemnification of Buyer against any penalties, fines or costs under Section 5.3</w:t>
      </w:r>
      <w:r>
        <w:t xml:space="preserve"> and Section 11</w:t>
      </w:r>
      <w:r w:rsidRPr="00E37F2E">
        <w:t xml:space="preserve">. </w:t>
      </w:r>
    </w:p>
    <w:p w:rsidR="0021074D" w:rsidRPr="0018503B" w:rsidRDefault="0021074D" w:rsidP="004E69EA">
      <w:pPr>
        <w:keepNext/>
        <w:numPr>
          <w:ilvl w:val="1"/>
          <w:numId w:val="1"/>
        </w:numPr>
        <w:tabs>
          <w:tab w:val="clear" w:pos="792"/>
        </w:tabs>
        <w:autoSpaceDE w:val="0"/>
        <w:autoSpaceDN w:val="0"/>
        <w:adjustRightInd w:val="0"/>
        <w:spacing w:after="240"/>
        <w:ind w:left="720" w:hanging="720"/>
        <w:rPr>
          <w:szCs w:val="22"/>
          <w:u w:val="single"/>
        </w:rPr>
      </w:pPr>
      <w:r w:rsidRPr="0018503B">
        <w:rPr>
          <w:szCs w:val="22"/>
          <w:u w:val="single"/>
        </w:rPr>
        <w:t xml:space="preserve">Damages for Failure to </w:t>
      </w:r>
      <w:r w:rsidR="00687D67" w:rsidRPr="0018503B">
        <w:rPr>
          <w:szCs w:val="22"/>
          <w:u w:val="single"/>
        </w:rPr>
        <w:t>Provide Replacement Capacity</w:t>
      </w:r>
    </w:p>
    <w:p w:rsidR="001331C3" w:rsidRPr="0018503B" w:rsidRDefault="008D4E74">
      <w:pPr>
        <w:pStyle w:val="BodyTextIndent"/>
        <w:ind w:left="720"/>
        <w:jc w:val="both"/>
      </w:pPr>
      <w:r w:rsidRPr="0018503B">
        <w:t>If</w:t>
      </w:r>
      <w:r w:rsidR="008628B7" w:rsidRPr="0018503B">
        <w:t xml:space="preserve"> Seller fails to provide Buyer any portion of the </w:t>
      </w:r>
      <w:r w:rsidR="00BA48A7">
        <w:t xml:space="preserve">Seller’s Firm </w:t>
      </w:r>
      <w:r w:rsidR="008628B7" w:rsidRPr="0018503B">
        <w:t xml:space="preserve">Quantity from Replacement Units for any </w:t>
      </w:r>
      <w:r w:rsidR="002B3CE8">
        <w:t xml:space="preserve">day in any </w:t>
      </w:r>
      <w:r w:rsidR="008628B7" w:rsidRPr="0018503B">
        <w:t>Monthly Delivery Period as required by Section 5.1, then the following shall apply:</w:t>
      </w:r>
    </w:p>
    <w:p w:rsidR="00BA48A7" w:rsidRPr="00E37F2E" w:rsidRDefault="00BA48A7" w:rsidP="00BA48A7">
      <w:pPr>
        <w:numPr>
          <w:ilvl w:val="0"/>
          <w:numId w:val="8"/>
        </w:numPr>
        <w:tabs>
          <w:tab w:val="clear" w:pos="1080"/>
          <w:tab w:val="left" w:pos="720"/>
          <w:tab w:val="num" w:pos="1170"/>
        </w:tabs>
        <w:autoSpaceDE w:val="0"/>
        <w:autoSpaceDN w:val="0"/>
        <w:adjustRightInd w:val="0"/>
        <w:spacing w:after="240"/>
        <w:ind w:left="1170" w:hanging="450"/>
        <w:jc w:val="both"/>
        <w:rPr>
          <w:szCs w:val="22"/>
        </w:rPr>
      </w:pPr>
      <w:r w:rsidRPr="00E37F2E">
        <w:rPr>
          <w:szCs w:val="22"/>
        </w:rPr>
        <w:t xml:space="preserve">Buyer may, but shall not be obligated to, obtain Replacement Capacity.  Buyer may enter into purchase transactions with one or more parties to replace the portion of </w:t>
      </w:r>
      <w:r>
        <w:rPr>
          <w:szCs w:val="22"/>
        </w:rPr>
        <w:t xml:space="preserve">Seller’s Firm </w:t>
      </w:r>
      <w:r w:rsidRPr="00E37F2E">
        <w:rPr>
          <w:szCs w:val="22"/>
        </w:rPr>
        <w:t>Quantity not provided by Seller</w:t>
      </w:r>
      <w:r w:rsidR="00804DBB">
        <w:rPr>
          <w:szCs w:val="22"/>
        </w:rPr>
        <w:t>.</w:t>
      </w:r>
      <w:r w:rsidRPr="00E37F2E">
        <w:rPr>
          <w:szCs w:val="22"/>
        </w:rPr>
        <w:t xml:space="preserve">  Additionally, Buyer may enter into one </w:t>
      </w:r>
      <w:r w:rsidRPr="00E37F2E">
        <w:rPr>
          <w:szCs w:val="22"/>
        </w:rPr>
        <w:lastRenderedPageBreak/>
        <w:t>or more arrangements to repurchase its obligation to sell and deliver the capacity to another party, and such arrangements shall be considered the procurement of Replacement Capacity.  Buyer shall act in a commercially reasonable manner in purchasing any Replacement Capacity, and</w:t>
      </w:r>
      <w:r w:rsidR="006C0D3F">
        <w:rPr>
          <w:szCs w:val="22"/>
        </w:rPr>
        <w:t>;</w:t>
      </w:r>
      <w:r w:rsidRPr="00E37F2E">
        <w:rPr>
          <w:szCs w:val="22"/>
        </w:rPr>
        <w:t xml:space="preserve"> </w:t>
      </w:r>
    </w:p>
    <w:p w:rsidR="00BA48A7" w:rsidRPr="00E37F2E" w:rsidRDefault="00BA48A7" w:rsidP="00BA48A7">
      <w:pPr>
        <w:numPr>
          <w:ilvl w:val="0"/>
          <w:numId w:val="8"/>
        </w:numPr>
        <w:tabs>
          <w:tab w:val="clear" w:pos="1080"/>
          <w:tab w:val="left" w:pos="720"/>
          <w:tab w:val="num" w:pos="1170"/>
        </w:tabs>
        <w:autoSpaceDE w:val="0"/>
        <w:autoSpaceDN w:val="0"/>
        <w:adjustRightInd w:val="0"/>
        <w:spacing w:after="240"/>
        <w:ind w:left="1170" w:hanging="450"/>
        <w:jc w:val="both"/>
        <w:rPr>
          <w:szCs w:val="22"/>
        </w:rPr>
      </w:pPr>
      <w:r w:rsidRPr="00E37F2E">
        <w:rPr>
          <w:szCs w:val="22"/>
        </w:rPr>
        <w:t xml:space="preserve">Seller shall pay to Buyer damages, in accordance with the terms of Section 4.1 of the Master Agreement relating to “Accelerated Payment of Damages,” if applicable, an amount equal to the positive difference, if any, between (i) the sum of (A) the actual cost paid by Buyer for any Replacement Capacity, including any penalties, fines, transaction costs and expenses incurred in connection with such procurement, plus (B) Capacity Replacement Price times the portion of </w:t>
      </w:r>
      <w:r>
        <w:rPr>
          <w:szCs w:val="22"/>
        </w:rPr>
        <w:t>Seller’s Firm</w:t>
      </w:r>
      <w:r w:rsidRPr="00E37F2E">
        <w:rPr>
          <w:szCs w:val="22"/>
        </w:rPr>
        <w:t xml:space="preserve"> Quantity not provided by Seller or purchased by Buyer pursuant to Section 5.2(a)</w:t>
      </w:r>
      <w:r w:rsidR="0003680E">
        <w:rPr>
          <w:szCs w:val="22"/>
        </w:rPr>
        <w:t>,</w:t>
      </w:r>
      <w:r>
        <w:rPr>
          <w:szCs w:val="22"/>
        </w:rPr>
        <w:t xml:space="preserve"> </w:t>
      </w:r>
      <w:r w:rsidRPr="00E37F2E">
        <w:rPr>
          <w:szCs w:val="22"/>
        </w:rPr>
        <w:t xml:space="preserve">and (ii) the portion of </w:t>
      </w:r>
      <w:r>
        <w:rPr>
          <w:szCs w:val="22"/>
        </w:rPr>
        <w:t xml:space="preserve">Seller’s Firm </w:t>
      </w:r>
      <w:r w:rsidRPr="00E37F2E">
        <w:rPr>
          <w:szCs w:val="22"/>
        </w:rPr>
        <w:t xml:space="preserve">Quantity not provided for the applicable </w:t>
      </w:r>
      <w:r>
        <w:rPr>
          <w:szCs w:val="22"/>
        </w:rPr>
        <w:t xml:space="preserve">day in the applicable </w:t>
      </w:r>
      <w:r w:rsidRPr="00E37F2E">
        <w:rPr>
          <w:szCs w:val="22"/>
        </w:rPr>
        <w:t>Monthly Delivery Period times the Contract Price for that month.</w:t>
      </w:r>
    </w:p>
    <w:p w:rsidR="0021074D" w:rsidRPr="0018503B" w:rsidRDefault="0021074D" w:rsidP="004E69EA">
      <w:pPr>
        <w:keepNext/>
        <w:numPr>
          <w:ilvl w:val="1"/>
          <w:numId w:val="1"/>
        </w:numPr>
        <w:tabs>
          <w:tab w:val="clear" w:pos="792"/>
        </w:tabs>
        <w:autoSpaceDE w:val="0"/>
        <w:autoSpaceDN w:val="0"/>
        <w:adjustRightInd w:val="0"/>
        <w:spacing w:after="240"/>
        <w:ind w:left="720" w:hanging="720"/>
        <w:rPr>
          <w:szCs w:val="22"/>
          <w:u w:val="single"/>
        </w:rPr>
      </w:pPr>
      <w:r w:rsidRPr="0018503B">
        <w:rPr>
          <w:szCs w:val="22"/>
          <w:u w:val="single"/>
        </w:rPr>
        <w:t xml:space="preserve">Indemnities </w:t>
      </w:r>
      <w:r w:rsidR="008D4E74" w:rsidRPr="0018503B">
        <w:rPr>
          <w:szCs w:val="22"/>
          <w:u w:val="single"/>
        </w:rPr>
        <w:t>f</w:t>
      </w:r>
      <w:r w:rsidRPr="0018503B">
        <w:rPr>
          <w:szCs w:val="22"/>
          <w:u w:val="single"/>
        </w:rPr>
        <w:t xml:space="preserve">or Failure to Deliver </w:t>
      </w:r>
      <w:r w:rsidR="00BA48A7">
        <w:rPr>
          <w:szCs w:val="22"/>
          <w:u w:val="single"/>
        </w:rPr>
        <w:t xml:space="preserve">Seller’s Firm </w:t>
      </w:r>
      <w:r w:rsidR="003D73C3" w:rsidRPr="0018503B">
        <w:rPr>
          <w:szCs w:val="22"/>
          <w:u w:val="single"/>
        </w:rPr>
        <w:t>Quantity</w:t>
      </w:r>
    </w:p>
    <w:p w:rsidR="00BA48A7" w:rsidRPr="00E37F2E" w:rsidRDefault="00BA48A7" w:rsidP="00BA48A7">
      <w:pPr>
        <w:pStyle w:val="BodyTextIndent"/>
        <w:ind w:left="720"/>
        <w:jc w:val="both"/>
      </w:pPr>
      <w:r w:rsidRPr="00E37F2E">
        <w:t xml:space="preserve">If Buyer is unable to purchase Replacement Capacity after Seller fails to provide Buyer a portion of the </w:t>
      </w:r>
      <w:r>
        <w:t>Seller’s Firm</w:t>
      </w:r>
      <w:r w:rsidRPr="00E37F2E">
        <w:t xml:space="preserve"> Quantity from Replacement Units for any </w:t>
      </w:r>
      <w:r>
        <w:t xml:space="preserve">day in any </w:t>
      </w:r>
      <w:r w:rsidRPr="00E37F2E">
        <w:t xml:space="preserve">Monthly Delivery Period as required by Section 5.1, then in addition to the damages pursuant to Section 5.2(b)(i)(B) with respect to the portion of </w:t>
      </w:r>
      <w:r>
        <w:t>Seller’s Firm</w:t>
      </w:r>
      <w:r w:rsidRPr="00E37F2E">
        <w:t xml:space="preserve"> Quantity that Buyer has not replaced, Seller agrees to indemnify, defend and hold harmless Buyer from any penalties, fines or costs assessed against Buyer by the CPUC, CAISO, or any Governmental Body having jurisdiction, resulting from any of the following:</w:t>
      </w:r>
    </w:p>
    <w:p w:rsidR="00BA48A7" w:rsidRPr="00E37F2E" w:rsidRDefault="00BA48A7" w:rsidP="00BA48A7">
      <w:pPr>
        <w:numPr>
          <w:ilvl w:val="0"/>
          <w:numId w:val="9"/>
        </w:numPr>
        <w:tabs>
          <w:tab w:val="clear" w:pos="1080"/>
          <w:tab w:val="left" w:pos="720"/>
          <w:tab w:val="left" w:pos="1170"/>
          <w:tab w:val="num" w:pos="1620"/>
        </w:tabs>
        <w:autoSpaceDE w:val="0"/>
        <w:autoSpaceDN w:val="0"/>
        <w:adjustRightInd w:val="0"/>
        <w:spacing w:after="240"/>
        <w:ind w:left="1170" w:hanging="450"/>
        <w:jc w:val="both"/>
        <w:rPr>
          <w:szCs w:val="22"/>
        </w:rPr>
      </w:pPr>
      <w:r w:rsidRPr="00E37F2E">
        <w:rPr>
          <w:szCs w:val="22"/>
        </w:rPr>
        <w:t>Seller’s failure to provide any portion of the</w:t>
      </w:r>
      <w:r>
        <w:rPr>
          <w:szCs w:val="22"/>
        </w:rPr>
        <w:t xml:space="preserve"> Seller’s Firm </w:t>
      </w:r>
      <w:r w:rsidRPr="00E37F2E">
        <w:rPr>
          <w:szCs w:val="22"/>
        </w:rPr>
        <w:t>Quantity or any portion of the Replacement Capacity;</w:t>
      </w:r>
    </w:p>
    <w:p w:rsidR="00BA48A7" w:rsidRPr="00E37F2E" w:rsidRDefault="00BA48A7" w:rsidP="00BA48A7">
      <w:pPr>
        <w:numPr>
          <w:ilvl w:val="0"/>
          <w:numId w:val="9"/>
        </w:numPr>
        <w:tabs>
          <w:tab w:val="clear" w:pos="1080"/>
          <w:tab w:val="left" w:pos="720"/>
          <w:tab w:val="left" w:pos="1170"/>
          <w:tab w:val="num" w:pos="1620"/>
        </w:tabs>
        <w:autoSpaceDE w:val="0"/>
        <w:autoSpaceDN w:val="0"/>
        <w:adjustRightInd w:val="0"/>
        <w:spacing w:after="240"/>
        <w:ind w:left="1170" w:hanging="450"/>
        <w:jc w:val="both"/>
        <w:rPr>
          <w:szCs w:val="22"/>
        </w:rPr>
      </w:pPr>
      <w:r w:rsidRPr="00E37F2E">
        <w:rPr>
          <w:szCs w:val="22"/>
        </w:rPr>
        <w:t xml:space="preserve">Seller’s failure to provide timely notice of the non-availability of any portion of the </w:t>
      </w:r>
      <w:r>
        <w:rPr>
          <w:szCs w:val="22"/>
        </w:rPr>
        <w:t xml:space="preserve">Seller’s Firm </w:t>
      </w:r>
      <w:r w:rsidRPr="00E37F2E">
        <w:rPr>
          <w:szCs w:val="22"/>
        </w:rPr>
        <w:t>Quantity, or;</w:t>
      </w:r>
    </w:p>
    <w:p w:rsidR="00BA48A7" w:rsidRPr="00E37F2E" w:rsidRDefault="00BA48A7" w:rsidP="00BA48A7">
      <w:pPr>
        <w:numPr>
          <w:ilvl w:val="0"/>
          <w:numId w:val="9"/>
        </w:numPr>
        <w:tabs>
          <w:tab w:val="clear" w:pos="1080"/>
          <w:tab w:val="left" w:pos="720"/>
          <w:tab w:val="left" w:pos="1170"/>
          <w:tab w:val="num" w:pos="1620"/>
        </w:tabs>
        <w:autoSpaceDE w:val="0"/>
        <w:autoSpaceDN w:val="0"/>
        <w:adjustRightInd w:val="0"/>
        <w:spacing w:after="240"/>
        <w:ind w:left="1170" w:hanging="450"/>
        <w:jc w:val="both"/>
        <w:rPr>
          <w:szCs w:val="22"/>
        </w:rPr>
      </w:pPr>
      <w:r w:rsidRPr="00E37F2E">
        <w:rPr>
          <w:szCs w:val="22"/>
        </w:rPr>
        <w:t>A Unit’s SC’s failure to timely submit Supply Plans that identify Buyer’s right to the Unit Quantity purchased hereunder, or;</w:t>
      </w:r>
    </w:p>
    <w:p w:rsidR="00BA48A7" w:rsidRPr="00E37F2E" w:rsidRDefault="00BA48A7" w:rsidP="00BA48A7">
      <w:pPr>
        <w:numPr>
          <w:ilvl w:val="0"/>
          <w:numId w:val="9"/>
        </w:numPr>
        <w:tabs>
          <w:tab w:val="clear" w:pos="1080"/>
          <w:tab w:val="left" w:pos="720"/>
          <w:tab w:val="left" w:pos="1170"/>
          <w:tab w:val="num" w:pos="1620"/>
        </w:tabs>
        <w:autoSpaceDE w:val="0"/>
        <w:autoSpaceDN w:val="0"/>
        <w:adjustRightInd w:val="0"/>
        <w:spacing w:after="240"/>
        <w:ind w:left="1170" w:hanging="450"/>
        <w:jc w:val="both"/>
        <w:rPr>
          <w:szCs w:val="22"/>
        </w:rPr>
      </w:pPr>
      <w:proofErr w:type="gramStart"/>
      <w:r w:rsidRPr="00E37F2E">
        <w:rPr>
          <w:szCs w:val="22"/>
        </w:rPr>
        <w:t>any</w:t>
      </w:r>
      <w:proofErr w:type="gramEnd"/>
      <w:r w:rsidRPr="00E37F2E">
        <w:rPr>
          <w:szCs w:val="22"/>
        </w:rPr>
        <w:t xml:space="preserve"> other failure by Seller to perform its obligations under this Confirmation.</w:t>
      </w:r>
    </w:p>
    <w:p w:rsidR="00BA48A7" w:rsidRPr="00E37F2E" w:rsidRDefault="00BA48A7" w:rsidP="00BA48A7">
      <w:pPr>
        <w:pStyle w:val="BodyTextIndent"/>
        <w:ind w:left="720"/>
        <w:jc w:val="both"/>
      </w:pPr>
      <w:r w:rsidRPr="00E37F2E">
        <w:t xml:space="preserve">With respect to the foregoing, the Parties shall use commercially reasonable efforts to minimize such penalties, fines and costs; </w:t>
      </w:r>
      <w:r w:rsidRPr="00E37F2E">
        <w:rPr>
          <w:u w:val="single"/>
        </w:rPr>
        <w:t>provided</w:t>
      </w:r>
      <w:r w:rsidRPr="00E37F2E">
        <w:t>, that in no event shall Buyer be required to use or change its utilization of its owned or controlled assets or market positions to minimize these penalties, fines and costs.  It is further agreed that (i) the amounts payable under this Section 5.3 shall be calculated on a $/kW-month basis and (ii) the Contract Price (in $/kW-month) shall be subtracted from any amounts payable under this Section 5.3 for purposes of determining the amount payable by Seller pursuant to this Section 5.3.</w:t>
      </w:r>
    </w:p>
    <w:p w:rsidR="0021074D" w:rsidRPr="0018503B" w:rsidRDefault="0021074D" w:rsidP="004E69EA">
      <w:pPr>
        <w:keepNext/>
        <w:numPr>
          <w:ilvl w:val="0"/>
          <w:numId w:val="1"/>
        </w:numPr>
        <w:spacing w:after="240"/>
        <w:rPr>
          <w:b/>
          <w:szCs w:val="22"/>
          <w:u w:val="single"/>
        </w:rPr>
      </w:pPr>
      <w:r w:rsidRPr="0018503B">
        <w:rPr>
          <w:b/>
          <w:szCs w:val="22"/>
          <w:u w:val="single"/>
        </w:rPr>
        <w:t>Other Buyer and Seller Covenants</w:t>
      </w:r>
    </w:p>
    <w:p w:rsidR="00D40FB6" w:rsidRPr="0018503B" w:rsidRDefault="00D40FB6" w:rsidP="004E69EA">
      <w:pPr>
        <w:pStyle w:val="BodyTextIndent"/>
        <w:keepNext/>
        <w:numPr>
          <w:ilvl w:val="1"/>
          <w:numId w:val="1"/>
        </w:numPr>
        <w:rPr>
          <w:u w:val="single"/>
        </w:rPr>
      </w:pPr>
      <w:r w:rsidRPr="0018503B">
        <w:rPr>
          <w:u w:val="single"/>
        </w:rPr>
        <w:t>Seller’s and Buyer’s Duty to Take Action to Allow the Utilization of the Product</w:t>
      </w:r>
    </w:p>
    <w:p w:rsidR="0021074D" w:rsidRPr="0018503B" w:rsidRDefault="0021074D" w:rsidP="00D40FB6">
      <w:pPr>
        <w:autoSpaceDE w:val="0"/>
        <w:autoSpaceDN w:val="0"/>
        <w:adjustRightInd w:val="0"/>
        <w:spacing w:after="240"/>
        <w:ind w:left="720"/>
        <w:jc w:val="both"/>
        <w:rPr>
          <w:szCs w:val="22"/>
        </w:rPr>
      </w:pPr>
      <w:r w:rsidRPr="0018503B">
        <w:rPr>
          <w:szCs w:val="22"/>
        </w:rPr>
        <w:t xml:space="preserve">Buyer and Seller shall, throughout the Delivery Period, take commercially reasonable actions and execute any and all documents or instruments reasonably necessary to </w:t>
      </w:r>
      <w:r w:rsidRPr="0018503B">
        <w:rPr>
          <w:szCs w:val="22"/>
        </w:rPr>
        <w:lastRenderedPageBreak/>
        <w:t xml:space="preserve">ensure Buyer's right to the use of the Contract Quantity for the sole benefit of Buyer's RAR and </w:t>
      </w:r>
      <w:r w:rsidR="00D40FB6" w:rsidRPr="0018503B">
        <w:rPr>
          <w:szCs w:val="22"/>
        </w:rPr>
        <w:t>Local R</w:t>
      </w:r>
      <w:r w:rsidRPr="0018503B">
        <w:rPr>
          <w:szCs w:val="22"/>
        </w:rPr>
        <w:t>AR</w:t>
      </w:r>
      <w:r w:rsidR="00C40004" w:rsidRPr="0018503B">
        <w:rPr>
          <w:szCs w:val="22"/>
        </w:rPr>
        <w:t>,</w:t>
      </w:r>
      <w:r w:rsidR="00801D69" w:rsidRPr="0018503B">
        <w:rPr>
          <w:szCs w:val="22"/>
        </w:rPr>
        <w:t xml:space="preserve"> </w:t>
      </w:r>
      <w:r w:rsidR="00D40FB6" w:rsidRPr="0018503B">
        <w:rPr>
          <w:szCs w:val="22"/>
        </w:rPr>
        <w:t>if</w:t>
      </w:r>
      <w:r w:rsidR="00801D69" w:rsidRPr="0018503B">
        <w:rPr>
          <w:szCs w:val="22"/>
        </w:rPr>
        <w:t xml:space="preserve"> applicable</w:t>
      </w:r>
      <w:r w:rsidR="006801F1">
        <w:rPr>
          <w:szCs w:val="22"/>
        </w:rPr>
        <w:t>, and</w:t>
      </w:r>
      <w:r w:rsidR="00995191">
        <w:rPr>
          <w:szCs w:val="22"/>
        </w:rPr>
        <w:t>, if Appendix B is applicable,</w:t>
      </w:r>
      <w:r w:rsidR="006801F1">
        <w:rPr>
          <w:szCs w:val="22"/>
        </w:rPr>
        <w:t xml:space="preserve"> to enable Buyer to replace any Contract Quantity as required by the CAISO or CPUC due to a Planned Outage</w:t>
      </w:r>
      <w:r w:rsidRPr="0018503B">
        <w:rPr>
          <w:szCs w:val="22"/>
        </w:rPr>
        <w:t>.</w:t>
      </w:r>
      <w:r w:rsidR="0029412C" w:rsidRPr="0018503B">
        <w:rPr>
          <w:szCs w:val="22"/>
        </w:rPr>
        <w:t xml:space="preserve">  </w:t>
      </w:r>
      <w:r w:rsidR="00D40FB6" w:rsidRPr="0018503B">
        <w:rPr>
          <w:szCs w:val="22"/>
        </w:rPr>
        <w:t>The Parties further agree to n</w:t>
      </w:r>
      <w:r w:rsidRPr="0018503B">
        <w:rPr>
          <w:szCs w:val="22"/>
        </w:rPr>
        <w:t>egotiat</w:t>
      </w:r>
      <w:r w:rsidR="00D40FB6" w:rsidRPr="0018503B">
        <w:rPr>
          <w:szCs w:val="22"/>
        </w:rPr>
        <w:t>e</w:t>
      </w:r>
      <w:r w:rsidRPr="0018503B">
        <w:rPr>
          <w:szCs w:val="22"/>
        </w:rPr>
        <w:t xml:space="preserve"> in good faith to make necessary amendments, if any, to this Confirmation to conform this Transaction to subsequent clarifications, revisions or decisions rendered by the CPUC, FERC, or other Governmental Body having jurisdiction to administer RAR or L</w:t>
      </w:r>
      <w:r w:rsidR="00D40FB6" w:rsidRPr="0018503B">
        <w:rPr>
          <w:szCs w:val="22"/>
        </w:rPr>
        <w:t>ocal R</w:t>
      </w:r>
      <w:r w:rsidRPr="0018503B">
        <w:rPr>
          <w:szCs w:val="22"/>
        </w:rPr>
        <w:t xml:space="preserve">AR, to maintain the benefits of the bargain </w:t>
      </w:r>
      <w:r w:rsidR="00D40FB6" w:rsidRPr="0018503B">
        <w:rPr>
          <w:szCs w:val="22"/>
        </w:rPr>
        <w:t>struck</w:t>
      </w:r>
      <w:r w:rsidRPr="0018503B">
        <w:rPr>
          <w:szCs w:val="22"/>
        </w:rPr>
        <w:t xml:space="preserve"> by the Parties</w:t>
      </w:r>
      <w:r w:rsidR="008D4E74" w:rsidRPr="0018503B">
        <w:rPr>
          <w:szCs w:val="22"/>
        </w:rPr>
        <w:t xml:space="preserve"> on the Confirmation Effective Date</w:t>
      </w:r>
      <w:r w:rsidRPr="0018503B">
        <w:rPr>
          <w:szCs w:val="22"/>
        </w:rPr>
        <w:t>.</w:t>
      </w:r>
      <w:r w:rsidR="002B3CE8" w:rsidRPr="002B3CE8">
        <w:rPr>
          <w:szCs w:val="22"/>
        </w:rPr>
        <w:t xml:space="preserve"> </w:t>
      </w:r>
      <w:r w:rsidR="002B3CE8">
        <w:rPr>
          <w:szCs w:val="22"/>
        </w:rPr>
        <w:t>The Parties acknowledge that the benefit of the bargain as stated in this Agreement attempts to reflect anticipated changes to the CASIO and CPUC Resource Adequacy rules as such rules have been proposed as of the Confirmation Effective Date.</w:t>
      </w:r>
    </w:p>
    <w:p w:rsidR="00D40FB6" w:rsidRPr="0018503B" w:rsidRDefault="00D40FB6" w:rsidP="004E69EA">
      <w:pPr>
        <w:pStyle w:val="BodyTextIndent"/>
        <w:keepNext/>
        <w:numPr>
          <w:ilvl w:val="1"/>
          <w:numId w:val="1"/>
        </w:numPr>
        <w:rPr>
          <w:u w:val="single"/>
        </w:rPr>
      </w:pPr>
      <w:r w:rsidRPr="0018503B">
        <w:rPr>
          <w:u w:val="single"/>
        </w:rPr>
        <w:t>Seller’s Represents, Warrants and Covenants</w:t>
      </w:r>
    </w:p>
    <w:p w:rsidR="0021074D" w:rsidRPr="0018503B" w:rsidRDefault="0021074D" w:rsidP="004E69EA">
      <w:pPr>
        <w:keepNext/>
        <w:autoSpaceDE w:val="0"/>
        <w:autoSpaceDN w:val="0"/>
        <w:adjustRightInd w:val="0"/>
        <w:spacing w:after="240"/>
        <w:ind w:left="720"/>
        <w:jc w:val="both"/>
        <w:rPr>
          <w:szCs w:val="22"/>
        </w:rPr>
      </w:pPr>
      <w:r w:rsidRPr="0018503B">
        <w:rPr>
          <w:szCs w:val="22"/>
        </w:rPr>
        <w:t xml:space="preserve">Seller represents, warrants and covenants to Buyer that, </w:t>
      </w:r>
      <w:r w:rsidR="00EF3779" w:rsidRPr="0018503B">
        <w:rPr>
          <w:szCs w:val="22"/>
        </w:rPr>
        <w:t>throughout the Delivery Period:</w:t>
      </w:r>
    </w:p>
    <w:p w:rsidR="0021074D" w:rsidRPr="0018503B" w:rsidRDefault="00687D67" w:rsidP="00D40FB6">
      <w:pPr>
        <w:numPr>
          <w:ilvl w:val="0"/>
          <w:numId w:val="3"/>
        </w:numPr>
        <w:tabs>
          <w:tab w:val="left" w:pos="720"/>
        </w:tabs>
        <w:autoSpaceDE w:val="0"/>
        <w:autoSpaceDN w:val="0"/>
        <w:adjustRightInd w:val="0"/>
        <w:spacing w:after="240"/>
        <w:jc w:val="both"/>
        <w:rPr>
          <w:szCs w:val="22"/>
        </w:rPr>
      </w:pPr>
      <w:r w:rsidRPr="0018503B">
        <w:rPr>
          <w:szCs w:val="22"/>
        </w:rPr>
        <w:t>Seller owns</w:t>
      </w:r>
      <w:r w:rsidR="0021074D" w:rsidRPr="0018503B">
        <w:rPr>
          <w:szCs w:val="22"/>
        </w:rPr>
        <w:t xml:space="preserve"> or has the exclusive right to the </w:t>
      </w:r>
      <w:r w:rsidR="00D40FB6" w:rsidRPr="0018503B">
        <w:rPr>
          <w:szCs w:val="22"/>
        </w:rPr>
        <w:t>Product</w:t>
      </w:r>
      <w:r w:rsidR="0021074D" w:rsidRPr="0018503B">
        <w:rPr>
          <w:szCs w:val="22"/>
        </w:rPr>
        <w:t xml:space="preserve"> sold under this Confirmation from each Unit, and shall furnish Buyer, CAISO, CPUC or other Governmental Body with such evidence as may reasonably be requested to demonstrate such ownership or exclusive right;</w:t>
      </w:r>
    </w:p>
    <w:p w:rsidR="0021074D" w:rsidRPr="0018503B" w:rsidRDefault="0021074D" w:rsidP="008D4E74">
      <w:pPr>
        <w:numPr>
          <w:ilvl w:val="0"/>
          <w:numId w:val="3"/>
        </w:numPr>
        <w:tabs>
          <w:tab w:val="left" w:pos="720"/>
        </w:tabs>
        <w:autoSpaceDE w:val="0"/>
        <w:autoSpaceDN w:val="0"/>
        <w:adjustRightInd w:val="0"/>
        <w:spacing w:after="240"/>
        <w:jc w:val="both"/>
        <w:rPr>
          <w:szCs w:val="22"/>
        </w:rPr>
      </w:pPr>
      <w:r w:rsidRPr="0018503B">
        <w:rPr>
          <w:szCs w:val="22"/>
        </w:rPr>
        <w:t>No portion of the Contract Quantity has been committed by Seller to any third party in orde</w:t>
      </w:r>
      <w:r w:rsidR="008D4E74" w:rsidRPr="0018503B">
        <w:rPr>
          <w:szCs w:val="22"/>
        </w:rPr>
        <w:t xml:space="preserve">r to satisfy RAR </w:t>
      </w:r>
      <w:r w:rsidRPr="0018503B">
        <w:rPr>
          <w:szCs w:val="22"/>
        </w:rPr>
        <w:t xml:space="preserve">or </w:t>
      </w:r>
      <w:r w:rsidR="00D40FB6" w:rsidRPr="0018503B">
        <w:rPr>
          <w:szCs w:val="22"/>
        </w:rPr>
        <w:t xml:space="preserve">Local RAR </w:t>
      </w:r>
      <w:r w:rsidRPr="0018503B">
        <w:rPr>
          <w:szCs w:val="22"/>
        </w:rPr>
        <w:t xml:space="preserve">or analogous obligations in </w:t>
      </w:r>
      <w:r w:rsidR="00D40FB6" w:rsidRPr="0018503B">
        <w:rPr>
          <w:szCs w:val="22"/>
        </w:rPr>
        <w:t xml:space="preserve">any </w:t>
      </w:r>
      <w:r w:rsidRPr="0018503B">
        <w:rPr>
          <w:szCs w:val="22"/>
        </w:rPr>
        <w:t xml:space="preserve">CAISO </w:t>
      </w:r>
      <w:r w:rsidR="00D40FB6" w:rsidRPr="0018503B">
        <w:rPr>
          <w:szCs w:val="22"/>
        </w:rPr>
        <w:t xml:space="preserve">or non-CAISO </w:t>
      </w:r>
      <w:r w:rsidRPr="0018503B">
        <w:rPr>
          <w:szCs w:val="22"/>
        </w:rPr>
        <w:t>markets, other than pursuant to an RMR Agreement between the CAISO and either Seller or the Unit’s owner or operator;</w:t>
      </w:r>
    </w:p>
    <w:p w:rsidR="0021074D" w:rsidRPr="0018503B" w:rsidRDefault="0021074D" w:rsidP="008D4E74">
      <w:pPr>
        <w:numPr>
          <w:ilvl w:val="0"/>
          <w:numId w:val="3"/>
        </w:numPr>
        <w:tabs>
          <w:tab w:val="left" w:pos="720"/>
        </w:tabs>
        <w:autoSpaceDE w:val="0"/>
        <w:autoSpaceDN w:val="0"/>
        <w:adjustRightInd w:val="0"/>
        <w:spacing w:after="240"/>
        <w:jc w:val="both"/>
        <w:rPr>
          <w:szCs w:val="22"/>
        </w:rPr>
      </w:pPr>
      <w:r w:rsidRPr="0018503B">
        <w:rPr>
          <w:szCs w:val="22"/>
        </w:rPr>
        <w:t xml:space="preserve">Each Unit is connected to the CAISO Controlled Grid, is within the CAISO Control Area, and is under the </w:t>
      </w:r>
      <w:r w:rsidR="00EF3779" w:rsidRPr="0018503B">
        <w:rPr>
          <w:szCs w:val="22"/>
        </w:rPr>
        <w:t>control of CAISO;</w:t>
      </w:r>
    </w:p>
    <w:p w:rsidR="0021074D" w:rsidRPr="0018503B" w:rsidRDefault="001B3CDF" w:rsidP="008D4E74">
      <w:pPr>
        <w:numPr>
          <w:ilvl w:val="0"/>
          <w:numId w:val="3"/>
        </w:numPr>
        <w:tabs>
          <w:tab w:val="left" w:pos="720"/>
        </w:tabs>
        <w:autoSpaceDE w:val="0"/>
        <w:autoSpaceDN w:val="0"/>
        <w:adjustRightInd w:val="0"/>
        <w:spacing w:after="240"/>
        <w:jc w:val="both"/>
        <w:rPr>
          <w:szCs w:val="22"/>
        </w:rPr>
      </w:pPr>
      <w:r w:rsidRPr="0018503B">
        <w:rPr>
          <w:szCs w:val="22"/>
        </w:rPr>
        <w:t>Seller shall, and each Unit’s SC,</w:t>
      </w:r>
      <w:r w:rsidR="0021074D" w:rsidRPr="0018503B">
        <w:rPr>
          <w:szCs w:val="22"/>
        </w:rPr>
        <w:t xml:space="preserve"> owner </w:t>
      </w:r>
      <w:r w:rsidRPr="0018503B">
        <w:rPr>
          <w:szCs w:val="22"/>
        </w:rPr>
        <w:t>and</w:t>
      </w:r>
      <w:r w:rsidR="0021074D" w:rsidRPr="0018503B">
        <w:rPr>
          <w:szCs w:val="22"/>
        </w:rPr>
        <w:t xml:space="preserve"> operator is obligated to</w:t>
      </w:r>
      <w:r w:rsidRPr="0018503B">
        <w:rPr>
          <w:szCs w:val="22"/>
        </w:rPr>
        <w:t>,</w:t>
      </w:r>
      <w:r w:rsidR="0021074D" w:rsidRPr="0018503B">
        <w:rPr>
          <w:szCs w:val="22"/>
        </w:rPr>
        <w:t xml:space="preserve"> comply with Applicable Laws, including the Tariff, relating to </w:t>
      </w:r>
      <w:r w:rsidR="00D40FB6" w:rsidRPr="0018503B">
        <w:rPr>
          <w:szCs w:val="22"/>
        </w:rPr>
        <w:t>the Product</w:t>
      </w:r>
      <w:r w:rsidR="0021074D" w:rsidRPr="0018503B">
        <w:rPr>
          <w:szCs w:val="22"/>
        </w:rPr>
        <w:t>;</w:t>
      </w:r>
    </w:p>
    <w:p w:rsidR="008D4E74" w:rsidRPr="0018503B" w:rsidRDefault="008D4E74" w:rsidP="008D4E74">
      <w:pPr>
        <w:numPr>
          <w:ilvl w:val="0"/>
          <w:numId w:val="3"/>
        </w:numPr>
        <w:tabs>
          <w:tab w:val="left" w:pos="720"/>
        </w:tabs>
        <w:autoSpaceDE w:val="0"/>
        <w:autoSpaceDN w:val="0"/>
        <w:adjustRightInd w:val="0"/>
        <w:spacing w:after="240"/>
        <w:jc w:val="both"/>
        <w:rPr>
          <w:szCs w:val="22"/>
        </w:rPr>
      </w:pPr>
      <w:r w:rsidRPr="0018503B">
        <w:rPr>
          <w:szCs w:val="22"/>
        </w:rPr>
        <w:t xml:space="preserve">If Seller is the owner of any Unit, the aggregation of all amounts of </w:t>
      </w:r>
      <w:r w:rsidR="0028417A" w:rsidRPr="0018503B">
        <w:rPr>
          <w:szCs w:val="22"/>
        </w:rPr>
        <w:t xml:space="preserve">Local RA </w:t>
      </w:r>
      <w:r w:rsidR="00D424B2" w:rsidRPr="0018503B">
        <w:rPr>
          <w:szCs w:val="22"/>
        </w:rPr>
        <w:t>Attributes</w:t>
      </w:r>
      <w:r w:rsidRPr="0018503B">
        <w:rPr>
          <w:szCs w:val="22"/>
        </w:rPr>
        <w:t xml:space="preserve"> and </w:t>
      </w:r>
      <w:r w:rsidR="009F2C66" w:rsidRPr="0018503B">
        <w:rPr>
          <w:szCs w:val="22"/>
        </w:rPr>
        <w:t>RA Attributes</w:t>
      </w:r>
      <w:r w:rsidRPr="0018503B">
        <w:rPr>
          <w:szCs w:val="22"/>
        </w:rPr>
        <w:t xml:space="preserve"> that Seller has sold, assigned or transferred for any Unit does not exceed </w:t>
      </w:r>
      <w:r w:rsidR="00687D67" w:rsidRPr="0018503B">
        <w:rPr>
          <w:szCs w:val="22"/>
        </w:rPr>
        <w:t>the</w:t>
      </w:r>
      <w:r w:rsidRPr="0018503B">
        <w:rPr>
          <w:szCs w:val="22"/>
        </w:rPr>
        <w:t xml:space="preserve"> Unit</w:t>
      </w:r>
      <w:r w:rsidR="00D40FB6" w:rsidRPr="0018503B">
        <w:rPr>
          <w:szCs w:val="22"/>
        </w:rPr>
        <w:t xml:space="preserve"> NQC for that Unit</w:t>
      </w:r>
      <w:r w:rsidRPr="0018503B">
        <w:rPr>
          <w:szCs w:val="22"/>
        </w:rPr>
        <w:t>;</w:t>
      </w:r>
    </w:p>
    <w:p w:rsidR="0021074D" w:rsidRPr="0018503B" w:rsidRDefault="0021074D" w:rsidP="008D4E74">
      <w:pPr>
        <w:numPr>
          <w:ilvl w:val="0"/>
          <w:numId w:val="3"/>
        </w:numPr>
        <w:tabs>
          <w:tab w:val="left" w:pos="720"/>
        </w:tabs>
        <w:autoSpaceDE w:val="0"/>
        <w:autoSpaceDN w:val="0"/>
        <w:adjustRightInd w:val="0"/>
        <w:spacing w:after="240"/>
        <w:jc w:val="both"/>
        <w:rPr>
          <w:szCs w:val="22"/>
        </w:rPr>
      </w:pPr>
      <w:r w:rsidRPr="0018503B">
        <w:rPr>
          <w:szCs w:val="22"/>
        </w:rPr>
        <w:t xml:space="preserve">Seller has notified the SC of each Unit that Seller has transferred the </w:t>
      </w:r>
      <w:r w:rsidR="00D40FB6" w:rsidRPr="0018503B">
        <w:rPr>
          <w:szCs w:val="22"/>
        </w:rPr>
        <w:t>Unit Quantity</w:t>
      </w:r>
      <w:r w:rsidRPr="0018503B">
        <w:rPr>
          <w:szCs w:val="22"/>
        </w:rPr>
        <w:t xml:space="preserve"> to Buyer, and the SC is obligated to deliver the Supply Plans in accordance with the Tariff</w:t>
      </w:r>
      <w:r w:rsidR="00043C6B" w:rsidRPr="0018503B">
        <w:rPr>
          <w:szCs w:val="22"/>
        </w:rPr>
        <w:t xml:space="preserve"> fully reflecting such transfer</w:t>
      </w:r>
      <w:r w:rsidR="00EF3779" w:rsidRPr="0018503B">
        <w:rPr>
          <w:szCs w:val="22"/>
        </w:rPr>
        <w:t>;</w:t>
      </w:r>
    </w:p>
    <w:p w:rsidR="008D4E74" w:rsidRPr="0018503B" w:rsidRDefault="00D40FB6" w:rsidP="008D4E74">
      <w:pPr>
        <w:numPr>
          <w:ilvl w:val="0"/>
          <w:numId w:val="3"/>
        </w:numPr>
        <w:tabs>
          <w:tab w:val="left" w:pos="720"/>
        </w:tabs>
        <w:autoSpaceDE w:val="0"/>
        <w:autoSpaceDN w:val="0"/>
        <w:adjustRightInd w:val="0"/>
        <w:spacing w:after="240"/>
        <w:jc w:val="both"/>
        <w:rPr>
          <w:szCs w:val="22"/>
        </w:rPr>
      </w:pPr>
      <w:r w:rsidRPr="0018503B">
        <w:rPr>
          <w:szCs w:val="22"/>
        </w:rPr>
        <w:t>Seller has notified the</w:t>
      </w:r>
      <w:r w:rsidR="008D4E74" w:rsidRPr="0018503B">
        <w:rPr>
          <w:szCs w:val="22"/>
        </w:rPr>
        <w:t xml:space="preserve"> SC</w:t>
      </w:r>
      <w:r w:rsidRPr="0018503B">
        <w:rPr>
          <w:szCs w:val="22"/>
        </w:rPr>
        <w:t xml:space="preserve"> of each Unit that Seller</w:t>
      </w:r>
      <w:r w:rsidR="008D4E74" w:rsidRPr="0018503B">
        <w:rPr>
          <w:szCs w:val="22"/>
        </w:rPr>
        <w:t xml:space="preserve"> is obligated to </w:t>
      </w:r>
      <w:r w:rsidRPr="0018503B">
        <w:rPr>
          <w:szCs w:val="22"/>
        </w:rPr>
        <w:t xml:space="preserve">cause each Unit’s SC to </w:t>
      </w:r>
      <w:r w:rsidR="008D4E74" w:rsidRPr="0018503B">
        <w:rPr>
          <w:szCs w:val="22"/>
        </w:rPr>
        <w:t>provide to Buyer, at least fifteen (15) Business Days before the relevant deadline for each RAR or L</w:t>
      </w:r>
      <w:r w:rsidRPr="0018503B">
        <w:rPr>
          <w:szCs w:val="22"/>
        </w:rPr>
        <w:t>ocal R</w:t>
      </w:r>
      <w:r w:rsidR="008D4E74" w:rsidRPr="0018503B">
        <w:rPr>
          <w:szCs w:val="22"/>
        </w:rPr>
        <w:t xml:space="preserve">AR Showing, the </w:t>
      </w:r>
      <w:r w:rsidRPr="0018503B">
        <w:rPr>
          <w:szCs w:val="22"/>
        </w:rPr>
        <w:t>Unit Quantity</w:t>
      </w:r>
      <w:r w:rsidR="008D4E74" w:rsidRPr="0018503B">
        <w:rPr>
          <w:szCs w:val="22"/>
        </w:rPr>
        <w:t xml:space="preserve"> of each Unit that is to be submitted in the Supply Plan associated with this </w:t>
      </w:r>
      <w:r w:rsidRPr="0018503B">
        <w:rPr>
          <w:szCs w:val="22"/>
        </w:rPr>
        <w:t>Agreement</w:t>
      </w:r>
      <w:r w:rsidR="00CD4A6C" w:rsidRPr="0018503B">
        <w:rPr>
          <w:szCs w:val="22"/>
        </w:rPr>
        <w:t xml:space="preserve"> </w:t>
      </w:r>
      <w:r w:rsidR="0029412C" w:rsidRPr="0018503B">
        <w:rPr>
          <w:szCs w:val="22"/>
        </w:rPr>
        <w:t>for the applicable period;</w:t>
      </w:r>
    </w:p>
    <w:p w:rsidR="0021074D" w:rsidRPr="0018503B" w:rsidRDefault="0021074D" w:rsidP="008D4E74">
      <w:pPr>
        <w:numPr>
          <w:ilvl w:val="0"/>
          <w:numId w:val="3"/>
        </w:numPr>
        <w:tabs>
          <w:tab w:val="left" w:pos="720"/>
        </w:tabs>
        <w:autoSpaceDE w:val="0"/>
        <w:autoSpaceDN w:val="0"/>
        <w:adjustRightInd w:val="0"/>
        <w:spacing w:after="240"/>
        <w:jc w:val="both"/>
        <w:rPr>
          <w:szCs w:val="22"/>
        </w:rPr>
      </w:pPr>
      <w:r w:rsidRPr="0018503B">
        <w:rPr>
          <w:szCs w:val="22"/>
        </w:rPr>
        <w:t xml:space="preserve">Seller has notified each Unit’s SC that Buyer is entitled to the revenues set forth in Section </w:t>
      </w:r>
      <w:r w:rsidR="00F02327" w:rsidRPr="0018503B">
        <w:rPr>
          <w:szCs w:val="22"/>
        </w:rPr>
        <w:t>4.3</w:t>
      </w:r>
      <w:r w:rsidRPr="0018503B">
        <w:rPr>
          <w:szCs w:val="22"/>
        </w:rPr>
        <w:t xml:space="preserve">, and </w:t>
      </w:r>
      <w:r w:rsidR="000272AF" w:rsidRPr="0018503B">
        <w:rPr>
          <w:szCs w:val="22"/>
        </w:rPr>
        <w:t xml:space="preserve">such </w:t>
      </w:r>
      <w:r w:rsidRPr="0018503B">
        <w:rPr>
          <w:szCs w:val="22"/>
        </w:rPr>
        <w:t>SC is obligated to promptly deliver those revenues to Buyer, along with appropriate documentation supporti</w:t>
      </w:r>
      <w:r w:rsidR="0029412C" w:rsidRPr="0018503B">
        <w:rPr>
          <w:szCs w:val="22"/>
        </w:rPr>
        <w:t>ng the amount of those revenues;</w:t>
      </w:r>
    </w:p>
    <w:p w:rsidR="001331C3" w:rsidRPr="0018503B" w:rsidRDefault="0018503B" w:rsidP="001331C3">
      <w:pPr>
        <w:numPr>
          <w:ilvl w:val="0"/>
          <w:numId w:val="3"/>
        </w:numPr>
        <w:tabs>
          <w:tab w:val="left" w:pos="720"/>
        </w:tabs>
        <w:autoSpaceDE w:val="0"/>
        <w:autoSpaceDN w:val="0"/>
        <w:adjustRightInd w:val="0"/>
        <w:spacing w:after="240"/>
        <w:jc w:val="both"/>
        <w:rPr>
          <w:szCs w:val="22"/>
        </w:rPr>
      </w:pPr>
      <w:r w:rsidRPr="0018503B">
        <w:rPr>
          <w:szCs w:val="22"/>
        </w:rPr>
        <w:lastRenderedPageBreak/>
        <w:t>I</w:t>
      </w:r>
      <w:r w:rsidR="001331C3" w:rsidRPr="0018503B">
        <w:rPr>
          <w:szCs w:val="22"/>
        </w:rPr>
        <w:t>n the event Seller has rights to the energy output of any Unit, and Seller or the Unit’s S</w:t>
      </w:r>
      <w:r w:rsidR="001B3CDF" w:rsidRPr="0018503B">
        <w:rPr>
          <w:szCs w:val="22"/>
        </w:rPr>
        <w:t>C</w:t>
      </w:r>
      <w:r w:rsidR="001331C3" w:rsidRPr="0018503B">
        <w:rPr>
          <w:szCs w:val="22"/>
        </w:rPr>
        <w:t xml:space="preserve"> schedules energy from the Unit for export from the CAISO Control Area, or commits energy to another entity in a manner that could result in scheduling energy from the Unit for export from the CAISO Control Area, it shall do so only as allowed by, and in accordance with, Applicable Laws and such exports may, if allowed by the Tariff, be curtailed by the CAISO</w:t>
      </w:r>
      <w:r w:rsidR="0029412C" w:rsidRPr="0018503B">
        <w:rPr>
          <w:szCs w:val="22"/>
        </w:rPr>
        <w:t>, and</w:t>
      </w:r>
      <w:r w:rsidR="001331C3" w:rsidRPr="0018503B">
        <w:rPr>
          <w:szCs w:val="22"/>
        </w:rPr>
        <w:t>;</w:t>
      </w:r>
    </w:p>
    <w:p w:rsidR="001331C3" w:rsidRPr="0018503B" w:rsidRDefault="001331C3" w:rsidP="001331C3">
      <w:pPr>
        <w:numPr>
          <w:ilvl w:val="0"/>
          <w:numId w:val="3"/>
        </w:numPr>
        <w:tabs>
          <w:tab w:val="left" w:pos="720"/>
        </w:tabs>
        <w:autoSpaceDE w:val="0"/>
        <w:autoSpaceDN w:val="0"/>
        <w:adjustRightInd w:val="0"/>
        <w:spacing w:after="240"/>
        <w:jc w:val="both"/>
        <w:rPr>
          <w:szCs w:val="22"/>
        </w:rPr>
      </w:pPr>
      <w:r w:rsidRPr="0018503B">
        <w:rPr>
          <w:szCs w:val="22"/>
        </w:rPr>
        <w:t xml:space="preserve">The owner or operator of each Unit is obligated to maintain and operate each Unit using Good Utility Practice and, if applicable, General Order 167 as outlined by the CPUC in the Enforcement of Maintenance and Operation Standards for Electric Generating Facilities Adopted May 6, 2004, and is obligated to abide by all Applicable Laws in operating such Unit; provided, that the owner or operator of any Unit is not required to undertake capital improvements, facility enhancements, or the </w:t>
      </w:r>
      <w:r w:rsidR="0029412C" w:rsidRPr="0018503B">
        <w:rPr>
          <w:szCs w:val="22"/>
        </w:rPr>
        <w:t>construction of new facilities.</w:t>
      </w:r>
    </w:p>
    <w:p w:rsidR="0021074D" w:rsidRPr="0018503B" w:rsidRDefault="00D40FB6" w:rsidP="004E69EA">
      <w:pPr>
        <w:keepNext/>
        <w:numPr>
          <w:ilvl w:val="0"/>
          <w:numId w:val="1"/>
        </w:numPr>
        <w:spacing w:after="240"/>
        <w:rPr>
          <w:b/>
          <w:szCs w:val="22"/>
          <w:u w:val="single"/>
        </w:rPr>
      </w:pPr>
      <w:r w:rsidRPr="0018503B">
        <w:rPr>
          <w:b/>
          <w:szCs w:val="22"/>
          <w:u w:val="single"/>
        </w:rPr>
        <w:t>Confidentiality</w:t>
      </w:r>
    </w:p>
    <w:p w:rsidR="0021074D" w:rsidRPr="0018503B" w:rsidRDefault="0021074D" w:rsidP="00493673">
      <w:pPr>
        <w:spacing w:after="240"/>
        <w:ind w:left="360"/>
        <w:jc w:val="both"/>
        <w:rPr>
          <w:szCs w:val="22"/>
        </w:rPr>
      </w:pPr>
      <w:r w:rsidRPr="0018503B">
        <w:rPr>
          <w:szCs w:val="22"/>
        </w:rPr>
        <w:t xml:space="preserve">Notwithstanding Section 10.11 of the </w:t>
      </w:r>
      <w:r w:rsidR="006759D7" w:rsidRPr="0018503B">
        <w:rPr>
          <w:szCs w:val="22"/>
        </w:rPr>
        <w:t xml:space="preserve">Master </w:t>
      </w:r>
      <w:r w:rsidRPr="0018503B">
        <w:rPr>
          <w:szCs w:val="22"/>
        </w:rPr>
        <w:t>Agreement, the Parties agree that Buyer</w:t>
      </w:r>
      <w:r w:rsidR="00B834E8" w:rsidRPr="0018503B">
        <w:rPr>
          <w:szCs w:val="22"/>
        </w:rPr>
        <w:t xml:space="preserve"> and Seller</w:t>
      </w:r>
      <w:r w:rsidRPr="0018503B">
        <w:rPr>
          <w:szCs w:val="22"/>
        </w:rPr>
        <w:t xml:space="preserve"> may disclose this </w:t>
      </w:r>
      <w:r w:rsidR="00917198" w:rsidRPr="0018503B">
        <w:rPr>
          <w:szCs w:val="22"/>
        </w:rPr>
        <w:t>EEI Agreement</w:t>
      </w:r>
      <w:r w:rsidRPr="0018503B">
        <w:rPr>
          <w:szCs w:val="22"/>
        </w:rPr>
        <w:t xml:space="preserve"> to </w:t>
      </w:r>
      <w:r w:rsidR="00043C6B" w:rsidRPr="0018503B">
        <w:rPr>
          <w:szCs w:val="22"/>
        </w:rPr>
        <w:t xml:space="preserve">the CPUC, CAISO and </w:t>
      </w:r>
      <w:r w:rsidRPr="0018503B">
        <w:rPr>
          <w:szCs w:val="22"/>
        </w:rPr>
        <w:t>any Governmental Body</w:t>
      </w:r>
      <w:r w:rsidR="005B1240" w:rsidRPr="0018503B">
        <w:rPr>
          <w:szCs w:val="22"/>
        </w:rPr>
        <w:t>,</w:t>
      </w:r>
      <w:r w:rsidRPr="0018503B">
        <w:rPr>
          <w:szCs w:val="22"/>
        </w:rPr>
        <w:t xml:space="preserve"> </w:t>
      </w:r>
      <w:r w:rsidR="00917198" w:rsidRPr="0018503B">
        <w:rPr>
          <w:szCs w:val="22"/>
        </w:rPr>
        <w:t>as required by A</w:t>
      </w:r>
      <w:r w:rsidRPr="0018503B">
        <w:rPr>
          <w:szCs w:val="22"/>
        </w:rPr>
        <w:t>pplicable</w:t>
      </w:r>
      <w:r w:rsidR="00917198" w:rsidRPr="0018503B">
        <w:rPr>
          <w:szCs w:val="22"/>
        </w:rPr>
        <w:t xml:space="preserve"> Law</w:t>
      </w:r>
      <w:r w:rsidR="005B1240" w:rsidRPr="0018503B">
        <w:rPr>
          <w:szCs w:val="22"/>
        </w:rPr>
        <w:t>,</w:t>
      </w:r>
      <w:r w:rsidRPr="0018503B">
        <w:rPr>
          <w:szCs w:val="22"/>
        </w:rPr>
        <w:t xml:space="preserve"> and Seller may disclose the transfer of the </w:t>
      </w:r>
      <w:r w:rsidR="00D40FB6" w:rsidRPr="0018503B">
        <w:rPr>
          <w:szCs w:val="22"/>
        </w:rPr>
        <w:t>Contract Quantity</w:t>
      </w:r>
      <w:r w:rsidRPr="0018503B">
        <w:rPr>
          <w:szCs w:val="22"/>
        </w:rPr>
        <w:t xml:space="preserve"> under this Transaction to the SC of each Unit in order for such SC to timely submit accurate Supply Plans; provided, that each disclosing Party shall</w:t>
      </w:r>
      <w:r w:rsidR="008D4E74" w:rsidRPr="0018503B">
        <w:rPr>
          <w:szCs w:val="22"/>
        </w:rPr>
        <w:t xml:space="preserve"> </w:t>
      </w:r>
      <w:r w:rsidRPr="0018503B">
        <w:rPr>
          <w:szCs w:val="22"/>
        </w:rPr>
        <w:t>use reasonable efforts to limit</w:t>
      </w:r>
      <w:r w:rsidR="008D4E74" w:rsidRPr="0018503B">
        <w:rPr>
          <w:szCs w:val="22"/>
        </w:rPr>
        <w:t>, to the extent possible,</w:t>
      </w:r>
      <w:r w:rsidR="00D40FB6" w:rsidRPr="0018503B">
        <w:rPr>
          <w:szCs w:val="22"/>
        </w:rPr>
        <w:t xml:space="preserve"> the ability</w:t>
      </w:r>
      <w:r w:rsidR="00B90A37" w:rsidRPr="0018503B">
        <w:rPr>
          <w:szCs w:val="22"/>
        </w:rPr>
        <w:t xml:space="preserve"> of any</w:t>
      </w:r>
      <w:r w:rsidRPr="0018503B">
        <w:rPr>
          <w:szCs w:val="22"/>
        </w:rPr>
        <w:t xml:space="preserve"> such applicable Govern</w:t>
      </w:r>
      <w:r w:rsidR="00EF3779" w:rsidRPr="0018503B">
        <w:rPr>
          <w:szCs w:val="22"/>
        </w:rPr>
        <w:t>mental Body, CAISO, or SC</w:t>
      </w:r>
      <w:r w:rsidR="00D40FB6" w:rsidRPr="0018503B">
        <w:rPr>
          <w:szCs w:val="22"/>
        </w:rPr>
        <w:t xml:space="preserve"> to further disclose such information</w:t>
      </w:r>
      <w:r w:rsidR="00EF3779" w:rsidRPr="0018503B">
        <w:rPr>
          <w:szCs w:val="22"/>
        </w:rPr>
        <w:t>.</w:t>
      </w:r>
      <w:r w:rsidR="00D40FB6" w:rsidRPr="0018503B">
        <w:rPr>
          <w:szCs w:val="22"/>
        </w:rPr>
        <w:t xml:space="preserve">  </w:t>
      </w:r>
      <w:r w:rsidR="0061647F" w:rsidRPr="0061647F">
        <w:rPr>
          <w:szCs w:val="22"/>
        </w:rPr>
        <w:t>In addition, in the event Buyer resells all or any portion of the Product, Buyer shall be permitted to disclose to the other party to such resale transaction all such information necessary to effect such resale transaction.</w:t>
      </w:r>
    </w:p>
    <w:p w:rsidR="00702B06" w:rsidRPr="0018503B" w:rsidRDefault="00995191" w:rsidP="004E69EA">
      <w:pPr>
        <w:keepNext/>
        <w:numPr>
          <w:ilvl w:val="0"/>
          <w:numId w:val="1"/>
        </w:numPr>
        <w:spacing w:after="240"/>
        <w:rPr>
          <w:b/>
          <w:szCs w:val="22"/>
          <w:u w:val="single"/>
        </w:rPr>
      </w:pPr>
      <w:r>
        <w:rPr>
          <w:b/>
          <w:szCs w:val="22"/>
          <w:u w:val="single"/>
        </w:rPr>
        <w:t>Reserved.</w:t>
      </w:r>
    </w:p>
    <w:p w:rsidR="0021074D" w:rsidRPr="002B3CE8" w:rsidRDefault="0021074D" w:rsidP="004E69EA">
      <w:pPr>
        <w:keepNext/>
        <w:numPr>
          <w:ilvl w:val="0"/>
          <w:numId w:val="1"/>
        </w:numPr>
        <w:spacing w:after="240"/>
        <w:rPr>
          <w:b/>
          <w:szCs w:val="22"/>
          <w:u w:val="single"/>
        </w:rPr>
      </w:pPr>
      <w:r w:rsidRPr="0018503B">
        <w:rPr>
          <w:b/>
          <w:szCs w:val="22"/>
          <w:u w:val="single"/>
        </w:rPr>
        <w:t>Collateral Requirements</w:t>
      </w:r>
      <w:r w:rsidR="00B834E8" w:rsidRPr="0018503B">
        <w:rPr>
          <w:b/>
          <w:szCs w:val="22"/>
          <w:u w:val="single"/>
        </w:rPr>
        <w:t xml:space="preserve">:  </w:t>
      </w:r>
      <w:r w:rsidR="00C47CDA" w:rsidRPr="00804DBB">
        <w:rPr>
          <w:b/>
          <w:szCs w:val="22"/>
          <w:highlight w:val="yellow"/>
          <w:u w:val="single"/>
        </w:rPr>
        <w:t>[</w:t>
      </w:r>
      <w:r w:rsidR="0018503B" w:rsidRPr="00804DBB">
        <w:rPr>
          <w:b/>
          <w:bCs/>
          <w:szCs w:val="22"/>
          <w:highlight w:val="yellow"/>
          <w:u w:val="single"/>
        </w:rPr>
        <w:t xml:space="preserve">NOTE to </w:t>
      </w:r>
      <w:r w:rsidR="00C47CDA" w:rsidRPr="00804DBB">
        <w:rPr>
          <w:b/>
          <w:bCs/>
          <w:szCs w:val="22"/>
          <w:highlight w:val="yellow"/>
          <w:u w:val="single"/>
        </w:rPr>
        <w:t>Respondents</w:t>
      </w:r>
      <w:r w:rsidR="0018503B" w:rsidRPr="00804DBB">
        <w:rPr>
          <w:b/>
          <w:bCs/>
          <w:szCs w:val="22"/>
          <w:highlight w:val="yellow"/>
          <w:u w:val="single"/>
        </w:rPr>
        <w:t>:  To Be Determined.]</w:t>
      </w:r>
    </w:p>
    <w:p w:rsidR="00DF1707" w:rsidRPr="00C47CDA" w:rsidRDefault="00CB0EA6">
      <w:pPr>
        <w:keepNext/>
        <w:numPr>
          <w:ilvl w:val="0"/>
          <w:numId w:val="1"/>
        </w:numPr>
        <w:spacing w:after="240"/>
        <w:rPr>
          <w:b/>
          <w:szCs w:val="22"/>
          <w:u w:val="single"/>
        </w:rPr>
      </w:pPr>
      <w:r w:rsidRPr="00CB0EA6">
        <w:rPr>
          <w:b/>
          <w:szCs w:val="22"/>
          <w:u w:val="single"/>
        </w:rPr>
        <w:t>Master Agreement Amendments</w:t>
      </w:r>
    </w:p>
    <w:p w:rsidR="00995CF5" w:rsidRDefault="00C47CDA">
      <w:pPr>
        <w:keepNext/>
        <w:numPr>
          <w:ilvl w:val="1"/>
          <w:numId w:val="1"/>
        </w:numPr>
        <w:tabs>
          <w:tab w:val="clear" w:pos="792"/>
          <w:tab w:val="num" w:pos="900"/>
        </w:tabs>
        <w:spacing w:after="240"/>
        <w:ind w:left="900" w:hanging="540"/>
        <w:rPr>
          <w:szCs w:val="22"/>
        </w:rPr>
      </w:pPr>
      <w:r w:rsidRPr="0061647F">
        <w:rPr>
          <w:szCs w:val="22"/>
        </w:rPr>
        <w:t>Section 10.6 of the Master Agreement shall be deleted in its entirety and replaced with the following:</w:t>
      </w:r>
    </w:p>
    <w:p w:rsidR="00995CF5" w:rsidRDefault="002B3CE8">
      <w:pPr>
        <w:pStyle w:val="ConfirmSignatureBold"/>
        <w:ind w:left="900"/>
        <w:rPr>
          <w:b w:val="0"/>
          <w:bCs w:val="0"/>
          <w:sz w:val="22"/>
          <w:szCs w:val="22"/>
        </w:rPr>
      </w:pPr>
      <w:r w:rsidRPr="00E37F2E">
        <w:rPr>
          <w:b w:val="0"/>
          <w:bCs w:val="0"/>
          <w:sz w:val="22"/>
          <w:szCs w:val="22"/>
        </w:rPr>
        <w:t xml:space="preserve">“THIS AGREEMENT AND THE RIGHTS AND DUTIES </w:t>
      </w:r>
      <w:r>
        <w:rPr>
          <w:b w:val="0"/>
          <w:bCs w:val="0"/>
          <w:sz w:val="22"/>
          <w:szCs w:val="22"/>
        </w:rPr>
        <w:t>OF</w:t>
      </w:r>
      <w:r w:rsidRPr="00E37F2E">
        <w:rPr>
          <w:b w:val="0"/>
          <w:bCs w:val="0"/>
          <w:sz w:val="22"/>
          <w:szCs w:val="22"/>
        </w:rPr>
        <w:t xml:space="preserve"> THE PARTIES HEREUNDER SHALL BE GOVERNED BY AND CONSTRUED, ENFORCED AND PERFORMED IN ACCORDANCE WITH THE LAWS OF THE STATE OF CALIFORNIA, WITHOUT REGARD TO PRINCIPLES OF CONFLICTS OF LAW.  TO THE EXTENT PERMISSIBLE UNDER APPLICABLE LAW, EACH PARTY WAIVES ITS RESPECTIVE RIGH TO ANY JURY TRIAL WITH RESPECT TO ANY LITIGATION ARISING UNDER OR IN CONNECTION WITH THIS AGREEMENT.”</w:t>
      </w:r>
    </w:p>
    <w:p w:rsidR="007F2B3C" w:rsidRPr="0018503B" w:rsidRDefault="007F2B3C" w:rsidP="007F2B3C">
      <w:pPr>
        <w:keepNext/>
        <w:spacing w:after="240"/>
        <w:rPr>
          <w:b/>
          <w:szCs w:val="22"/>
          <w:u w:val="single"/>
        </w:rPr>
      </w:pPr>
    </w:p>
    <w:p w:rsidR="00401255" w:rsidRPr="0018503B" w:rsidRDefault="00DC6394" w:rsidP="004E69EA">
      <w:pPr>
        <w:keepNext/>
        <w:numPr>
          <w:ilvl w:val="0"/>
          <w:numId w:val="1"/>
        </w:numPr>
        <w:spacing w:after="240"/>
        <w:rPr>
          <w:b/>
          <w:szCs w:val="22"/>
          <w:u w:val="single"/>
        </w:rPr>
      </w:pPr>
      <w:r w:rsidRPr="0018503B">
        <w:rPr>
          <w:szCs w:val="22"/>
        </w:rPr>
        <w:tab/>
      </w:r>
      <w:r w:rsidR="00401255" w:rsidRPr="0018503B">
        <w:rPr>
          <w:b/>
          <w:szCs w:val="22"/>
          <w:u w:val="single"/>
        </w:rPr>
        <w:t>Declaration of an Early Termination Date and Calculation of Settlement Amounts</w:t>
      </w:r>
    </w:p>
    <w:p w:rsidR="0021074D" w:rsidRPr="0018503B" w:rsidRDefault="0021074D">
      <w:pPr>
        <w:pStyle w:val="BodyTextIndent3"/>
        <w:spacing w:after="240"/>
        <w:ind w:left="720"/>
        <w:jc w:val="both"/>
        <w:rPr>
          <w:sz w:val="22"/>
          <w:szCs w:val="22"/>
        </w:rPr>
      </w:pPr>
      <w:r w:rsidRPr="0018503B">
        <w:rPr>
          <w:sz w:val="22"/>
          <w:szCs w:val="22"/>
        </w:rPr>
        <w:t>Notwithstanding anything to the contrary, the Parties shall determine the Settlement Amount for this Transaction in accordance</w:t>
      </w:r>
      <w:r w:rsidR="00101A70" w:rsidRPr="0018503B">
        <w:rPr>
          <w:sz w:val="22"/>
          <w:szCs w:val="22"/>
        </w:rPr>
        <w:t xml:space="preserve"> with</w:t>
      </w:r>
      <w:r w:rsidRPr="0018503B">
        <w:rPr>
          <w:sz w:val="22"/>
          <w:szCs w:val="22"/>
        </w:rPr>
        <w:t xml:space="preserve"> Section 5.2 of the Master Agreement</w:t>
      </w:r>
      <w:r w:rsidR="00B90A37" w:rsidRPr="0018503B">
        <w:rPr>
          <w:sz w:val="22"/>
          <w:szCs w:val="22"/>
        </w:rPr>
        <w:t xml:space="preserve"> using the defined terms contained in this Confirmation as applicable</w:t>
      </w:r>
      <w:r w:rsidRPr="0018503B">
        <w:rPr>
          <w:sz w:val="22"/>
          <w:szCs w:val="22"/>
        </w:rPr>
        <w:t xml:space="preserve">. </w:t>
      </w:r>
      <w:r w:rsidR="00401255" w:rsidRPr="0018503B">
        <w:rPr>
          <w:sz w:val="22"/>
          <w:szCs w:val="22"/>
        </w:rPr>
        <w:t xml:space="preserve"> Furthermore, with </w:t>
      </w:r>
      <w:r w:rsidR="00401255" w:rsidRPr="0018503B">
        <w:rPr>
          <w:sz w:val="22"/>
          <w:szCs w:val="22"/>
        </w:rPr>
        <w:lastRenderedPageBreak/>
        <w:t>respect to this Transaction only, the following language is to be added at the end of Section 5.2</w:t>
      </w:r>
      <w:r w:rsidR="00101A70" w:rsidRPr="0018503B">
        <w:rPr>
          <w:sz w:val="22"/>
          <w:szCs w:val="22"/>
        </w:rPr>
        <w:t xml:space="preserve"> of the Master Agreement</w:t>
      </w:r>
      <w:r w:rsidR="00401255" w:rsidRPr="0018503B">
        <w:rPr>
          <w:sz w:val="22"/>
          <w:szCs w:val="22"/>
        </w:rPr>
        <w:t>:</w:t>
      </w:r>
    </w:p>
    <w:p w:rsidR="00401255" w:rsidRPr="0018503B" w:rsidRDefault="008D14BE" w:rsidP="00401255">
      <w:pPr>
        <w:pStyle w:val="BodyTextIndent3"/>
        <w:spacing w:after="240"/>
        <w:ind w:left="1440" w:right="720"/>
        <w:jc w:val="both"/>
        <w:rPr>
          <w:sz w:val="22"/>
          <w:szCs w:val="22"/>
        </w:rPr>
      </w:pPr>
      <w:r w:rsidRPr="0018503B">
        <w:rPr>
          <w:sz w:val="22"/>
          <w:szCs w:val="22"/>
        </w:rPr>
        <w:t>“</w:t>
      </w:r>
      <w:r w:rsidR="00401255" w:rsidRPr="0018503B">
        <w:rPr>
          <w:sz w:val="22"/>
          <w:szCs w:val="22"/>
        </w:rPr>
        <w:t>If Buyer is the Non-Defaulting Party and Buyer reasonably expects to incur penalties</w:t>
      </w:r>
      <w:r w:rsidR="00CA30E1" w:rsidRPr="0018503B">
        <w:rPr>
          <w:sz w:val="22"/>
          <w:szCs w:val="22"/>
        </w:rPr>
        <w:t>,</w:t>
      </w:r>
      <w:r w:rsidR="00401255" w:rsidRPr="0018503B">
        <w:rPr>
          <w:sz w:val="22"/>
          <w:szCs w:val="22"/>
        </w:rPr>
        <w:t xml:space="preserve"> fines</w:t>
      </w:r>
      <w:r w:rsidR="00CA30E1" w:rsidRPr="0018503B">
        <w:rPr>
          <w:sz w:val="22"/>
          <w:szCs w:val="22"/>
        </w:rPr>
        <w:t xml:space="preserve"> or costs</w:t>
      </w:r>
      <w:r w:rsidR="00401255" w:rsidRPr="0018503B">
        <w:rPr>
          <w:sz w:val="22"/>
          <w:szCs w:val="22"/>
        </w:rPr>
        <w:t xml:space="preserve"> from the CPUC, the CAISO, or any other Governmental Body having jurisdiction, because Buyer is not able to include the Contract Quantity in any applicable RAR Showing or L</w:t>
      </w:r>
      <w:r w:rsidR="00CA30E1" w:rsidRPr="0018503B">
        <w:rPr>
          <w:sz w:val="22"/>
          <w:szCs w:val="22"/>
        </w:rPr>
        <w:t>ocal R</w:t>
      </w:r>
      <w:r w:rsidR="00401255" w:rsidRPr="0018503B">
        <w:rPr>
          <w:sz w:val="22"/>
          <w:szCs w:val="22"/>
        </w:rPr>
        <w:t>AR Showing due to Seller’s Event of Default</w:t>
      </w:r>
      <w:r w:rsidR="003A0D92" w:rsidRPr="0018503B">
        <w:rPr>
          <w:sz w:val="22"/>
          <w:szCs w:val="22"/>
        </w:rPr>
        <w:t xml:space="preserve"> and Buyer has not purchased Replacement Capacity</w:t>
      </w:r>
      <w:r w:rsidR="00401255" w:rsidRPr="0018503B">
        <w:rPr>
          <w:sz w:val="22"/>
          <w:szCs w:val="22"/>
        </w:rPr>
        <w:t>, then Buyer may, in good faith, estimate the amount of those penalties or fines</w:t>
      </w:r>
      <w:r w:rsidR="003A0D92" w:rsidRPr="0018503B">
        <w:rPr>
          <w:sz w:val="22"/>
          <w:szCs w:val="22"/>
        </w:rPr>
        <w:t xml:space="preserve"> on a $/kW-month basis subtracting the Contract Price (in $/kW-month)</w:t>
      </w:r>
      <w:r w:rsidR="00401255" w:rsidRPr="0018503B">
        <w:rPr>
          <w:sz w:val="22"/>
          <w:szCs w:val="22"/>
        </w:rPr>
        <w:t xml:space="preserve"> and include this estimate in its determination of the Settlement Amount, subject to accounting to Seller when those penalties or fines are finally ascertained.  The rights and obligations with respect to determining and paying any Settlement Amount or Termination Payment, and any dispute resolution provisions with respect thereto, shall survive the termination of this Transaction and shall continue until after those penalties or fines are finally ascertained.</w:t>
      </w:r>
      <w:r w:rsidRPr="0018503B">
        <w:rPr>
          <w:sz w:val="22"/>
          <w:szCs w:val="22"/>
        </w:rPr>
        <w:t>”</w:t>
      </w:r>
    </w:p>
    <w:p w:rsidR="0021074D" w:rsidRPr="0018503B" w:rsidRDefault="0021074D" w:rsidP="00EF3779">
      <w:pPr>
        <w:keepNext/>
        <w:tabs>
          <w:tab w:val="left" w:pos="4680"/>
        </w:tabs>
        <w:spacing w:after="240"/>
        <w:ind w:left="360" w:hanging="360"/>
        <w:jc w:val="both"/>
        <w:rPr>
          <w:szCs w:val="22"/>
        </w:rPr>
      </w:pPr>
      <w:r w:rsidRPr="0018503B">
        <w:rPr>
          <w:szCs w:val="22"/>
        </w:rPr>
        <w:t>BUYER</w:t>
      </w:r>
      <w:r w:rsidRPr="0018503B">
        <w:rPr>
          <w:szCs w:val="22"/>
        </w:rPr>
        <w:tab/>
        <w:t>SELLER</w:t>
      </w:r>
    </w:p>
    <w:p w:rsidR="00B90A37" w:rsidRPr="0018503B" w:rsidRDefault="00B47672" w:rsidP="00EF3779">
      <w:pPr>
        <w:keepNext/>
        <w:tabs>
          <w:tab w:val="left" w:pos="4680"/>
        </w:tabs>
        <w:spacing w:after="240"/>
        <w:ind w:left="360" w:hanging="360"/>
        <w:jc w:val="both"/>
        <w:rPr>
          <w:szCs w:val="22"/>
        </w:rPr>
      </w:pPr>
      <w:r w:rsidRPr="0018503B">
        <w:rPr>
          <w:szCs w:val="22"/>
        </w:rPr>
        <w:t>[</w:t>
      </w:r>
      <w:r w:rsidR="00EF3779" w:rsidRPr="0018503B">
        <w:rPr>
          <w:szCs w:val="22"/>
        </w:rPr>
        <w:t>INSERT COMPANY NAME</w:t>
      </w:r>
      <w:r w:rsidRPr="0018503B">
        <w:rPr>
          <w:szCs w:val="22"/>
        </w:rPr>
        <w:t>]</w:t>
      </w:r>
      <w:r w:rsidR="00EF3779" w:rsidRPr="0018503B">
        <w:rPr>
          <w:szCs w:val="22"/>
        </w:rPr>
        <w:tab/>
      </w:r>
      <w:r w:rsidR="00B90A37" w:rsidRPr="0018503B">
        <w:rPr>
          <w:szCs w:val="22"/>
        </w:rPr>
        <w:t>[INSERT</w:t>
      </w:r>
      <w:r w:rsidR="00EF3779" w:rsidRPr="0018503B">
        <w:rPr>
          <w:szCs w:val="22"/>
        </w:rPr>
        <w:t xml:space="preserve"> COMPANY NAME</w:t>
      </w:r>
      <w:r w:rsidR="00B90A37" w:rsidRPr="0018503B">
        <w:rPr>
          <w:szCs w:val="22"/>
        </w:rPr>
        <w:t>]</w:t>
      </w:r>
    </w:p>
    <w:p w:rsidR="0021074D" w:rsidRPr="0018503B" w:rsidRDefault="0021074D" w:rsidP="00EF3779">
      <w:pPr>
        <w:keepNext/>
        <w:spacing w:after="240"/>
        <w:ind w:left="360" w:hanging="360"/>
        <w:jc w:val="both"/>
        <w:rPr>
          <w:szCs w:val="22"/>
        </w:rPr>
      </w:pPr>
    </w:p>
    <w:p w:rsidR="0021074D" w:rsidRPr="0018503B" w:rsidRDefault="0021074D" w:rsidP="00EF3779">
      <w:pPr>
        <w:keepNext/>
        <w:tabs>
          <w:tab w:val="left" w:pos="4680"/>
        </w:tabs>
        <w:spacing w:after="240"/>
        <w:ind w:left="360" w:hanging="360"/>
        <w:jc w:val="both"/>
        <w:rPr>
          <w:szCs w:val="22"/>
        </w:rPr>
      </w:pPr>
      <w:r w:rsidRPr="0018503B">
        <w:rPr>
          <w:szCs w:val="22"/>
        </w:rPr>
        <w:t>By:</w:t>
      </w:r>
      <w:r w:rsidRPr="0018503B">
        <w:rPr>
          <w:szCs w:val="22"/>
        </w:rPr>
        <w:tab/>
        <w:t>________________________________</w:t>
      </w:r>
      <w:r w:rsidRPr="0018503B">
        <w:rPr>
          <w:szCs w:val="22"/>
        </w:rPr>
        <w:tab/>
        <w:t>By</w:t>
      </w:r>
      <w:proofErr w:type="gramStart"/>
      <w:r w:rsidRPr="0018503B">
        <w:rPr>
          <w:szCs w:val="22"/>
        </w:rPr>
        <w:t>:_</w:t>
      </w:r>
      <w:proofErr w:type="gramEnd"/>
      <w:r w:rsidRPr="0018503B">
        <w:rPr>
          <w:szCs w:val="22"/>
        </w:rPr>
        <w:t>______________________________</w:t>
      </w:r>
    </w:p>
    <w:p w:rsidR="0021074D" w:rsidRPr="0018503B" w:rsidRDefault="0021074D" w:rsidP="00EF3779">
      <w:pPr>
        <w:keepNext/>
        <w:tabs>
          <w:tab w:val="left" w:pos="4680"/>
        </w:tabs>
        <w:spacing w:after="240"/>
        <w:ind w:left="360" w:hanging="360"/>
        <w:jc w:val="both"/>
        <w:rPr>
          <w:szCs w:val="22"/>
        </w:rPr>
      </w:pPr>
    </w:p>
    <w:p w:rsidR="0021074D" w:rsidRPr="0018503B" w:rsidRDefault="0021074D" w:rsidP="00EF3779">
      <w:pPr>
        <w:keepNext/>
        <w:tabs>
          <w:tab w:val="left" w:pos="4680"/>
        </w:tabs>
        <w:spacing w:after="240"/>
        <w:ind w:left="360" w:hanging="360"/>
        <w:jc w:val="both"/>
        <w:rPr>
          <w:szCs w:val="22"/>
        </w:rPr>
      </w:pPr>
      <w:r w:rsidRPr="0018503B">
        <w:rPr>
          <w:szCs w:val="22"/>
        </w:rPr>
        <w:t>Name</w:t>
      </w:r>
      <w:proofErr w:type="gramStart"/>
      <w:r w:rsidRPr="0018503B">
        <w:rPr>
          <w:szCs w:val="22"/>
        </w:rPr>
        <w:t>:_</w:t>
      </w:r>
      <w:proofErr w:type="gramEnd"/>
      <w:r w:rsidRPr="0018503B">
        <w:rPr>
          <w:szCs w:val="22"/>
        </w:rPr>
        <w:t>_____________________________</w:t>
      </w:r>
      <w:r w:rsidRPr="0018503B">
        <w:rPr>
          <w:szCs w:val="22"/>
        </w:rPr>
        <w:tab/>
        <w:t>Name:_____________________________</w:t>
      </w:r>
    </w:p>
    <w:p w:rsidR="0021074D" w:rsidRPr="0018503B" w:rsidRDefault="0021074D" w:rsidP="00EF3779">
      <w:pPr>
        <w:keepNext/>
        <w:tabs>
          <w:tab w:val="left" w:pos="4680"/>
        </w:tabs>
        <w:spacing w:after="240"/>
        <w:ind w:left="360" w:hanging="360"/>
        <w:jc w:val="both"/>
        <w:rPr>
          <w:szCs w:val="22"/>
        </w:rPr>
      </w:pPr>
    </w:p>
    <w:p w:rsidR="0021074D" w:rsidRPr="0018503B" w:rsidRDefault="0021074D" w:rsidP="00EF3779">
      <w:pPr>
        <w:keepNext/>
        <w:tabs>
          <w:tab w:val="left" w:pos="4680"/>
        </w:tabs>
        <w:spacing w:after="240"/>
        <w:ind w:left="360" w:hanging="360"/>
        <w:jc w:val="both"/>
        <w:rPr>
          <w:szCs w:val="22"/>
        </w:rPr>
      </w:pPr>
      <w:r w:rsidRPr="0018503B">
        <w:rPr>
          <w:szCs w:val="22"/>
        </w:rPr>
        <w:t>Title</w:t>
      </w:r>
      <w:proofErr w:type="gramStart"/>
      <w:r w:rsidRPr="0018503B">
        <w:rPr>
          <w:szCs w:val="22"/>
        </w:rPr>
        <w:t>:_</w:t>
      </w:r>
      <w:proofErr w:type="gramEnd"/>
      <w:r w:rsidRPr="0018503B">
        <w:rPr>
          <w:szCs w:val="22"/>
        </w:rPr>
        <w:t>_______________________________</w:t>
      </w:r>
      <w:r w:rsidRPr="0018503B">
        <w:rPr>
          <w:szCs w:val="22"/>
        </w:rPr>
        <w:tab/>
        <w:t>Title:______________________________</w:t>
      </w:r>
    </w:p>
    <w:p w:rsidR="0021074D" w:rsidRPr="0018503B" w:rsidRDefault="0021074D" w:rsidP="00EF3779">
      <w:pPr>
        <w:keepNext/>
        <w:tabs>
          <w:tab w:val="left" w:pos="4680"/>
        </w:tabs>
        <w:spacing w:after="240"/>
        <w:ind w:left="360" w:hanging="360"/>
        <w:jc w:val="both"/>
        <w:rPr>
          <w:szCs w:val="22"/>
        </w:rPr>
      </w:pPr>
    </w:p>
    <w:p w:rsidR="0021074D" w:rsidRPr="0018503B" w:rsidRDefault="0021074D" w:rsidP="00EF3779">
      <w:pPr>
        <w:tabs>
          <w:tab w:val="left" w:pos="4680"/>
        </w:tabs>
        <w:spacing w:after="240"/>
        <w:ind w:left="360" w:hanging="360"/>
        <w:jc w:val="both"/>
        <w:rPr>
          <w:szCs w:val="22"/>
        </w:rPr>
      </w:pPr>
      <w:r w:rsidRPr="0018503B">
        <w:rPr>
          <w:szCs w:val="22"/>
        </w:rPr>
        <w:t>Date</w:t>
      </w:r>
      <w:proofErr w:type="gramStart"/>
      <w:r w:rsidRPr="0018503B">
        <w:rPr>
          <w:szCs w:val="22"/>
        </w:rPr>
        <w:t>:_</w:t>
      </w:r>
      <w:proofErr w:type="gramEnd"/>
      <w:r w:rsidRPr="0018503B">
        <w:rPr>
          <w:szCs w:val="22"/>
        </w:rPr>
        <w:t>______________________________</w:t>
      </w:r>
      <w:r w:rsidRPr="0018503B">
        <w:rPr>
          <w:szCs w:val="22"/>
        </w:rPr>
        <w:tab/>
        <w:t>Date:______________________________</w:t>
      </w:r>
    </w:p>
    <w:p w:rsidR="00E93CE3" w:rsidRPr="00350D16" w:rsidRDefault="00BA651D" w:rsidP="00E93CE3">
      <w:pPr>
        <w:jc w:val="center"/>
        <w:rPr>
          <w:b/>
          <w:szCs w:val="22"/>
          <w:u w:val="single"/>
        </w:rPr>
      </w:pPr>
      <w:r w:rsidRPr="0018503B">
        <w:rPr>
          <w:szCs w:val="22"/>
        </w:rPr>
        <w:br w:type="page"/>
      </w:r>
      <w:r w:rsidR="00E93CE3" w:rsidRPr="00350D16">
        <w:rPr>
          <w:b/>
          <w:szCs w:val="22"/>
        </w:rPr>
        <w:lastRenderedPageBreak/>
        <w:t>APPENDIX A</w:t>
      </w:r>
    </w:p>
    <w:p w:rsidR="00E93CE3" w:rsidRPr="0018503B" w:rsidRDefault="00E93CE3" w:rsidP="00E93CE3">
      <w:pPr>
        <w:jc w:val="center"/>
        <w:rPr>
          <w:szCs w:val="22"/>
        </w:rPr>
      </w:pPr>
    </w:p>
    <w:p w:rsidR="00E93CE3" w:rsidRPr="0018503B" w:rsidRDefault="00E93CE3" w:rsidP="00E93CE3">
      <w:pPr>
        <w:jc w:val="center"/>
        <w:rPr>
          <w:szCs w:val="22"/>
        </w:rPr>
      </w:pPr>
    </w:p>
    <w:p w:rsidR="00995CF5" w:rsidRDefault="00E93CE3">
      <w:pPr>
        <w:keepNext/>
        <w:spacing w:after="240"/>
        <w:jc w:val="center"/>
        <w:rPr>
          <w:b/>
          <w:szCs w:val="22"/>
          <w:u w:val="single"/>
        </w:rPr>
      </w:pPr>
      <w:r w:rsidRPr="0018503B">
        <w:rPr>
          <w:b/>
          <w:szCs w:val="22"/>
          <w:u w:val="single"/>
        </w:rPr>
        <w:t>Unit Information</w:t>
      </w:r>
    </w:p>
    <w:tbl>
      <w:tblPr>
        <w:tblW w:w="7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0"/>
        <w:gridCol w:w="4457"/>
      </w:tblGrid>
      <w:tr w:rsidR="00A21400" w:rsidRPr="0018503B" w:rsidTr="00C7662A">
        <w:trPr>
          <w:jc w:val="center"/>
        </w:trPr>
        <w:tc>
          <w:tcPr>
            <w:tcW w:w="3100" w:type="dxa"/>
            <w:shd w:val="clear" w:color="auto" w:fill="auto"/>
            <w:tcMar>
              <w:top w:w="29" w:type="dxa"/>
              <w:left w:w="115" w:type="dxa"/>
              <w:bottom w:w="29" w:type="dxa"/>
              <w:right w:w="115" w:type="dxa"/>
            </w:tcMar>
            <w:vAlign w:val="center"/>
          </w:tcPr>
          <w:p w:rsidR="00A21400" w:rsidRPr="0018503B" w:rsidRDefault="00152E56" w:rsidP="004C4708">
            <w:pPr>
              <w:pStyle w:val="BodyTextIndent2"/>
              <w:ind w:left="0"/>
              <w:rPr>
                <w:szCs w:val="22"/>
              </w:rPr>
            </w:pPr>
            <w:r>
              <w:rPr>
                <w:szCs w:val="22"/>
              </w:rPr>
              <w:t xml:space="preserve">Resource </w:t>
            </w:r>
            <w:r w:rsidR="00A21400" w:rsidRPr="0018503B">
              <w:rPr>
                <w:szCs w:val="22"/>
              </w:rPr>
              <w:t>Name</w:t>
            </w:r>
          </w:p>
        </w:tc>
        <w:tc>
          <w:tcPr>
            <w:tcW w:w="4457" w:type="dxa"/>
            <w:shd w:val="clear" w:color="auto" w:fill="auto"/>
            <w:vAlign w:val="center"/>
          </w:tcPr>
          <w:p w:rsidR="00A21400" w:rsidRPr="0018503B" w:rsidRDefault="00A21400" w:rsidP="00C7662A">
            <w:pPr>
              <w:jc w:val="center"/>
              <w:rPr>
                <w:szCs w:val="22"/>
              </w:rPr>
            </w:pPr>
          </w:p>
        </w:tc>
      </w:tr>
      <w:tr w:rsidR="00A21400" w:rsidRPr="0018503B" w:rsidTr="00C7662A">
        <w:trPr>
          <w:jc w:val="center"/>
        </w:trPr>
        <w:tc>
          <w:tcPr>
            <w:tcW w:w="3100" w:type="dxa"/>
            <w:shd w:val="clear" w:color="auto" w:fill="auto"/>
            <w:tcMar>
              <w:top w:w="29" w:type="dxa"/>
              <w:left w:w="115" w:type="dxa"/>
              <w:bottom w:w="29" w:type="dxa"/>
              <w:right w:w="115" w:type="dxa"/>
            </w:tcMar>
            <w:vAlign w:val="center"/>
          </w:tcPr>
          <w:p w:rsidR="00A21400" w:rsidRPr="0018503B" w:rsidRDefault="00A21400" w:rsidP="004C4708">
            <w:pPr>
              <w:pStyle w:val="BodyTextIndent2"/>
              <w:ind w:left="0"/>
              <w:rPr>
                <w:szCs w:val="22"/>
              </w:rPr>
            </w:pPr>
            <w:bookmarkStart w:id="6" w:name="_DV_M68"/>
            <w:bookmarkStart w:id="7" w:name="_DV_M69"/>
            <w:bookmarkEnd w:id="6"/>
            <w:bookmarkEnd w:id="7"/>
            <w:r w:rsidRPr="0018503B">
              <w:rPr>
                <w:szCs w:val="22"/>
              </w:rPr>
              <w:t>CAISO Resource ID</w:t>
            </w:r>
          </w:p>
        </w:tc>
        <w:tc>
          <w:tcPr>
            <w:tcW w:w="4457" w:type="dxa"/>
            <w:shd w:val="clear" w:color="auto" w:fill="auto"/>
            <w:vAlign w:val="center"/>
          </w:tcPr>
          <w:p w:rsidR="00A21400" w:rsidRPr="0018503B" w:rsidRDefault="00A21400" w:rsidP="00C7662A">
            <w:pPr>
              <w:jc w:val="center"/>
              <w:rPr>
                <w:szCs w:val="22"/>
              </w:rPr>
            </w:pPr>
          </w:p>
        </w:tc>
      </w:tr>
      <w:tr w:rsidR="00A21400" w:rsidRPr="0018503B" w:rsidTr="00C7662A">
        <w:trPr>
          <w:jc w:val="center"/>
        </w:trPr>
        <w:tc>
          <w:tcPr>
            <w:tcW w:w="3100" w:type="dxa"/>
            <w:shd w:val="clear" w:color="auto" w:fill="auto"/>
            <w:tcMar>
              <w:top w:w="29" w:type="dxa"/>
              <w:left w:w="115" w:type="dxa"/>
              <w:bottom w:w="29" w:type="dxa"/>
              <w:right w:w="115" w:type="dxa"/>
            </w:tcMar>
            <w:vAlign w:val="center"/>
          </w:tcPr>
          <w:p w:rsidR="00A21400" w:rsidRPr="0018503B" w:rsidRDefault="00A21400" w:rsidP="004C4708">
            <w:pPr>
              <w:pStyle w:val="BodyTextIndent2"/>
              <w:ind w:left="0"/>
              <w:rPr>
                <w:szCs w:val="22"/>
              </w:rPr>
            </w:pPr>
            <w:r w:rsidRPr="0018503B">
              <w:rPr>
                <w:szCs w:val="22"/>
              </w:rPr>
              <w:t xml:space="preserve">Unit </w:t>
            </w:r>
            <w:bookmarkStart w:id="8" w:name="_DV_M70"/>
            <w:bookmarkEnd w:id="8"/>
            <w:r w:rsidRPr="0018503B">
              <w:rPr>
                <w:szCs w:val="22"/>
              </w:rPr>
              <w:t>SCID</w:t>
            </w:r>
          </w:p>
        </w:tc>
        <w:tc>
          <w:tcPr>
            <w:tcW w:w="4457" w:type="dxa"/>
            <w:shd w:val="clear" w:color="auto" w:fill="auto"/>
            <w:vAlign w:val="center"/>
          </w:tcPr>
          <w:p w:rsidR="00A21400" w:rsidRPr="0018503B" w:rsidRDefault="00A21400" w:rsidP="004C4708">
            <w:pPr>
              <w:pStyle w:val="BodyTextIndent2"/>
              <w:ind w:left="0"/>
              <w:jc w:val="center"/>
              <w:rPr>
                <w:szCs w:val="22"/>
              </w:rPr>
            </w:pPr>
          </w:p>
        </w:tc>
      </w:tr>
      <w:tr w:rsidR="00A21400" w:rsidRPr="0018503B" w:rsidTr="00C7662A">
        <w:trPr>
          <w:jc w:val="center"/>
        </w:trPr>
        <w:tc>
          <w:tcPr>
            <w:tcW w:w="3100" w:type="dxa"/>
            <w:shd w:val="clear" w:color="auto" w:fill="auto"/>
            <w:tcMar>
              <w:top w:w="29" w:type="dxa"/>
              <w:left w:w="115" w:type="dxa"/>
              <w:bottom w:w="29" w:type="dxa"/>
              <w:right w:w="115" w:type="dxa"/>
            </w:tcMar>
            <w:vAlign w:val="center"/>
          </w:tcPr>
          <w:p w:rsidR="00A21400" w:rsidRPr="0018503B" w:rsidRDefault="00A21400" w:rsidP="004C4708">
            <w:pPr>
              <w:pStyle w:val="BodyTextIndent2"/>
              <w:ind w:left="0"/>
              <w:rPr>
                <w:szCs w:val="22"/>
              </w:rPr>
            </w:pPr>
            <w:r w:rsidRPr="0018503B">
              <w:rPr>
                <w:szCs w:val="22"/>
              </w:rPr>
              <w:t xml:space="preserve">Unit </w:t>
            </w:r>
            <w:bookmarkStart w:id="9" w:name="_DV_M71"/>
            <w:bookmarkEnd w:id="9"/>
            <w:r w:rsidRPr="0018503B">
              <w:rPr>
                <w:szCs w:val="22"/>
              </w:rPr>
              <w:t>NQC</w:t>
            </w:r>
          </w:p>
        </w:tc>
        <w:tc>
          <w:tcPr>
            <w:tcW w:w="4457" w:type="dxa"/>
            <w:shd w:val="clear" w:color="auto" w:fill="auto"/>
            <w:vAlign w:val="center"/>
          </w:tcPr>
          <w:p w:rsidR="00A21400" w:rsidRPr="0018503B" w:rsidRDefault="00A21400" w:rsidP="004C4708">
            <w:pPr>
              <w:pStyle w:val="BodyTextIndent2"/>
              <w:ind w:left="0"/>
              <w:jc w:val="center"/>
              <w:rPr>
                <w:szCs w:val="22"/>
              </w:rPr>
            </w:pPr>
          </w:p>
        </w:tc>
      </w:tr>
      <w:tr w:rsidR="00A21400" w:rsidRPr="0018503B" w:rsidTr="00C7662A">
        <w:trPr>
          <w:jc w:val="center"/>
        </w:trPr>
        <w:tc>
          <w:tcPr>
            <w:tcW w:w="3100" w:type="dxa"/>
            <w:shd w:val="clear" w:color="auto" w:fill="auto"/>
            <w:tcMar>
              <w:top w:w="29" w:type="dxa"/>
              <w:left w:w="115" w:type="dxa"/>
              <w:bottom w:w="29" w:type="dxa"/>
              <w:right w:w="115" w:type="dxa"/>
            </w:tcMar>
            <w:vAlign w:val="center"/>
          </w:tcPr>
          <w:p w:rsidR="00A21400" w:rsidRPr="0018503B" w:rsidRDefault="00A21400" w:rsidP="004C4708">
            <w:pPr>
              <w:pStyle w:val="BodyTextIndent2"/>
              <w:ind w:left="0"/>
              <w:rPr>
                <w:szCs w:val="22"/>
              </w:rPr>
            </w:pPr>
            <w:bookmarkStart w:id="10" w:name="_DV_M73"/>
            <w:bookmarkEnd w:id="10"/>
            <w:r w:rsidRPr="0018503B">
              <w:rPr>
                <w:szCs w:val="22"/>
              </w:rPr>
              <w:t>Prorated Percentage of Unit Factor</w:t>
            </w:r>
          </w:p>
        </w:tc>
        <w:tc>
          <w:tcPr>
            <w:tcW w:w="4457" w:type="dxa"/>
            <w:shd w:val="clear" w:color="auto" w:fill="auto"/>
            <w:vAlign w:val="center"/>
          </w:tcPr>
          <w:p w:rsidR="00A21400" w:rsidRPr="0018503B" w:rsidRDefault="00A21400" w:rsidP="004C4708">
            <w:pPr>
              <w:pStyle w:val="BodyTextIndent2"/>
              <w:ind w:left="0"/>
              <w:jc w:val="center"/>
              <w:rPr>
                <w:szCs w:val="22"/>
              </w:rPr>
            </w:pPr>
            <w:bookmarkStart w:id="11" w:name="_DV_M74"/>
            <w:bookmarkEnd w:id="11"/>
          </w:p>
        </w:tc>
      </w:tr>
      <w:tr w:rsidR="00A21400" w:rsidRPr="0018503B" w:rsidTr="00C7662A">
        <w:trPr>
          <w:jc w:val="center"/>
        </w:trPr>
        <w:tc>
          <w:tcPr>
            <w:tcW w:w="3100" w:type="dxa"/>
            <w:shd w:val="clear" w:color="auto" w:fill="auto"/>
            <w:tcMar>
              <w:top w:w="29" w:type="dxa"/>
              <w:left w:w="115" w:type="dxa"/>
              <w:bottom w:w="29" w:type="dxa"/>
              <w:right w:w="115" w:type="dxa"/>
            </w:tcMar>
            <w:vAlign w:val="center"/>
          </w:tcPr>
          <w:p w:rsidR="00A21400" w:rsidRPr="0018503B" w:rsidRDefault="00A21400" w:rsidP="004C4708">
            <w:pPr>
              <w:pStyle w:val="BodyTextIndent2"/>
              <w:ind w:left="0"/>
              <w:rPr>
                <w:szCs w:val="22"/>
              </w:rPr>
            </w:pPr>
            <w:r w:rsidRPr="0018503B">
              <w:rPr>
                <w:szCs w:val="22"/>
              </w:rPr>
              <w:t>Resource Type</w:t>
            </w:r>
          </w:p>
        </w:tc>
        <w:tc>
          <w:tcPr>
            <w:tcW w:w="4457" w:type="dxa"/>
            <w:shd w:val="clear" w:color="auto" w:fill="auto"/>
            <w:vAlign w:val="center"/>
          </w:tcPr>
          <w:p w:rsidR="00A21400" w:rsidRPr="0018503B" w:rsidRDefault="00A21400" w:rsidP="004C4708">
            <w:pPr>
              <w:pStyle w:val="BodyTextIndent2"/>
              <w:ind w:left="0"/>
              <w:jc w:val="center"/>
              <w:rPr>
                <w:szCs w:val="22"/>
              </w:rPr>
            </w:pPr>
          </w:p>
        </w:tc>
      </w:tr>
      <w:tr w:rsidR="00A21400" w:rsidRPr="0018503B" w:rsidTr="00C7662A">
        <w:trPr>
          <w:jc w:val="center"/>
        </w:trPr>
        <w:tc>
          <w:tcPr>
            <w:tcW w:w="3100" w:type="dxa"/>
            <w:shd w:val="clear" w:color="auto" w:fill="auto"/>
            <w:tcMar>
              <w:top w:w="29" w:type="dxa"/>
              <w:left w:w="115" w:type="dxa"/>
              <w:bottom w:w="29" w:type="dxa"/>
              <w:right w:w="115" w:type="dxa"/>
            </w:tcMar>
            <w:vAlign w:val="center"/>
          </w:tcPr>
          <w:p w:rsidR="00995CF5" w:rsidRDefault="00A21400">
            <w:pPr>
              <w:pStyle w:val="BodyTextIndent2"/>
              <w:ind w:left="0"/>
              <w:rPr>
                <w:szCs w:val="22"/>
              </w:rPr>
            </w:pPr>
            <w:bookmarkStart w:id="12" w:name="_DV_M75"/>
            <w:bookmarkEnd w:id="12"/>
            <w:r w:rsidRPr="0018503B">
              <w:rPr>
                <w:szCs w:val="22"/>
              </w:rPr>
              <w:t xml:space="preserve">Resource </w:t>
            </w:r>
            <w:r w:rsidR="00350D16">
              <w:rPr>
                <w:szCs w:val="22"/>
              </w:rPr>
              <w:t>MMC Bucket</w:t>
            </w:r>
            <w:r w:rsidRPr="0018503B">
              <w:rPr>
                <w:szCs w:val="22"/>
              </w:rPr>
              <w:t xml:space="preserve"> Category (1, 2, 3 or 4)</w:t>
            </w:r>
          </w:p>
        </w:tc>
        <w:tc>
          <w:tcPr>
            <w:tcW w:w="4457" w:type="dxa"/>
            <w:shd w:val="clear" w:color="auto" w:fill="auto"/>
            <w:vAlign w:val="center"/>
          </w:tcPr>
          <w:p w:rsidR="00A21400" w:rsidRPr="0018503B" w:rsidRDefault="00A21400" w:rsidP="004C4708">
            <w:pPr>
              <w:pStyle w:val="BodyTextIndent2"/>
              <w:ind w:left="0"/>
              <w:jc w:val="center"/>
              <w:rPr>
                <w:szCs w:val="22"/>
              </w:rPr>
            </w:pPr>
          </w:p>
        </w:tc>
      </w:tr>
      <w:tr w:rsidR="00A21400" w:rsidRPr="0018503B" w:rsidTr="00C7662A">
        <w:trPr>
          <w:jc w:val="center"/>
        </w:trPr>
        <w:tc>
          <w:tcPr>
            <w:tcW w:w="3100" w:type="dxa"/>
            <w:shd w:val="clear" w:color="auto" w:fill="auto"/>
            <w:tcMar>
              <w:top w:w="29" w:type="dxa"/>
              <w:left w:w="115" w:type="dxa"/>
              <w:bottom w:w="29" w:type="dxa"/>
              <w:right w:w="115" w:type="dxa"/>
            </w:tcMar>
            <w:vAlign w:val="center"/>
          </w:tcPr>
          <w:p w:rsidR="00A21400" w:rsidRPr="0018503B" w:rsidRDefault="00A21400" w:rsidP="004C4708">
            <w:pPr>
              <w:pStyle w:val="BodyTextIndent2"/>
              <w:ind w:left="0"/>
              <w:rPr>
                <w:szCs w:val="22"/>
              </w:rPr>
            </w:pPr>
            <w:bookmarkStart w:id="13" w:name="_DV_M76"/>
            <w:bookmarkStart w:id="14" w:name="_DV_M77"/>
            <w:bookmarkEnd w:id="13"/>
            <w:bookmarkEnd w:id="14"/>
            <w:r w:rsidRPr="0018503B">
              <w:rPr>
                <w:szCs w:val="22"/>
              </w:rPr>
              <w:t>Path 26 (North or South)</w:t>
            </w:r>
          </w:p>
        </w:tc>
        <w:tc>
          <w:tcPr>
            <w:tcW w:w="4457" w:type="dxa"/>
            <w:shd w:val="clear" w:color="auto" w:fill="auto"/>
            <w:vAlign w:val="center"/>
          </w:tcPr>
          <w:p w:rsidR="00A21400" w:rsidRPr="0018503B" w:rsidRDefault="00A21400" w:rsidP="004C4708">
            <w:pPr>
              <w:pStyle w:val="BodyTextIndent2"/>
              <w:ind w:left="0"/>
              <w:jc w:val="center"/>
              <w:rPr>
                <w:szCs w:val="22"/>
              </w:rPr>
            </w:pPr>
          </w:p>
        </w:tc>
      </w:tr>
      <w:tr w:rsidR="00A21400" w:rsidRPr="0018503B" w:rsidTr="00C7662A">
        <w:trPr>
          <w:jc w:val="center"/>
        </w:trPr>
        <w:tc>
          <w:tcPr>
            <w:tcW w:w="3100" w:type="dxa"/>
            <w:shd w:val="clear" w:color="auto" w:fill="auto"/>
            <w:tcMar>
              <w:top w:w="29" w:type="dxa"/>
              <w:left w:w="115" w:type="dxa"/>
              <w:bottom w:w="29" w:type="dxa"/>
              <w:right w:w="115" w:type="dxa"/>
            </w:tcMar>
            <w:vAlign w:val="center"/>
          </w:tcPr>
          <w:p w:rsidR="00A21400" w:rsidRPr="0018503B" w:rsidRDefault="00A21400" w:rsidP="004C4708">
            <w:pPr>
              <w:pStyle w:val="BodyTextIndent2"/>
              <w:ind w:left="0"/>
              <w:rPr>
                <w:szCs w:val="22"/>
              </w:rPr>
            </w:pPr>
            <w:bookmarkStart w:id="15" w:name="_DV_M78"/>
            <w:bookmarkEnd w:id="15"/>
            <w:r w:rsidRPr="0018503B">
              <w:rPr>
                <w:szCs w:val="22"/>
              </w:rPr>
              <w:t>Local Capacity Area (if any, as Of Confirmation Effective Date)</w:t>
            </w:r>
          </w:p>
        </w:tc>
        <w:tc>
          <w:tcPr>
            <w:tcW w:w="4457" w:type="dxa"/>
            <w:shd w:val="clear" w:color="auto" w:fill="auto"/>
            <w:vAlign w:val="center"/>
          </w:tcPr>
          <w:p w:rsidR="00A21400" w:rsidRPr="0018503B" w:rsidRDefault="00A21400" w:rsidP="004C4708">
            <w:pPr>
              <w:pStyle w:val="BodyTextIndent2"/>
              <w:ind w:left="0"/>
              <w:jc w:val="center"/>
              <w:rPr>
                <w:szCs w:val="22"/>
              </w:rPr>
            </w:pPr>
          </w:p>
        </w:tc>
      </w:tr>
      <w:tr w:rsidR="00350D16" w:rsidRPr="0018503B" w:rsidTr="00C7662A">
        <w:trPr>
          <w:jc w:val="center"/>
        </w:trPr>
        <w:tc>
          <w:tcPr>
            <w:tcW w:w="3100" w:type="dxa"/>
            <w:shd w:val="clear" w:color="auto" w:fill="auto"/>
            <w:tcMar>
              <w:top w:w="29" w:type="dxa"/>
              <w:left w:w="115" w:type="dxa"/>
              <w:bottom w:w="29" w:type="dxa"/>
              <w:right w:w="115" w:type="dxa"/>
            </w:tcMar>
            <w:vAlign w:val="center"/>
          </w:tcPr>
          <w:p w:rsidR="00350D16" w:rsidRPr="0018503B" w:rsidRDefault="00350D16" w:rsidP="004C4708">
            <w:pPr>
              <w:pStyle w:val="BodyTextIndent2"/>
              <w:ind w:left="0"/>
              <w:rPr>
                <w:szCs w:val="22"/>
              </w:rPr>
            </w:pPr>
            <w:r>
              <w:rPr>
                <w:szCs w:val="22"/>
              </w:rPr>
              <w:t>Unit Contract Quantity</w:t>
            </w:r>
          </w:p>
        </w:tc>
        <w:tc>
          <w:tcPr>
            <w:tcW w:w="4457" w:type="dxa"/>
            <w:shd w:val="clear" w:color="auto" w:fill="auto"/>
            <w:vAlign w:val="center"/>
          </w:tcPr>
          <w:p w:rsidR="00350D16" w:rsidRPr="0018503B" w:rsidRDefault="00350D16" w:rsidP="004C4708">
            <w:pPr>
              <w:pStyle w:val="BodyTextIndent2"/>
              <w:ind w:left="0"/>
              <w:jc w:val="center"/>
              <w:rPr>
                <w:szCs w:val="22"/>
              </w:rPr>
            </w:pPr>
          </w:p>
        </w:tc>
      </w:tr>
      <w:tr w:rsidR="00A21400" w:rsidRPr="0018503B" w:rsidTr="00C7662A">
        <w:trPr>
          <w:jc w:val="center"/>
        </w:trPr>
        <w:tc>
          <w:tcPr>
            <w:tcW w:w="3100" w:type="dxa"/>
            <w:shd w:val="clear" w:color="auto" w:fill="auto"/>
            <w:tcMar>
              <w:top w:w="29" w:type="dxa"/>
              <w:left w:w="115" w:type="dxa"/>
              <w:bottom w:w="29" w:type="dxa"/>
              <w:right w:w="115" w:type="dxa"/>
            </w:tcMar>
            <w:vAlign w:val="center"/>
          </w:tcPr>
          <w:p w:rsidR="00A21400" w:rsidRPr="0018503B" w:rsidRDefault="00A21400" w:rsidP="004C4708">
            <w:pPr>
              <w:pStyle w:val="BodyTextIndent2"/>
              <w:ind w:left="0"/>
              <w:rPr>
                <w:szCs w:val="22"/>
              </w:rPr>
            </w:pPr>
            <w:bookmarkStart w:id="16" w:name="_DV_M79"/>
            <w:bookmarkEnd w:id="16"/>
            <w:r w:rsidRPr="0018503B">
              <w:rPr>
                <w:szCs w:val="22"/>
              </w:rPr>
              <w:t>Deliverability restrictions, if any, as described in most recent CAISO deliverability assessment</w:t>
            </w:r>
          </w:p>
        </w:tc>
        <w:tc>
          <w:tcPr>
            <w:tcW w:w="4457" w:type="dxa"/>
            <w:shd w:val="clear" w:color="auto" w:fill="auto"/>
            <w:vAlign w:val="center"/>
          </w:tcPr>
          <w:p w:rsidR="00A21400" w:rsidRPr="0018503B" w:rsidRDefault="00A21400" w:rsidP="004C4708">
            <w:pPr>
              <w:pStyle w:val="BodyTextIndent2"/>
              <w:ind w:left="0"/>
              <w:jc w:val="center"/>
              <w:rPr>
                <w:szCs w:val="22"/>
              </w:rPr>
            </w:pPr>
          </w:p>
        </w:tc>
      </w:tr>
      <w:tr w:rsidR="00A21400" w:rsidRPr="0018503B" w:rsidTr="00C7662A">
        <w:trPr>
          <w:jc w:val="center"/>
        </w:trPr>
        <w:tc>
          <w:tcPr>
            <w:tcW w:w="3100" w:type="dxa"/>
            <w:shd w:val="clear" w:color="auto" w:fill="auto"/>
            <w:tcMar>
              <w:top w:w="29" w:type="dxa"/>
              <w:left w:w="115" w:type="dxa"/>
              <w:bottom w:w="29" w:type="dxa"/>
              <w:right w:w="115" w:type="dxa"/>
            </w:tcMar>
            <w:vAlign w:val="center"/>
          </w:tcPr>
          <w:p w:rsidR="00A21400" w:rsidRPr="0018503B" w:rsidRDefault="00A21400" w:rsidP="004C4708">
            <w:pPr>
              <w:pStyle w:val="BodyTextIndent2"/>
              <w:ind w:left="0"/>
              <w:rPr>
                <w:szCs w:val="22"/>
              </w:rPr>
            </w:pPr>
            <w:bookmarkStart w:id="17" w:name="_DV_M80"/>
            <w:bookmarkEnd w:id="17"/>
            <w:r w:rsidRPr="0018503B">
              <w:rPr>
                <w:szCs w:val="22"/>
              </w:rPr>
              <w:t>Run Hour Restrictions</w:t>
            </w:r>
          </w:p>
        </w:tc>
        <w:tc>
          <w:tcPr>
            <w:tcW w:w="4457" w:type="dxa"/>
            <w:shd w:val="clear" w:color="auto" w:fill="auto"/>
            <w:vAlign w:val="center"/>
          </w:tcPr>
          <w:p w:rsidR="00A21400" w:rsidRPr="0018503B" w:rsidRDefault="00A21400" w:rsidP="004C4708">
            <w:pPr>
              <w:pStyle w:val="BodyTextIndent2"/>
              <w:ind w:left="0"/>
              <w:jc w:val="center"/>
              <w:rPr>
                <w:szCs w:val="22"/>
              </w:rPr>
            </w:pPr>
            <w:bookmarkStart w:id="18" w:name="_DV_M81"/>
            <w:bookmarkEnd w:id="18"/>
          </w:p>
        </w:tc>
      </w:tr>
    </w:tbl>
    <w:p w:rsidR="003A0D92" w:rsidRDefault="003A0D92" w:rsidP="00C7662A">
      <w:pPr>
        <w:ind w:left="720"/>
        <w:rPr>
          <w:szCs w:val="22"/>
        </w:rPr>
      </w:pPr>
    </w:p>
    <w:p w:rsidR="006801F1" w:rsidRDefault="006801F1" w:rsidP="00C7662A">
      <w:pPr>
        <w:ind w:left="720"/>
        <w:rPr>
          <w:szCs w:val="22"/>
        </w:rPr>
      </w:pPr>
    </w:p>
    <w:p w:rsidR="006801F1" w:rsidRDefault="006801F1">
      <w:pPr>
        <w:rPr>
          <w:szCs w:val="22"/>
        </w:rPr>
      </w:pPr>
      <w:r>
        <w:rPr>
          <w:szCs w:val="22"/>
        </w:rPr>
        <w:br w:type="page"/>
      </w:r>
    </w:p>
    <w:p w:rsidR="006801F1" w:rsidRPr="00350D16" w:rsidRDefault="00CB0EA6" w:rsidP="006801F1">
      <w:pPr>
        <w:pStyle w:val="ConfirmSignatureBold"/>
        <w:jc w:val="center"/>
        <w:rPr>
          <w:rStyle w:val="ConfirmSignatureLineChar"/>
          <w:color w:val="000000"/>
          <w:w w:val="0"/>
          <w:sz w:val="22"/>
          <w:szCs w:val="22"/>
          <w:u w:val="none"/>
        </w:rPr>
      </w:pPr>
      <w:r w:rsidRPr="00CB0EA6">
        <w:rPr>
          <w:rStyle w:val="ConfirmSignatureLineChar"/>
          <w:color w:val="000000"/>
          <w:w w:val="0"/>
          <w:sz w:val="22"/>
          <w:szCs w:val="22"/>
          <w:u w:val="none"/>
        </w:rPr>
        <w:lastRenderedPageBreak/>
        <w:t>APPENDIX B</w:t>
      </w:r>
    </w:p>
    <w:p w:rsidR="006801F1" w:rsidRDefault="006801F1" w:rsidP="006801F1">
      <w:pPr>
        <w:pStyle w:val="ConfirmSignatureBold"/>
        <w:jc w:val="center"/>
        <w:rPr>
          <w:rStyle w:val="ConfirmSignatureLineChar"/>
          <w:color w:val="000000"/>
          <w:w w:val="0"/>
          <w:sz w:val="22"/>
          <w:szCs w:val="22"/>
        </w:rPr>
      </w:pPr>
    </w:p>
    <w:p w:rsidR="00350D16" w:rsidRDefault="00350D16" w:rsidP="006801F1">
      <w:pPr>
        <w:pStyle w:val="ConfirmSignatureBold"/>
        <w:jc w:val="center"/>
        <w:rPr>
          <w:rStyle w:val="ConfirmSignatureLineChar"/>
          <w:color w:val="000000"/>
          <w:w w:val="0"/>
          <w:sz w:val="22"/>
          <w:szCs w:val="22"/>
        </w:rPr>
      </w:pPr>
    </w:p>
    <w:p w:rsidR="006801F1" w:rsidRDefault="006801F1" w:rsidP="006801F1">
      <w:pPr>
        <w:pStyle w:val="ConfirmSignatureBold"/>
        <w:jc w:val="center"/>
        <w:rPr>
          <w:rStyle w:val="ConfirmSignatureLineChar"/>
          <w:color w:val="000000"/>
          <w:w w:val="0"/>
          <w:sz w:val="22"/>
          <w:szCs w:val="22"/>
        </w:rPr>
      </w:pPr>
      <w:r>
        <w:rPr>
          <w:rStyle w:val="ConfirmSignatureLineChar"/>
          <w:color w:val="000000"/>
          <w:w w:val="0"/>
          <w:sz w:val="22"/>
          <w:szCs w:val="22"/>
        </w:rPr>
        <w:t>Seller’s Firm Quantity</w:t>
      </w:r>
    </w:p>
    <w:p w:rsidR="000C5132" w:rsidRDefault="000C5132" w:rsidP="006801F1">
      <w:pPr>
        <w:rPr>
          <w:rStyle w:val="ConfirmSignatureLineChar"/>
          <w:color w:val="000000"/>
          <w:w w:val="0"/>
          <w:szCs w:val="22"/>
        </w:rPr>
      </w:pPr>
    </w:p>
    <w:p w:rsidR="006801F1" w:rsidRPr="001A42F0" w:rsidRDefault="006801F1" w:rsidP="006801F1">
      <w:pPr>
        <w:rPr>
          <w:rStyle w:val="ConfirmSignatureLineChar"/>
          <w:color w:val="000000"/>
          <w:w w:val="0"/>
          <w:szCs w:val="22"/>
          <w:u w:val="none"/>
        </w:rPr>
      </w:pPr>
      <w:r w:rsidRPr="00804DBB">
        <w:rPr>
          <w:rStyle w:val="ConfirmSignatureLineChar"/>
          <w:color w:val="000000"/>
          <w:w w:val="0"/>
          <w:szCs w:val="22"/>
          <w:u w:val="none"/>
        </w:rPr>
        <w:t xml:space="preserve">Seller’s Firm Quantity shall be, for each calendar day, on a Unit basis for each Unit, the Contract Quantity listed in </w:t>
      </w:r>
      <w:r w:rsidRPr="001A42F0">
        <w:rPr>
          <w:rStyle w:val="ConfirmSignatureLineChar"/>
          <w:color w:val="000000"/>
          <w:w w:val="0"/>
          <w:szCs w:val="22"/>
          <w:u w:val="none"/>
        </w:rPr>
        <w:t>Section 3.5, except as stated below:</w:t>
      </w:r>
    </w:p>
    <w:p w:rsidR="006801F1" w:rsidRDefault="006801F1" w:rsidP="006801F1">
      <w:pPr>
        <w:rPr>
          <w:rStyle w:val="ConfirmSignatureLineChar"/>
          <w:color w:val="000000"/>
          <w:w w:val="0"/>
          <w:szCs w:val="22"/>
        </w:rPr>
      </w:pPr>
    </w:p>
    <w:tbl>
      <w:tblPr>
        <w:tblStyle w:val="TableGrid"/>
        <w:tblW w:w="0" w:type="auto"/>
        <w:jc w:val="center"/>
        <w:tblLook w:val="04A0" w:firstRow="1" w:lastRow="0" w:firstColumn="1" w:lastColumn="0" w:noHBand="0" w:noVBand="1"/>
      </w:tblPr>
      <w:tblGrid>
        <w:gridCol w:w="1173"/>
        <w:gridCol w:w="1456"/>
        <w:gridCol w:w="1912"/>
        <w:gridCol w:w="782"/>
        <w:gridCol w:w="991"/>
        <w:gridCol w:w="927"/>
        <w:gridCol w:w="891"/>
        <w:gridCol w:w="891"/>
      </w:tblGrid>
      <w:tr w:rsidR="006801F1" w:rsidRPr="00670A81" w:rsidTr="00F31AA4">
        <w:trPr>
          <w:jc w:val="center"/>
        </w:trPr>
        <w:tc>
          <w:tcPr>
            <w:tcW w:w="0" w:type="auto"/>
            <w:shd w:val="clear" w:color="auto" w:fill="D9D9D9" w:themeFill="background1" w:themeFillShade="D9"/>
            <w:vAlign w:val="center"/>
          </w:tcPr>
          <w:p w:rsidR="006801F1" w:rsidRPr="0089039D" w:rsidRDefault="006801F1" w:rsidP="00F31AA4">
            <w:pPr>
              <w:jc w:val="center"/>
              <w:rPr>
                <w:rStyle w:val="ConfirmSignatureLineChar"/>
                <w:rFonts w:ascii="Arial Narrow" w:hAnsi="Arial Narrow"/>
                <w:sz w:val="20"/>
                <w:szCs w:val="20"/>
              </w:rPr>
            </w:pPr>
            <w:r w:rsidRPr="0089039D">
              <w:rPr>
                <w:rFonts w:ascii="Arial Narrow" w:hAnsi="Arial Narrow"/>
                <w:b/>
                <w:bCs/>
                <w:color w:val="000000"/>
                <w:sz w:val="20"/>
                <w:szCs w:val="20"/>
              </w:rPr>
              <w:t>Resource ID</w:t>
            </w:r>
          </w:p>
        </w:tc>
        <w:tc>
          <w:tcPr>
            <w:tcW w:w="0" w:type="auto"/>
            <w:shd w:val="clear" w:color="auto" w:fill="D9D9D9" w:themeFill="background1" w:themeFillShade="D9"/>
            <w:vAlign w:val="center"/>
          </w:tcPr>
          <w:p w:rsidR="006801F1" w:rsidRPr="0089039D" w:rsidRDefault="006801F1" w:rsidP="00F31AA4">
            <w:pPr>
              <w:jc w:val="center"/>
              <w:rPr>
                <w:rStyle w:val="ConfirmSignatureLineChar"/>
                <w:rFonts w:ascii="Arial Narrow" w:hAnsi="Arial Narrow"/>
                <w:sz w:val="20"/>
                <w:szCs w:val="20"/>
              </w:rPr>
            </w:pPr>
            <w:r w:rsidRPr="0089039D">
              <w:rPr>
                <w:rFonts w:ascii="Arial Narrow" w:hAnsi="Arial Narrow"/>
                <w:b/>
                <w:bCs/>
                <w:color w:val="000000"/>
                <w:sz w:val="20"/>
                <w:szCs w:val="20"/>
              </w:rPr>
              <w:t>Resource Name</w:t>
            </w:r>
          </w:p>
        </w:tc>
        <w:tc>
          <w:tcPr>
            <w:tcW w:w="0" w:type="auto"/>
            <w:shd w:val="clear" w:color="auto" w:fill="D9D9D9" w:themeFill="background1" w:themeFillShade="D9"/>
          </w:tcPr>
          <w:p w:rsidR="006801F1" w:rsidRDefault="006801F1" w:rsidP="00F31AA4">
            <w:pPr>
              <w:jc w:val="center"/>
              <w:rPr>
                <w:rFonts w:ascii="Arial Narrow" w:hAnsi="Arial Narrow"/>
                <w:b/>
                <w:bCs/>
                <w:color w:val="000000"/>
                <w:sz w:val="20"/>
                <w:szCs w:val="20"/>
              </w:rPr>
            </w:pPr>
            <w:r>
              <w:rPr>
                <w:rFonts w:ascii="Arial Narrow" w:hAnsi="Arial Narrow"/>
                <w:b/>
                <w:bCs/>
                <w:color w:val="000000"/>
                <w:sz w:val="20"/>
                <w:szCs w:val="20"/>
              </w:rPr>
              <w:t>Seller’s Firm Quantity</w:t>
            </w:r>
          </w:p>
          <w:p w:rsidR="006801F1" w:rsidRDefault="006801F1" w:rsidP="00F31AA4">
            <w:pPr>
              <w:jc w:val="center"/>
              <w:rPr>
                <w:rFonts w:ascii="Arial Narrow" w:hAnsi="Arial Narrow"/>
                <w:b/>
                <w:bCs/>
                <w:color w:val="000000"/>
                <w:sz w:val="20"/>
                <w:szCs w:val="20"/>
              </w:rPr>
            </w:pPr>
            <w:r>
              <w:rPr>
                <w:rFonts w:ascii="Arial Narrow" w:hAnsi="Arial Narrow"/>
                <w:b/>
                <w:bCs/>
                <w:color w:val="000000"/>
                <w:sz w:val="20"/>
                <w:szCs w:val="20"/>
              </w:rPr>
              <w:t>MW</w:t>
            </w:r>
          </w:p>
        </w:tc>
        <w:tc>
          <w:tcPr>
            <w:tcW w:w="0" w:type="auto"/>
            <w:shd w:val="clear" w:color="auto" w:fill="D9D9D9" w:themeFill="background1" w:themeFillShade="D9"/>
            <w:vAlign w:val="center"/>
          </w:tcPr>
          <w:p w:rsidR="006801F1" w:rsidRPr="0089039D" w:rsidRDefault="006801F1" w:rsidP="00F31AA4">
            <w:pPr>
              <w:jc w:val="center"/>
              <w:rPr>
                <w:rFonts w:ascii="Arial Narrow" w:hAnsi="Arial Narrow"/>
                <w:b/>
                <w:bCs/>
                <w:color w:val="000000"/>
                <w:sz w:val="20"/>
                <w:szCs w:val="20"/>
              </w:rPr>
            </w:pPr>
            <w:r>
              <w:rPr>
                <w:rFonts w:ascii="Arial Narrow" w:hAnsi="Arial Narrow"/>
                <w:b/>
                <w:bCs/>
                <w:color w:val="000000"/>
                <w:sz w:val="20"/>
                <w:szCs w:val="20"/>
              </w:rPr>
              <w:t>Outage</w:t>
            </w:r>
            <w:r>
              <w:rPr>
                <w:rFonts w:ascii="Arial Narrow" w:hAnsi="Arial Narrow"/>
                <w:b/>
                <w:bCs/>
                <w:color w:val="000000"/>
                <w:sz w:val="20"/>
                <w:szCs w:val="20"/>
              </w:rPr>
              <w:br/>
            </w:r>
            <w:r w:rsidRPr="0089039D">
              <w:rPr>
                <w:rFonts w:ascii="Arial Narrow" w:hAnsi="Arial Narrow"/>
                <w:b/>
                <w:bCs/>
                <w:color w:val="000000"/>
                <w:sz w:val="20"/>
                <w:szCs w:val="20"/>
              </w:rPr>
              <w:t>MW</w:t>
            </w:r>
          </w:p>
        </w:tc>
        <w:tc>
          <w:tcPr>
            <w:tcW w:w="0" w:type="auto"/>
            <w:shd w:val="clear" w:color="auto" w:fill="D9D9D9" w:themeFill="background1" w:themeFillShade="D9"/>
            <w:vAlign w:val="center"/>
          </w:tcPr>
          <w:p w:rsidR="006801F1" w:rsidRPr="00AA2766" w:rsidRDefault="006801F1" w:rsidP="00F31AA4">
            <w:pPr>
              <w:jc w:val="center"/>
              <w:rPr>
                <w:rFonts w:ascii="Arial Narrow" w:hAnsi="Arial Narrow"/>
                <w:sz w:val="20"/>
                <w:szCs w:val="20"/>
              </w:rPr>
            </w:pPr>
            <w:r w:rsidRPr="001861DE">
              <w:rPr>
                <w:rFonts w:ascii="Arial Narrow" w:hAnsi="Arial Narrow"/>
                <w:b/>
                <w:bCs/>
                <w:color w:val="000000"/>
                <w:sz w:val="20"/>
                <w:szCs w:val="20"/>
              </w:rPr>
              <w:t>SLIC</w:t>
            </w:r>
            <w:r w:rsidRPr="001861DE">
              <w:rPr>
                <w:rFonts w:ascii="Arial Narrow" w:hAnsi="Arial Narrow"/>
                <w:b/>
                <w:bCs/>
                <w:color w:val="000000"/>
                <w:sz w:val="20"/>
                <w:szCs w:val="20"/>
              </w:rPr>
              <w:br/>
              <w:t>Outage</w:t>
            </w:r>
          </w:p>
          <w:p w:rsidR="006801F1" w:rsidRPr="00AA2766" w:rsidRDefault="006801F1" w:rsidP="00F31AA4">
            <w:pPr>
              <w:jc w:val="center"/>
              <w:rPr>
                <w:rStyle w:val="ConfirmSignatureLineChar"/>
                <w:rFonts w:ascii="Arial Narrow" w:hAnsi="Arial Narrow"/>
                <w:sz w:val="20"/>
                <w:szCs w:val="20"/>
              </w:rPr>
            </w:pPr>
            <w:r w:rsidRPr="00AA2766">
              <w:rPr>
                <w:rFonts w:ascii="Arial Narrow" w:hAnsi="Arial Narrow"/>
                <w:b/>
                <w:bCs/>
                <w:color w:val="000000"/>
                <w:sz w:val="20"/>
                <w:szCs w:val="20"/>
              </w:rPr>
              <w:t>Start Date</w:t>
            </w:r>
          </w:p>
        </w:tc>
        <w:tc>
          <w:tcPr>
            <w:tcW w:w="0" w:type="auto"/>
            <w:shd w:val="clear" w:color="auto" w:fill="D9D9D9" w:themeFill="background1" w:themeFillShade="D9"/>
            <w:vAlign w:val="center"/>
          </w:tcPr>
          <w:p w:rsidR="006801F1" w:rsidRPr="00E20542" w:rsidRDefault="006801F1" w:rsidP="00F31AA4">
            <w:pPr>
              <w:jc w:val="center"/>
              <w:rPr>
                <w:rFonts w:ascii="Arial Narrow" w:hAnsi="Arial Narrow"/>
                <w:sz w:val="20"/>
                <w:szCs w:val="20"/>
              </w:rPr>
            </w:pPr>
            <w:r w:rsidRPr="00E20542">
              <w:rPr>
                <w:rFonts w:ascii="Arial Narrow" w:hAnsi="Arial Narrow"/>
                <w:b/>
                <w:bCs/>
                <w:color w:val="000000"/>
                <w:sz w:val="20"/>
                <w:szCs w:val="20"/>
              </w:rPr>
              <w:t>SLIC</w:t>
            </w:r>
            <w:r w:rsidRPr="00E20542">
              <w:rPr>
                <w:rFonts w:ascii="Arial Narrow" w:hAnsi="Arial Narrow"/>
                <w:b/>
                <w:bCs/>
                <w:color w:val="000000"/>
                <w:sz w:val="20"/>
                <w:szCs w:val="20"/>
              </w:rPr>
              <w:br/>
              <w:t>Outage</w:t>
            </w:r>
          </w:p>
          <w:p w:rsidR="006801F1" w:rsidRPr="00E20542" w:rsidRDefault="006801F1" w:rsidP="00F31AA4">
            <w:pPr>
              <w:jc w:val="center"/>
              <w:rPr>
                <w:rStyle w:val="ConfirmSignatureLineChar"/>
                <w:rFonts w:ascii="Arial Narrow" w:hAnsi="Arial Narrow"/>
                <w:color w:val="000000"/>
                <w:w w:val="0"/>
                <w:sz w:val="20"/>
                <w:szCs w:val="20"/>
              </w:rPr>
            </w:pPr>
            <w:r w:rsidRPr="00E20542">
              <w:rPr>
                <w:rFonts w:ascii="Arial Narrow" w:hAnsi="Arial Narrow"/>
                <w:b/>
                <w:bCs/>
                <w:color w:val="000000"/>
                <w:sz w:val="20"/>
                <w:szCs w:val="20"/>
              </w:rPr>
              <w:t>End Date</w:t>
            </w:r>
          </w:p>
        </w:tc>
        <w:tc>
          <w:tcPr>
            <w:tcW w:w="0" w:type="auto"/>
            <w:shd w:val="clear" w:color="auto" w:fill="D9D9D9" w:themeFill="background1" w:themeFillShade="D9"/>
            <w:vAlign w:val="center"/>
          </w:tcPr>
          <w:p w:rsidR="006801F1" w:rsidRPr="0089039D" w:rsidRDefault="006801F1" w:rsidP="00F31AA4">
            <w:pPr>
              <w:jc w:val="center"/>
              <w:rPr>
                <w:rStyle w:val="ConfirmSignatureLineChar"/>
                <w:rFonts w:ascii="Arial Narrow" w:hAnsi="Arial Narrow"/>
                <w:sz w:val="20"/>
                <w:szCs w:val="20"/>
              </w:rPr>
            </w:pPr>
            <w:r w:rsidRPr="0089039D">
              <w:rPr>
                <w:rFonts w:ascii="Arial Narrow" w:hAnsi="Arial Narrow"/>
                <w:b/>
                <w:bCs/>
                <w:color w:val="000000"/>
                <w:sz w:val="20"/>
                <w:szCs w:val="20"/>
              </w:rPr>
              <w:t>Duration</w:t>
            </w:r>
            <w:r w:rsidRPr="0089039D">
              <w:rPr>
                <w:rFonts w:ascii="Arial Narrow" w:hAnsi="Arial Narrow"/>
                <w:b/>
                <w:bCs/>
                <w:color w:val="000000"/>
                <w:sz w:val="20"/>
                <w:szCs w:val="20"/>
              </w:rPr>
              <w:br/>
              <w:t>Days</w:t>
            </w:r>
          </w:p>
        </w:tc>
        <w:tc>
          <w:tcPr>
            <w:tcW w:w="0" w:type="auto"/>
            <w:shd w:val="clear" w:color="auto" w:fill="D9D9D9" w:themeFill="background1" w:themeFillShade="D9"/>
            <w:vAlign w:val="center"/>
          </w:tcPr>
          <w:p w:rsidR="006801F1" w:rsidRPr="0089039D" w:rsidRDefault="006801F1" w:rsidP="00F31AA4">
            <w:pPr>
              <w:jc w:val="center"/>
              <w:rPr>
                <w:rStyle w:val="ConfirmSignatureLineChar"/>
                <w:rFonts w:ascii="Arial Narrow" w:hAnsi="Arial Narrow"/>
                <w:sz w:val="20"/>
                <w:szCs w:val="20"/>
              </w:rPr>
            </w:pPr>
            <w:r w:rsidRPr="0089039D">
              <w:rPr>
                <w:rFonts w:ascii="Arial Narrow" w:hAnsi="Arial Narrow"/>
                <w:b/>
                <w:bCs/>
                <w:color w:val="000000"/>
                <w:sz w:val="20"/>
                <w:szCs w:val="20"/>
              </w:rPr>
              <w:t>Duration</w:t>
            </w:r>
            <w:r w:rsidRPr="0089039D">
              <w:rPr>
                <w:rFonts w:ascii="Arial Narrow" w:hAnsi="Arial Narrow"/>
                <w:b/>
                <w:bCs/>
                <w:color w:val="000000"/>
                <w:sz w:val="20"/>
                <w:szCs w:val="20"/>
              </w:rPr>
              <w:br/>
              <w:t>Hours</w:t>
            </w:r>
          </w:p>
        </w:tc>
      </w:tr>
      <w:tr w:rsidR="006801F1" w:rsidRPr="00670A81" w:rsidTr="00F31AA4">
        <w:trPr>
          <w:jc w:val="center"/>
        </w:trPr>
        <w:tc>
          <w:tcPr>
            <w:tcW w:w="0" w:type="auto"/>
            <w:vAlign w:val="center"/>
          </w:tcPr>
          <w:p w:rsidR="006801F1" w:rsidRPr="0089039D" w:rsidRDefault="006801F1" w:rsidP="00F31AA4">
            <w:pPr>
              <w:rPr>
                <w:rStyle w:val="ConfirmSignatureLineChar"/>
                <w:rFonts w:ascii="Arial Narrow" w:hAnsi="Arial Narrow"/>
                <w:sz w:val="20"/>
                <w:szCs w:val="20"/>
              </w:rPr>
            </w:pPr>
          </w:p>
        </w:tc>
        <w:tc>
          <w:tcPr>
            <w:tcW w:w="0" w:type="auto"/>
            <w:vAlign w:val="center"/>
          </w:tcPr>
          <w:p w:rsidR="006801F1" w:rsidRPr="0089039D" w:rsidRDefault="006801F1" w:rsidP="00F31AA4">
            <w:pPr>
              <w:jc w:val="center"/>
              <w:rPr>
                <w:rStyle w:val="ConfirmSignatureLineChar"/>
                <w:rFonts w:ascii="Arial Narrow" w:hAnsi="Arial Narrow"/>
                <w:sz w:val="20"/>
                <w:szCs w:val="20"/>
              </w:rPr>
            </w:pPr>
          </w:p>
        </w:tc>
        <w:tc>
          <w:tcPr>
            <w:tcW w:w="0" w:type="auto"/>
          </w:tcPr>
          <w:p w:rsidR="006801F1" w:rsidRPr="0089039D" w:rsidRDefault="006801F1" w:rsidP="00F31AA4">
            <w:pPr>
              <w:jc w:val="center"/>
              <w:rPr>
                <w:rStyle w:val="ConfirmSignatureLineChar"/>
                <w:rFonts w:ascii="Arial Narrow" w:hAnsi="Arial Narrow"/>
                <w:color w:val="000000"/>
                <w:w w:val="0"/>
                <w:sz w:val="20"/>
                <w:szCs w:val="20"/>
              </w:rPr>
            </w:pPr>
          </w:p>
        </w:tc>
        <w:tc>
          <w:tcPr>
            <w:tcW w:w="0" w:type="auto"/>
          </w:tcPr>
          <w:p w:rsidR="006801F1" w:rsidRPr="0089039D" w:rsidRDefault="006801F1" w:rsidP="00F31AA4">
            <w:pPr>
              <w:jc w:val="center"/>
              <w:rPr>
                <w:rStyle w:val="ConfirmSignatureLineChar"/>
                <w:rFonts w:ascii="Arial Narrow" w:hAnsi="Arial Narrow"/>
                <w:color w:val="000000"/>
                <w:w w:val="0"/>
                <w:sz w:val="20"/>
                <w:szCs w:val="20"/>
              </w:rPr>
            </w:pPr>
          </w:p>
        </w:tc>
        <w:tc>
          <w:tcPr>
            <w:tcW w:w="0" w:type="auto"/>
            <w:vAlign w:val="center"/>
          </w:tcPr>
          <w:p w:rsidR="006801F1" w:rsidRPr="00415191" w:rsidRDefault="006801F1" w:rsidP="00F31AA4">
            <w:pPr>
              <w:jc w:val="center"/>
              <w:rPr>
                <w:rStyle w:val="ConfirmSignatureLineChar"/>
                <w:rFonts w:ascii="Arial Narrow" w:hAnsi="Arial Narrow"/>
                <w:color w:val="000000"/>
                <w:w w:val="0"/>
                <w:sz w:val="20"/>
                <w:szCs w:val="20"/>
              </w:rPr>
            </w:pPr>
          </w:p>
        </w:tc>
        <w:tc>
          <w:tcPr>
            <w:tcW w:w="0" w:type="auto"/>
            <w:vAlign w:val="center"/>
          </w:tcPr>
          <w:p w:rsidR="006801F1" w:rsidRPr="00415191" w:rsidRDefault="006801F1" w:rsidP="00F31AA4">
            <w:pPr>
              <w:jc w:val="center"/>
              <w:rPr>
                <w:rStyle w:val="ConfirmSignatureLineChar"/>
                <w:rFonts w:ascii="Arial Narrow" w:hAnsi="Arial Narrow"/>
                <w:color w:val="000000"/>
                <w:w w:val="0"/>
                <w:sz w:val="20"/>
                <w:szCs w:val="20"/>
              </w:rPr>
            </w:pPr>
          </w:p>
        </w:tc>
        <w:tc>
          <w:tcPr>
            <w:tcW w:w="0" w:type="auto"/>
            <w:vAlign w:val="center"/>
          </w:tcPr>
          <w:p w:rsidR="006801F1" w:rsidRPr="0089039D" w:rsidRDefault="006801F1" w:rsidP="00F31AA4">
            <w:pPr>
              <w:jc w:val="center"/>
              <w:rPr>
                <w:rStyle w:val="ConfirmSignatureLineChar"/>
                <w:rFonts w:ascii="Arial Narrow" w:hAnsi="Arial Narrow"/>
                <w:color w:val="000000"/>
                <w:w w:val="0"/>
                <w:sz w:val="20"/>
                <w:szCs w:val="20"/>
              </w:rPr>
            </w:pPr>
          </w:p>
        </w:tc>
        <w:tc>
          <w:tcPr>
            <w:tcW w:w="0" w:type="auto"/>
            <w:vAlign w:val="center"/>
          </w:tcPr>
          <w:p w:rsidR="00995CF5" w:rsidRDefault="00995CF5">
            <w:pPr>
              <w:rPr>
                <w:rStyle w:val="ConfirmSignatureLineChar"/>
                <w:rFonts w:ascii="Arial Narrow" w:hAnsi="Arial Narrow"/>
                <w:color w:val="000000"/>
                <w:w w:val="0"/>
                <w:sz w:val="20"/>
                <w:szCs w:val="20"/>
              </w:rPr>
            </w:pPr>
          </w:p>
        </w:tc>
      </w:tr>
      <w:tr w:rsidR="006801F1" w:rsidRPr="00670A81" w:rsidTr="00F31AA4">
        <w:trPr>
          <w:jc w:val="center"/>
        </w:trPr>
        <w:tc>
          <w:tcPr>
            <w:tcW w:w="0" w:type="auto"/>
            <w:vAlign w:val="center"/>
          </w:tcPr>
          <w:p w:rsidR="006801F1" w:rsidRPr="0089039D" w:rsidRDefault="006801F1" w:rsidP="00F31AA4">
            <w:pPr>
              <w:rPr>
                <w:rStyle w:val="ConfirmSignatureLineChar"/>
                <w:rFonts w:ascii="Arial Narrow" w:hAnsi="Arial Narrow"/>
                <w:sz w:val="20"/>
                <w:szCs w:val="20"/>
              </w:rPr>
            </w:pPr>
          </w:p>
        </w:tc>
        <w:tc>
          <w:tcPr>
            <w:tcW w:w="0" w:type="auto"/>
            <w:vAlign w:val="center"/>
          </w:tcPr>
          <w:p w:rsidR="006801F1" w:rsidRPr="0089039D" w:rsidRDefault="006801F1" w:rsidP="00F31AA4">
            <w:pPr>
              <w:jc w:val="center"/>
              <w:rPr>
                <w:rStyle w:val="ConfirmSignatureLineChar"/>
                <w:rFonts w:ascii="Arial Narrow" w:hAnsi="Arial Narrow"/>
                <w:sz w:val="20"/>
                <w:szCs w:val="20"/>
              </w:rPr>
            </w:pPr>
          </w:p>
        </w:tc>
        <w:tc>
          <w:tcPr>
            <w:tcW w:w="0" w:type="auto"/>
          </w:tcPr>
          <w:p w:rsidR="006801F1" w:rsidRPr="0089039D" w:rsidRDefault="006801F1" w:rsidP="00F31AA4">
            <w:pPr>
              <w:jc w:val="center"/>
              <w:rPr>
                <w:rStyle w:val="ConfirmSignatureLineChar"/>
                <w:rFonts w:ascii="Arial Narrow" w:hAnsi="Arial Narrow"/>
                <w:color w:val="000000"/>
                <w:w w:val="0"/>
                <w:sz w:val="20"/>
                <w:szCs w:val="20"/>
              </w:rPr>
            </w:pPr>
          </w:p>
        </w:tc>
        <w:tc>
          <w:tcPr>
            <w:tcW w:w="0" w:type="auto"/>
          </w:tcPr>
          <w:p w:rsidR="00995CF5" w:rsidRDefault="00995CF5">
            <w:pPr>
              <w:rPr>
                <w:rStyle w:val="ConfirmSignatureLineChar"/>
                <w:rFonts w:ascii="Arial Narrow" w:hAnsi="Arial Narrow"/>
                <w:color w:val="000000"/>
                <w:w w:val="0"/>
                <w:sz w:val="20"/>
                <w:szCs w:val="20"/>
              </w:rPr>
            </w:pPr>
          </w:p>
        </w:tc>
        <w:tc>
          <w:tcPr>
            <w:tcW w:w="0" w:type="auto"/>
            <w:vAlign w:val="center"/>
          </w:tcPr>
          <w:p w:rsidR="006801F1" w:rsidRPr="00415191" w:rsidRDefault="006801F1" w:rsidP="00F31AA4">
            <w:pPr>
              <w:jc w:val="center"/>
              <w:rPr>
                <w:rStyle w:val="ConfirmSignatureLineChar"/>
                <w:rFonts w:ascii="Arial Narrow" w:hAnsi="Arial Narrow"/>
                <w:color w:val="000000"/>
                <w:w w:val="0"/>
                <w:sz w:val="20"/>
                <w:szCs w:val="20"/>
              </w:rPr>
            </w:pPr>
          </w:p>
        </w:tc>
        <w:tc>
          <w:tcPr>
            <w:tcW w:w="0" w:type="auto"/>
            <w:vAlign w:val="center"/>
          </w:tcPr>
          <w:p w:rsidR="006801F1" w:rsidRPr="00415191" w:rsidRDefault="006801F1" w:rsidP="00F31AA4">
            <w:pPr>
              <w:jc w:val="center"/>
              <w:rPr>
                <w:rStyle w:val="ConfirmSignatureLineChar"/>
                <w:rFonts w:ascii="Arial Narrow" w:hAnsi="Arial Narrow"/>
                <w:color w:val="000000"/>
                <w:w w:val="0"/>
                <w:sz w:val="20"/>
                <w:szCs w:val="20"/>
              </w:rPr>
            </w:pPr>
          </w:p>
        </w:tc>
        <w:tc>
          <w:tcPr>
            <w:tcW w:w="0" w:type="auto"/>
            <w:vAlign w:val="center"/>
          </w:tcPr>
          <w:p w:rsidR="006801F1" w:rsidRPr="0089039D" w:rsidRDefault="006801F1" w:rsidP="00F31AA4">
            <w:pPr>
              <w:jc w:val="center"/>
              <w:rPr>
                <w:rStyle w:val="ConfirmSignatureLineChar"/>
                <w:rFonts w:ascii="Arial Narrow" w:hAnsi="Arial Narrow"/>
                <w:color w:val="000000"/>
                <w:w w:val="0"/>
                <w:sz w:val="20"/>
                <w:szCs w:val="20"/>
              </w:rPr>
            </w:pPr>
          </w:p>
        </w:tc>
        <w:tc>
          <w:tcPr>
            <w:tcW w:w="0" w:type="auto"/>
            <w:vAlign w:val="center"/>
          </w:tcPr>
          <w:p w:rsidR="006801F1" w:rsidRPr="0089039D" w:rsidRDefault="006801F1" w:rsidP="00F31AA4">
            <w:pPr>
              <w:jc w:val="center"/>
              <w:rPr>
                <w:rStyle w:val="ConfirmSignatureLineChar"/>
                <w:rFonts w:ascii="Arial Narrow" w:hAnsi="Arial Narrow"/>
                <w:color w:val="000000"/>
                <w:w w:val="0"/>
                <w:sz w:val="20"/>
                <w:szCs w:val="20"/>
              </w:rPr>
            </w:pPr>
          </w:p>
        </w:tc>
      </w:tr>
      <w:tr w:rsidR="006801F1" w:rsidRPr="00670A81" w:rsidTr="006801F1">
        <w:trPr>
          <w:trHeight w:val="188"/>
          <w:jc w:val="center"/>
        </w:trPr>
        <w:tc>
          <w:tcPr>
            <w:tcW w:w="0" w:type="auto"/>
            <w:vAlign w:val="center"/>
          </w:tcPr>
          <w:p w:rsidR="006801F1" w:rsidRPr="0089039D" w:rsidRDefault="006801F1" w:rsidP="00F31AA4">
            <w:pPr>
              <w:rPr>
                <w:rStyle w:val="ConfirmSignatureLineChar"/>
                <w:rFonts w:ascii="Arial Narrow" w:hAnsi="Arial Narrow"/>
                <w:sz w:val="20"/>
                <w:szCs w:val="20"/>
              </w:rPr>
            </w:pPr>
          </w:p>
        </w:tc>
        <w:tc>
          <w:tcPr>
            <w:tcW w:w="0" w:type="auto"/>
            <w:vAlign w:val="center"/>
          </w:tcPr>
          <w:p w:rsidR="006801F1" w:rsidRPr="0089039D" w:rsidRDefault="006801F1" w:rsidP="00F31AA4">
            <w:pPr>
              <w:jc w:val="center"/>
              <w:rPr>
                <w:rStyle w:val="ConfirmSignatureLineChar"/>
                <w:rFonts w:ascii="Arial Narrow" w:hAnsi="Arial Narrow"/>
                <w:color w:val="000000"/>
                <w:w w:val="0"/>
                <w:sz w:val="20"/>
                <w:szCs w:val="20"/>
              </w:rPr>
            </w:pPr>
          </w:p>
        </w:tc>
        <w:tc>
          <w:tcPr>
            <w:tcW w:w="0" w:type="auto"/>
          </w:tcPr>
          <w:p w:rsidR="006801F1" w:rsidRPr="0089039D" w:rsidRDefault="006801F1" w:rsidP="00F31AA4">
            <w:pPr>
              <w:jc w:val="center"/>
              <w:rPr>
                <w:rStyle w:val="ConfirmSignatureLineChar"/>
                <w:rFonts w:ascii="Arial Narrow" w:hAnsi="Arial Narrow"/>
                <w:color w:val="000000"/>
                <w:w w:val="0"/>
                <w:sz w:val="20"/>
                <w:szCs w:val="20"/>
              </w:rPr>
            </w:pPr>
          </w:p>
        </w:tc>
        <w:tc>
          <w:tcPr>
            <w:tcW w:w="0" w:type="auto"/>
          </w:tcPr>
          <w:p w:rsidR="006801F1" w:rsidRPr="0089039D" w:rsidRDefault="006801F1" w:rsidP="00F31AA4">
            <w:pPr>
              <w:jc w:val="center"/>
              <w:rPr>
                <w:rStyle w:val="ConfirmSignatureLineChar"/>
                <w:rFonts w:ascii="Arial Narrow" w:hAnsi="Arial Narrow"/>
                <w:color w:val="000000"/>
                <w:w w:val="0"/>
                <w:sz w:val="20"/>
                <w:szCs w:val="20"/>
              </w:rPr>
            </w:pPr>
          </w:p>
        </w:tc>
        <w:tc>
          <w:tcPr>
            <w:tcW w:w="0" w:type="auto"/>
            <w:vAlign w:val="center"/>
          </w:tcPr>
          <w:p w:rsidR="006801F1" w:rsidRPr="00415191" w:rsidRDefault="006801F1" w:rsidP="00F31AA4">
            <w:pPr>
              <w:jc w:val="center"/>
              <w:rPr>
                <w:rStyle w:val="ConfirmSignatureLineChar"/>
                <w:rFonts w:ascii="Arial Narrow" w:hAnsi="Arial Narrow"/>
                <w:color w:val="000000"/>
                <w:w w:val="0"/>
                <w:sz w:val="20"/>
                <w:szCs w:val="20"/>
              </w:rPr>
            </w:pPr>
          </w:p>
        </w:tc>
        <w:tc>
          <w:tcPr>
            <w:tcW w:w="0" w:type="auto"/>
            <w:vAlign w:val="center"/>
          </w:tcPr>
          <w:p w:rsidR="006801F1" w:rsidRPr="00415191" w:rsidRDefault="006801F1" w:rsidP="00F31AA4">
            <w:pPr>
              <w:jc w:val="center"/>
              <w:rPr>
                <w:rStyle w:val="ConfirmSignatureLineChar"/>
                <w:rFonts w:ascii="Arial Narrow" w:hAnsi="Arial Narrow"/>
                <w:color w:val="000000"/>
                <w:w w:val="0"/>
                <w:sz w:val="20"/>
                <w:szCs w:val="20"/>
              </w:rPr>
            </w:pPr>
          </w:p>
        </w:tc>
        <w:tc>
          <w:tcPr>
            <w:tcW w:w="0" w:type="auto"/>
            <w:vAlign w:val="center"/>
          </w:tcPr>
          <w:p w:rsidR="006801F1" w:rsidRPr="0089039D" w:rsidRDefault="006801F1" w:rsidP="00F31AA4">
            <w:pPr>
              <w:jc w:val="center"/>
              <w:rPr>
                <w:rStyle w:val="ConfirmSignatureLineChar"/>
                <w:rFonts w:ascii="Arial Narrow" w:hAnsi="Arial Narrow"/>
                <w:color w:val="000000"/>
                <w:w w:val="0"/>
                <w:sz w:val="20"/>
                <w:szCs w:val="20"/>
              </w:rPr>
            </w:pPr>
          </w:p>
        </w:tc>
        <w:tc>
          <w:tcPr>
            <w:tcW w:w="0" w:type="auto"/>
            <w:vAlign w:val="center"/>
          </w:tcPr>
          <w:p w:rsidR="00995CF5" w:rsidRDefault="00995CF5">
            <w:pPr>
              <w:rPr>
                <w:rStyle w:val="ConfirmSignatureLineChar"/>
                <w:rFonts w:ascii="Arial Narrow" w:hAnsi="Arial Narrow"/>
                <w:color w:val="000000"/>
                <w:w w:val="0"/>
                <w:sz w:val="20"/>
                <w:szCs w:val="20"/>
              </w:rPr>
            </w:pPr>
          </w:p>
        </w:tc>
      </w:tr>
    </w:tbl>
    <w:p w:rsidR="006801F1" w:rsidRDefault="006801F1" w:rsidP="006801F1">
      <w:pPr>
        <w:rPr>
          <w:rStyle w:val="ConfirmSignatureLineChar"/>
          <w:color w:val="000000"/>
          <w:w w:val="0"/>
          <w:szCs w:val="22"/>
        </w:rPr>
      </w:pPr>
    </w:p>
    <w:p w:rsidR="00995CF5" w:rsidRDefault="00995CF5" w:rsidP="00804DBB">
      <w:pPr>
        <w:rPr>
          <w:szCs w:val="22"/>
        </w:rPr>
      </w:pPr>
    </w:p>
    <w:sectPr w:rsidR="00995CF5" w:rsidSect="00BC6F3D">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9F1" w:rsidRDefault="007339F1">
      <w:r>
        <w:separator/>
      </w:r>
    </w:p>
  </w:endnote>
  <w:endnote w:type="continuationSeparator" w:id="0">
    <w:p w:rsidR="007339F1" w:rsidRDefault="0073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F0" w:rsidRDefault="001A42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1A42F0" w:rsidRDefault="001A42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F0" w:rsidRDefault="001A42F0">
    <w:pPr>
      <w:pStyle w:val="Footer"/>
      <w:jc w:val="center"/>
      <w:rPr>
        <w:rStyle w:val="PageNumber"/>
      </w:rPr>
    </w:pPr>
  </w:p>
  <w:p w:rsidR="001A42F0" w:rsidRDefault="001A42F0">
    <w:pPr>
      <w:pStyle w:val="Footer"/>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06A82">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06A82">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9F1" w:rsidRDefault="007339F1">
      <w:r>
        <w:separator/>
      </w:r>
    </w:p>
  </w:footnote>
  <w:footnote w:type="continuationSeparator" w:id="0">
    <w:p w:rsidR="007339F1" w:rsidRDefault="00733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F0" w:rsidRDefault="001A42F0">
    <w:pPr>
      <w:pStyle w:val="Header"/>
      <w:jc w:val="right"/>
    </w:pPr>
    <w:r>
      <w:t>DRAFT:  For discussion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975D2"/>
    <w:multiLevelType w:val="hybridMultilevel"/>
    <w:tmpl w:val="3DD0E6C4"/>
    <w:lvl w:ilvl="0" w:tplc="96D4E7A6">
      <w:start w:val="1"/>
      <w:numFmt w:val="lowerLetter"/>
      <w:lvlText w:val="(%1)"/>
      <w:lvlJc w:val="left"/>
      <w:pPr>
        <w:tabs>
          <w:tab w:val="num" w:pos="1080"/>
        </w:tabs>
        <w:ind w:left="1080" w:hanging="360"/>
      </w:pPr>
      <w:rPr>
        <w:rFonts w:ascii="Verdana" w:hAnsi="Verdana" w:hint="default"/>
        <w:b w:val="0"/>
        <w:i w:val="0"/>
        <w:sz w:val="20"/>
      </w:rPr>
    </w:lvl>
    <w:lvl w:ilvl="1" w:tplc="59F21AEA" w:tentative="1">
      <w:start w:val="1"/>
      <w:numFmt w:val="lowerLetter"/>
      <w:lvlText w:val="%2."/>
      <w:lvlJc w:val="left"/>
      <w:pPr>
        <w:tabs>
          <w:tab w:val="num" w:pos="1440"/>
        </w:tabs>
        <w:ind w:left="1440" w:hanging="360"/>
      </w:pPr>
    </w:lvl>
    <w:lvl w:ilvl="2" w:tplc="E5429D8E" w:tentative="1">
      <w:start w:val="1"/>
      <w:numFmt w:val="lowerRoman"/>
      <w:lvlText w:val="%3."/>
      <w:lvlJc w:val="right"/>
      <w:pPr>
        <w:tabs>
          <w:tab w:val="num" w:pos="2160"/>
        </w:tabs>
        <w:ind w:left="2160" w:hanging="180"/>
      </w:pPr>
    </w:lvl>
    <w:lvl w:ilvl="3" w:tplc="E91A258E" w:tentative="1">
      <w:start w:val="1"/>
      <w:numFmt w:val="decimal"/>
      <w:lvlText w:val="%4."/>
      <w:lvlJc w:val="left"/>
      <w:pPr>
        <w:tabs>
          <w:tab w:val="num" w:pos="2880"/>
        </w:tabs>
        <w:ind w:left="2880" w:hanging="360"/>
      </w:pPr>
    </w:lvl>
    <w:lvl w:ilvl="4" w:tplc="2682994E" w:tentative="1">
      <w:start w:val="1"/>
      <w:numFmt w:val="lowerLetter"/>
      <w:lvlText w:val="%5."/>
      <w:lvlJc w:val="left"/>
      <w:pPr>
        <w:tabs>
          <w:tab w:val="num" w:pos="3600"/>
        </w:tabs>
        <w:ind w:left="3600" w:hanging="360"/>
      </w:pPr>
    </w:lvl>
    <w:lvl w:ilvl="5" w:tplc="DE8A02FC" w:tentative="1">
      <w:start w:val="1"/>
      <w:numFmt w:val="lowerRoman"/>
      <w:lvlText w:val="%6."/>
      <w:lvlJc w:val="right"/>
      <w:pPr>
        <w:tabs>
          <w:tab w:val="num" w:pos="4320"/>
        </w:tabs>
        <w:ind w:left="4320" w:hanging="180"/>
      </w:pPr>
    </w:lvl>
    <w:lvl w:ilvl="6" w:tplc="F85EFA7A" w:tentative="1">
      <w:start w:val="1"/>
      <w:numFmt w:val="decimal"/>
      <w:lvlText w:val="%7."/>
      <w:lvlJc w:val="left"/>
      <w:pPr>
        <w:tabs>
          <w:tab w:val="num" w:pos="5040"/>
        </w:tabs>
        <w:ind w:left="5040" w:hanging="360"/>
      </w:pPr>
    </w:lvl>
    <w:lvl w:ilvl="7" w:tplc="BA2EE592" w:tentative="1">
      <w:start w:val="1"/>
      <w:numFmt w:val="lowerLetter"/>
      <w:lvlText w:val="%8."/>
      <w:lvlJc w:val="left"/>
      <w:pPr>
        <w:tabs>
          <w:tab w:val="num" w:pos="5760"/>
        </w:tabs>
        <w:ind w:left="5760" w:hanging="360"/>
      </w:pPr>
    </w:lvl>
    <w:lvl w:ilvl="8" w:tplc="97BEFA98" w:tentative="1">
      <w:start w:val="1"/>
      <w:numFmt w:val="lowerRoman"/>
      <w:lvlText w:val="%9."/>
      <w:lvlJc w:val="right"/>
      <w:pPr>
        <w:tabs>
          <w:tab w:val="num" w:pos="6480"/>
        </w:tabs>
        <w:ind w:left="6480" w:hanging="180"/>
      </w:pPr>
    </w:lvl>
  </w:abstractNum>
  <w:abstractNum w:abstractNumId="1">
    <w:nsid w:val="1C662752"/>
    <w:multiLevelType w:val="hybridMultilevel"/>
    <w:tmpl w:val="6890DFBE"/>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2D28BE"/>
    <w:multiLevelType w:val="hybridMultilevel"/>
    <w:tmpl w:val="9970D924"/>
    <w:lvl w:ilvl="0" w:tplc="F1D409E6">
      <w:start w:val="1"/>
      <w:numFmt w:val="lowerLetter"/>
      <w:lvlText w:val="(%1)"/>
      <w:lvlJc w:val="left"/>
      <w:pPr>
        <w:tabs>
          <w:tab w:val="num" w:pos="1080"/>
        </w:tabs>
        <w:ind w:left="1080" w:hanging="360"/>
      </w:pPr>
      <w:rPr>
        <w:rFonts w:ascii="Verdana" w:hAnsi="Verdana" w:hint="default"/>
        <w:b w:val="0"/>
        <w:i w:val="0"/>
        <w:sz w:val="20"/>
      </w:rPr>
    </w:lvl>
    <w:lvl w:ilvl="1" w:tplc="FD60D942">
      <w:start w:val="1"/>
      <w:numFmt w:val="lowerLetter"/>
      <w:lvlText w:val="%2."/>
      <w:lvlJc w:val="left"/>
      <w:pPr>
        <w:tabs>
          <w:tab w:val="num" w:pos="1440"/>
        </w:tabs>
        <w:ind w:left="1440" w:hanging="360"/>
      </w:pPr>
    </w:lvl>
    <w:lvl w:ilvl="2" w:tplc="4238E4DE" w:tentative="1">
      <w:start w:val="1"/>
      <w:numFmt w:val="lowerRoman"/>
      <w:lvlText w:val="%3."/>
      <w:lvlJc w:val="right"/>
      <w:pPr>
        <w:tabs>
          <w:tab w:val="num" w:pos="2160"/>
        </w:tabs>
        <w:ind w:left="2160" w:hanging="180"/>
      </w:pPr>
    </w:lvl>
    <w:lvl w:ilvl="3" w:tplc="D5E68F4A" w:tentative="1">
      <w:start w:val="1"/>
      <w:numFmt w:val="decimal"/>
      <w:lvlText w:val="%4."/>
      <w:lvlJc w:val="left"/>
      <w:pPr>
        <w:tabs>
          <w:tab w:val="num" w:pos="2880"/>
        </w:tabs>
        <w:ind w:left="2880" w:hanging="360"/>
      </w:pPr>
    </w:lvl>
    <w:lvl w:ilvl="4" w:tplc="8154D9F6" w:tentative="1">
      <w:start w:val="1"/>
      <w:numFmt w:val="lowerLetter"/>
      <w:lvlText w:val="%5."/>
      <w:lvlJc w:val="left"/>
      <w:pPr>
        <w:tabs>
          <w:tab w:val="num" w:pos="3600"/>
        </w:tabs>
        <w:ind w:left="3600" w:hanging="360"/>
      </w:pPr>
    </w:lvl>
    <w:lvl w:ilvl="5" w:tplc="7296747C" w:tentative="1">
      <w:start w:val="1"/>
      <w:numFmt w:val="lowerRoman"/>
      <w:lvlText w:val="%6."/>
      <w:lvlJc w:val="right"/>
      <w:pPr>
        <w:tabs>
          <w:tab w:val="num" w:pos="4320"/>
        </w:tabs>
        <w:ind w:left="4320" w:hanging="180"/>
      </w:pPr>
    </w:lvl>
    <w:lvl w:ilvl="6" w:tplc="398C03A8" w:tentative="1">
      <w:start w:val="1"/>
      <w:numFmt w:val="decimal"/>
      <w:lvlText w:val="%7."/>
      <w:lvlJc w:val="left"/>
      <w:pPr>
        <w:tabs>
          <w:tab w:val="num" w:pos="5040"/>
        </w:tabs>
        <w:ind w:left="5040" w:hanging="360"/>
      </w:pPr>
    </w:lvl>
    <w:lvl w:ilvl="7" w:tplc="AD4015F2" w:tentative="1">
      <w:start w:val="1"/>
      <w:numFmt w:val="lowerLetter"/>
      <w:lvlText w:val="%8."/>
      <w:lvlJc w:val="left"/>
      <w:pPr>
        <w:tabs>
          <w:tab w:val="num" w:pos="5760"/>
        </w:tabs>
        <w:ind w:left="5760" w:hanging="360"/>
      </w:pPr>
    </w:lvl>
    <w:lvl w:ilvl="8" w:tplc="6ACEE6C4" w:tentative="1">
      <w:start w:val="1"/>
      <w:numFmt w:val="lowerRoman"/>
      <w:lvlText w:val="%9."/>
      <w:lvlJc w:val="right"/>
      <w:pPr>
        <w:tabs>
          <w:tab w:val="num" w:pos="6480"/>
        </w:tabs>
        <w:ind w:left="6480" w:hanging="180"/>
      </w:pPr>
    </w:lvl>
  </w:abstractNum>
  <w:abstractNum w:abstractNumId="3">
    <w:nsid w:val="2A717240"/>
    <w:multiLevelType w:val="multilevel"/>
    <w:tmpl w:val="3DD0E6C4"/>
    <w:lvl w:ilvl="0">
      <w:start w:val="1"/>
      <w:numFmt w:val="lowerLetter"/>
      <w:lvlText w:val="(%1)"/>
      <w:lvlJc w:val="left"/>
      <w:pPr>
        <w:tabs>
          <w:tab w:val="num" w:pos="1080"/>
        </w:tabs>
        <w:ind w:left="1080" w:hanging="360"/>
      </w:pPr>
      <w:rPr>
        <w:rFonts w:ascii="Verdana" w:hAnsi="Verdana"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F6E5D12"/>
    <w:multiLevelType w:val="hybridMultilevel"/>
    <w:tmpl w:val="AC4A20B8"/>
    <w:lvl w:ilvl="0" w:tplc="FFFFFFFF">
      <w:start w:val="1"/>
      <w:numFmt w:val="lowerLetter"/>
      <w:lvlText w:val="(%1)"/>
      <w:lvlJc w:val="left"/>
      <w:pPr>
        <w:tabs>
          <w:tab w:val="num" w:pos="1080"/>
        </w:tabs>
        <w:ind w:left="1080" w:hanging="360"/>
      </w:pPr>
      <w:rPr>
        <w:rFonts w:ascii="Verdana" w:hAnsi="Verdana"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70573D8"/>
    <w:multiLevelType w:val="hybridMultilevel"/>
    <w:tmpl w:val="EB441722"/>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8607A15"/>
    <w:multiLevelType w:val="multilevel"/>
    <w:tmpl w:val="D90ACB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AD23B65"/>
    <w:multiLevelType w:val="multilevel"/>
    <w:tmpl w:val="54781950"/>
    <w:lvl w:ilvl="0">
      <w:start w:val="1"/>
      <w:numFmt w:val="lowerLetter"/>
      <w:lvlText w:val="(%1)"/>
      <w:lvlJc w:val="left"/>
      <w:pPr>
        <w:tabs>
          <w:tab w:val="num" w:pos="1080"/>
        </w:tabs>
        <w:ind w:left="1080" w:hanging="360"/>
      </w:pPr>
      <w:rPr>
        <w:rFonts w:ascii="Verdana" w:hAnsi="Verdana"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74F6DC0"/>
    <w:multiLevelType w:val="hybridMultilevel"/>
    <w:tmpl w:val="54781950"/>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C145C09"/>
    <w:multiLevelType w:val="hybridMultilevel"/>
    <w:tmpl w:val="28B295D2"/>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9E5085"/>
    <w:multiLevelType w:val="hybridMultilevel"/>
    <w:tmpl w:val="2674A2E2"/>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0B2A5D"/>
    <w:multiLevelType w:val="hybridMultilevel"/>
    <w:tmpl w:val="D35628C2"/>
    <w:lvl w:ilvl="0" w:tplc="9E14FDEC">
      <w:start w:val="1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2D75A7"/>
    <w:multiLevelType w:val="hybridMultilevel"/>
    <w:tmpl w:val="B7FCB11A"/>
    <w:lvl w:ilvl="0" w:tplc="0409000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A984460"/>
    <w:multiLevelType w:val="hybridMultilevel"/>
    <w:tmpl w:val="AC302500"/>
    <w:lvl w:ilvl="0" w:tplc="FFFFFFFF">
      <w:start w:val="1"/>
      <w:numFmt w:val="lowerLetter"/>
      <w:lvlText w:val="(%1)"/>
      <w:lvlJc w:val="left"/>
      <w:pPr>
        <w:tabs>
          <w:tab w:val="num" w:pos="1080"/>
        </w:tabs>
        <w:ind w:left="1080" w:hanging="360"/>
      </w:pPr>
      <w:rPr>
        <w:rFonts w:ascii="Verdana" w:hAnsi="Verdana" w:hint="default"/>
        <w:b w:val="0"/>
        <w:i w:val="0"/>
        <w:sz w:val="20"/>
      </w:rPr>
    </w:lvl>
    <w:lvl w:ilvl="1" w:tplc="5C0CD55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3F163C4"/>
    <w:multiLevelType w:val="multilevel"/>
    <w:tmpl w:val="3DD0E6C4"/>
    <w:lvl w:ilvl="0">
      <w:start w:val="1"/>
      <w:numFmt w:val="lowerLetter"/>
      <w:lvlText w:val="(%1)"/>
      <w:lvlJc w:val="left"/>
      <w:pPr>
        <w:tabs>
          <w:tab w:val="num" w:pos="1080"/>
        </w:tabs>
        <w:ind w:left="1080" w:hanging="360"/>
      </w:pPr>
      <w:rPr>
        <w:rFonts w:ascii="Verdana" w:hAnsi="Verdana"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398693C"/>
    <w:multiLevelType w:val="hybridMultilevel"/>
    <w:tmpl w:val="01FC76C8"/>
    <w:lvl w:ilvl="0" w:tplc="96D4E7A6">
      <w:start w:val="1"/>
      <w:numFmt w:val="lowerLetter"/>
      <w:lvlText w:val="(%1)"/>
      <w:lvlJc w:val="left"/>
      <w:pPr>
        <w:ind w:left="1440" w:hanging="360"/>
      </w:pPr>
      <w:rPr>
        <w:rFonts w:ascii="Verdana" w:hAnsi="Verdana"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BEE32EA"/>
    <w:multiLevelType w:val="hybridMultilevel"/>
    <w:tmpl w:val="E1561AAE"/>
    <w:lvl w:ilvl="0" w:tplc="33B62AB8">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12"/>
  </w:num>
  <w:num w:numId="4">
    <w:abstractNumId w:val="13"/>
  </w:num>
  <w:num w:numId="5">
    <w:abstractNumId w:val="5"/>
  </w:num>
  <w:num w:numId="6">
    <w:abstractNumId w:val="4"/>
  </w:num>
  <w:num w:numId="7">
    <w:abstractNumId w:val="2"/>
  </w:num>
  <w:num w:numId="8">
    <w:abstractNumId w:val="10"/>
  </w:num>
  <w:num w:numId="9">
    <w:abstractNumId w:val="16"/>
  </w:num>
  <w:num w:numId="10">
    <w:abstractNumId w:val="3"/>
  </w:num>
  <w:num w:numId="11">
    <w:abstractNumId w:val="8"/>
  </w:num>
  <w:num w:numId="12">
    <w:abstractNumId w:val="14"/>
  </w:num>
  <w:num w:numId="13">
    <w:abstractNumId w:val="1"/>
  </w:num>
  <w:num w:numId="14">
    <w:abstractNumId w:val="7"/>
  </w:num>
  <w:num w:numId="15">
    <w:abstractNumId w:val="9"/>
  </w:num>
  <w:num w:numId="16">
    <w:abstractNumId w:val="11"/>
  </w:num>
  <w:num w:numId="1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Öe"/>
    <w:docVar w:name="85TrailerDateField" w:val="~}£Öd"/>
    <w:docVar w:name="85TrailerDraft" w:val="~}’Öu"/>
    <w:docVar w:name="85TrailerTime" w:val="~}–Öq"/>
    <w:docVar w:name="85TrailerType" w:val="~}”Öttu"/>
    <w:docVar w:name="MPDocID" w:val="~}“Ö~¡££tu}}~sv¡z"/>
    <w:docVar w:name="NewDocStampType" w:val="~}’Öv"/>
    <w:docVar w:name="zzmpLTFontsClean" w:val="True"/>
    <w:docVar w:name="zzmpnSession" w:val="0.7668268"/>
  </w:docVars>
  <w:rsids>
    <w:rsidRoot w:val="003F54E4"/>
    <w:rsid w:val="000012F4"/>
    <w:rsid w:val="000272AF"/>
    <w:rsid w:val="0003680E"/>
    <w:rsid w:val="00041993"/>
    <w:rsid w:val="00041D89"/>
    <w:rsid w:val="00043C6B"/>
    <w:rsid w:val="00044A79"/>
    <w:rsid w:val="00046D28"/>
    <w:rsid w:val="00047C6E"/>
    <w:rsid w:val="00051BB8"/>
    <w:rsid w:val="00052A6F"/>
    <w:rsid w:val="000629E7"/>
    <w:rsid w:val="000704CC"/>
    <w:rsid w:val="000721D7"/>
    <w:rsid w:val="00072258"/>
    <w:rsid w:val="000727A6"/>
    <w:rsid w:val="0008510A"/>
    <w:rsid w:val="000A1DD1"/>
    <w:rsid w:val="000B1C22"/>
    <w:rsid w:val="000B310C"/>
    <w:rsid w:val="000C13A5"/>
    <w:rsid w:val="000C4834"/>
    <w:rsid w:val="000C5132"/>
    <w:rsid w:val="000C533D"/>
    <w:rsid w:val="000D0604"/>
    <w:rsid w:val="000D1183"/>
    <w:rsid w:val="000E213D"/>
    <w:rsid w:val="000E2706"/>
    <w:rsid w:val="00101A70"/>
    <w:rsid w:val="00115CC0"/>
    <w:rsid w:val="00115D26"/>
    <w:rsid w:val="001212CD"/>
    <w:rsid w:val="001239E0"/>
    <w:rsid w:val="0013149D"/>
    <w:rsid w:val="001331C3"/>
    <w:rsid w:val="00134508"/>
    <w:rsid w:val="00141EE5"/>
    <w:rsid w:val="00152E56"/>
    <w:rsid w:val="00154130"/>
    <w:rsid w:val="00156B92"/>
    <w:rsid w:val="001572AF"/>
    <w:rsid w:val="00163CC6"/>
    <w:rsid w:val="0016400E"/>
    <w:rsid w:val="001661FC"/>
    <w:rsid w:val="00173437"/>
    <w:rsid w:val="0018354F"/>
    <w:rsid w:val="00184A5A"/>
    <w:rsid w:val="0018503B"/>
    <w:rsid w:val="00187DD8"/>
    <w:rsid w:val="001A42F0"/>
    <w:rsid w:val="001B13CF"/>
    <w:rsid w:val="001B3CDF"/>
    <w:rsid w:val="001C201B"/>
    <w:rsid w:val="001C2687"/>
    <w:rsid w:val="001C2FE8"/>
    <w:rsid w:val="001C490C"/>
    <w:rsid w:val="001C7A38"/>
    <w:rsid w:val="001E4E00"/>
    <w:rsid w:val="001F0089"/>
    <w:rsid w:val="001F7CB2"/>
    <w:rsid w:val="0021064C"/>
    <w:rsid w:val="0021074D"/>
    <w:rsid w:val="00210B19"/>
    <w:rsid w:val="00213A83"/>
    <w:rsid w:val="00216CD7"/>
    <w:rsid w:val="002240D2"/>
    <w:rsid w:val="002253B3"/>
    <w:rsid w:val="002279E1"/>
    <w:rsid w:val="00230129"/>
    <w:rsid w:val="0023255C"/>
    <w:rsid w:val="002325A5"/>
    <w:rsid w:val="00240A7D"/>
    <w:rsid w:val="0025184C"/>
    <w:rsid w:val="002537AB"/>
    <w:rsid w:val="00257AA3"/>
    <w:rsid w:val="002623E7"/>
    <w:rsid w:val="00265757"/>
    <w:rsid w:val="0026615C"/>
    <w:rsid w:val="00274238"/>
    <w:rsid w:val="002803C1"/>
    <w:rsid w:val="0028238C"/>
    <w:rsid w:val="0028417A"/>
    <w:rsid w:val="00285C86"/>
    <w:rsid w:val="00293380"/>
    <w:rsid w:val="0029412C"/>
    <w:rsid w:val="0029534F"/>
    <w:rsid w:val="00296505"/>
    <w:rsid w:val="002A46C4"/>
    <w:rsid w:val="002B2FF1"/>
    <w:rsid w:val="002B3CE8"/>
    <w:rsid w:val="002C07A1"/>
    <w:rsid w:val="002D12CF"/>
    <w:rsid w:val="002E4672"/>
    <w:rsid w:val="002E7177"/>
    <w:rsid w:val="002F057B"/>
    <w:rsid w:val="002F0A31"/>
    <w:rsid w:val="002F0C40"/>
    <w:rsid w:val="002F4259"/>
    <w:rsid w:val="003013C6"/>
    <w:rsid w:val="00301CD2"/>
    <w:rsid w:val="00304AEC"/>
    <w:rsid w:val="00307235"/>
    <w:rsid w:val="00313A3C"/>
    <w:rsid w:val="0031492E"/>
    <w:rsid w:val="00315BE4"/>
    <w:rsid w:val="0032739A"/>
    <w:rsid w:val="003325AD"/>
    <w:rsid w:val="00336FB6"/>
    <w:rsid w:val="003405DF"/>
    <w:rsid w:val="00341802"/>
    <w:rsid w:val="00343FAF"/>
    <w:rsid w:val="00347970"/>
    <w:rsid w:val="00347A44"/>
    <w:rsid w:val="00350D16"/>
    <w:rsid w:val="003516E0"/>
    <w:rsid w:val="00363639"/>
    <w:rsid w:val="003638B4"/>
    <w:rsid w:val="00366EED"/>
    <w:rsid w:val="003712E9"/>
    <w:rsid w:val="003860D0"/>
    <w:rsid w:val="00387594"/>
    <w:rsid w:val="0038795F"/>
    <w:rsid w:val="00391605"/>
    <w:rsid w:val="00393CE9"/>
    <w:rsid w:val="003A0D92"/>
    <w:rsid w:val="003B29F0"/>
    <w:rsid w:val="003B300F"/>
    <w:rsid w:val="003C2AD9"/>
    <w:rsid w:val="003C4006"/>
    <w:rsid w:val="003D1138"/>
    <w:rsid w:val="003D1557"/>
    <w:rsid w:val="003D1A4F"/>
    <w:rsid w:val="003D2B39"/>
    <w:rsid w:val="003D73C3"/>
    <w:rsid w:val="003F54E4"/>
    <w:rsid w:val="003F5F0D"/>
    <w:rsid w:val="003F6D36"/>
    <w:rsid w:val="00401255"/>
    <w:rsid w:val="00410AF1"/>
    <w:rsid w:val="00413293"/>
    <w:rsid w:val="004146F6"/>
    <w:rsid w:val="004159E7"/>
    <w:rsid w:val="004212EE"/>
    <w:rsid w:val="0043156C"/>
    <w:rsid w:val="00434157"/>
    <w:rsid w:val="00434B02"/>
    <w:rsid w:val="00437C35"/>
    <w:rsid w:val="00443A7E"/>
    <w:rsid w:val="004474A9"/>
    <w:rsid w:val="00455797"/>
    <w:rsid w:val="004607F4"/>
    <w:rsid w:val="00461226"/>
    <w:rsid w:val="00464C18"/>
    <w:rsid w:val="00466E5B"/>
    <w:rsid w:val="00473794"/>
    <w:rsid w:val="00474BA5"/>
    <w:rsid w:val="004829FE"/>
    <w:rsid w:val="00485200"/>
    <w:rsid w:val="004861B1"/>
    <w:rsid w:val="00487826"/>
    <w:rsid w:val="00490D7C"/>
    <w:rsid w:val="00491D5F"/>
    <w:rsid w:val="004921FF"/>
    <w:rsid w:val="00493673"/>
    <w:rsid w:val="004B573B"/>
    <w:rsid w:val="004B6E09"/>
    <w:rsid w:val="004C035F"/>
    <w:rsid w:val="004C42D1"/>
    <w:rsid w:val="004C4708"/>
    <w:rsid w:val="004E0C72"/>
    <w:rsid w:val="004E69EA"/>
    <w:rsid w:val="004F2362"/>
    <w:rsid w:val="004F7364"/>
    <w:rsid w:val="0050202A"/>
    <w:rsid w:val="00511788"/>
    <w:rsid w:val="00513625"/>
    <w:rsid w:val="005137E1"/>
    <w:rsid w:val="005139EA"/>
    <w:rsid w:val="005304B1"/>
    <w:rsid w:val="00532D25"/>
    <w:rsid w:val="00536AAA"/>
    <w:rsid w:val="00537229"/>
    <w:rsid w:val="00541E20"/>
    <w:rsid w:val="00545386"/>
    <w:rsid w:val="00551EDE"/>
    <w:rsid w:val="00557F50"/>
    <w:rsid w:val="005710AF"/>
    <w:rsid w:val="00577DEE"/>
    <w:rsid w:val="00581D83"/>
    <w:rsid w:val="00584AE7"/>
    <w:rsid w:val="0059506B"/>
    <w:rsid w:val="005A006E"/>
    <w:rsid w:val="005B1240"/>
    <w:rsid w:val="005B40D3"/>
    <w:rsid w:val="005B5610"/>
    <w:rsid w:val="005B6B48"/>
    <w:rsid w:val="005C1464"/>
    <w:rsid w:val="005C51A3"/>
    <w:rsid w:val="005C759B"/>
    <w:rsid w:val="005D1C94"/>
    <w:rsid w:val="005D273B"/>
    <w:rsid w:val="005D3EE1"/>
    <w:rsid w:val="005D4CEF"/>
    <w:rsid w:val="005D72ED"/>
    <w:rsid w:val="005E160C"/>
    <w:rsid w:val="005E75AE"/>
    <w:rsid w:val="005F0A64"/>
    <w:rsid w:val="005F7A9F"/>
    <w:rsid w:val="00604993"/>
    <w:rsid w:val="00604DC9"/>
    <w:rsid w:val="00606A82"/>
    <w:rsid w:val="00610004"/>
    <w:rsid w:val="0061647F"/>
    <w:rsid w:val="00632C8F"/>
    <w:rsid w:val="00643F0C"/>
    <w:rsid w:val="006460B8"/>
    <w:rsid w:val="0065362E"/>
    <w:rsid w:val="00657DD5"/>
    <w:rsid w:val="006604D1"/>
    <w:rsid w:val="00663CB8"/>
    <w:rsid w:val="00664E9F"/>
    <w:rsid w:val="00666E47"/>
    <w:rsid w:val="00673ABE"/>
    <w:rsid w:val="006759D7"/>
    <w:rsid w:val="00677644"/>
    <w:rsid w:val="006801F1"/>
    <w:rsid w:val="00687D67"/>
    <w:rsid w:val="006B1604"/>
    <w:rsid w:val="006C0D3F"/>
    <w:rsid w:val="006C0F45"/>
    <w:rsid w:val="006C57A6"/>
    <w:rsid w:val="006C71AA"/>
    <w:rsid w:val="006E154C"/>
    <w:rsid w:val="00700857"/>
    <w:rsid w:val="00702B06"/>
    <w:rsid w:val="0070363B"/>
    <w:rsid w:val="00705399"/>
    <w:rsid w:val="007170A2"/>
    <w:rsid w:val="007173EF"/>
    <w:rsid w:val="007212B7"/>
    <w:rsid w:val="00722A89"/>
    <w:rsid w:val="00722C9F"/>
    <w:rsid w:val="00732F88"/>
    <w:rsid w:val="007339F1"/>
    <w:rsid w:val="00734045"/>
    <w:rsid w:val="0075210A"/>
    <w:rsid w:val="007533E5"/>
    <w:rsid w:val="00760EC2"/>
    <w:rsid w:val="00765148"/>
    <w:rsid w:val="00765E02"/>
    <w:rsid w:val="00765EBB"/>
    <w:rsid w:val="00766112"/>
    <w:rsid w:val="00781483"/>
    <w:rsid w:val="00782F8B"/>
    <w:rsid w:val="00791654"/>
    <w:rsid w:val="0079226B"/>
    <w:rsid w:val="007972CD"/>
    <w:rsid w:val="007B3823"/>
    <w:rsid w:val="007B4698"/>
    <w:rsid w:val="007C0889"/>
    <w:rsid w:val="007C43C7"/>
    <w:rsid w:val="007C4D72"/>
    <w:rsid w:val="007D1568"/>
    <w:rsid w:val="007D244C"/>
    <w:rsid w:val="007E039E"/>
    <w:rsid w:val="007F2B3C"/>
    <w:rsid w:val="007F5D24"/>
    <w:rsid w:val="00801D69"/>
    <w:rsid w:val="00801F77"/>
    <w:rsid w:val="00804DBB"/>
    <w:rsid w:val="00805629"/>
    <w:rsid w:val="00815297"/>
    <w:rsid w:val="00822A31"/>
    <w:rsid w:val="00823BE0"/>
    <w:rsid w:val="008368C3"/>
    <w:rsid w:val="00837D1A"/>
    <w:rsid w:val="00840850"/>
    <w:rsid w:val="008433EB"/>
    <w:rsid w:val="00845C18"/>
    <w:rsid w:val="0085019F"/>
    <w:rsid w:val="00852B66"/>
    <w:rsid w:val="008628B7"/>
    <w:rsid w:val="00866A08"/>
    <w:rsid w:val="00876FDD"/>
    <w:rsid w:val="00882A6E"/>
    <w:rsid w:val="00885FF4"/>
    <w:rsid w:val="00886B5E"/>
    <w:rsid w:val="0088774D"/>
    <w:rsid w:val="00896CB5"/>
    <w:rsid w:val="008A5C64"/>
    <w:rsid w:val="008B49C2"/>
    <w:rsid w:val="008C2FFC"/>
    <w:rsid w:val="008D062B"/>
    <w:rsid w:val="008D14BE"/>
    <w:rsid w:val="008D1967"/>
    <w:rsid w:val="008D1D55"/>
    <w:rsid w:val="008D4E74"/>
    <w:rsid w:val="008D5EE3"/>
    <w:rsid w:val="008D6F9A"/>
    <w:rsid w:val="008F5BAA"/>
    <w:rsid w:val="00905D1E"/>
    <w:rsid w:val="009119EE"/>
    <w:rsid w:val="00913729"/>
    <w:rsid w:val="00914457"/>
    <w:rsid w:val="00914B87"/>
    <w:rsid w:val="00917198"/>
    <w:rsid w:val="009248F8"/>
    <w:rsid w:val="00955AD1"/>
    <w:rsid w:val="00957B19"/>
    <w:rsid w:val="00957EEC"/>
    <w:rsid w:val="00961FD3"/>
    <w:rsid w:val="00962141"/>
    <w:rsid w:val="0096447F"/>
    <w:rsid w:val="00975142"/>
    <w:rsid w:val="00980C98"/>
    <w:rsid w:val="00986C75"/>
    <w:rsid w:val="00987AE5"/>
    <w:rsid w:val="00995191"/>
    <w:rsid w:val="00995884"/>
    <w:rsid w:val="00995CF5"/>
    <w:rsid w:val="0099656C"/>
    <w:rsid w:val="009A6560"/>
    <w:rsid w:val="009B22ED"/>
    <w:rsid w:val="009B57D1"/>
    <w:rsid w:val="009C677B"/>
    <w:rsid w:val="009C715C"/>
    <w:rsid w:val="009E3F3D"/>
    <w:rsid w:val="009E5485"/>
    <w:rsid w:val="009F1DF8"/>
    <w:rsid w:val="009F2C66"/>
    <w:rsid w:val="009F5ED3"/>
    <w:rsid w:val="009F6168"/>
    <w:rsid w:val="009F6838"/>
    <w:rsid w:val="00A02344"/>
    <w:rsid w:val="00A070DB"/>
    <w:rsid w:val="00A1618F"/>
    <w:rsid w:val="00A21400"/>
    <w:rsid w:val="00A214B1"/>
    <w:rsid w:val="00A23B4A"/>
    <w:rsid w:val="00A255B6"/>
    <w:rsid w:val="00A371EA"/>
    <w:rsid w:val="00A4215E"/>
    <w:rsid w:val="00A5140D"/>
    <w:rsid w:val="00A56A94"/>
    <w:rsid w:val="00A62788"/>
    <w:rsid w:val="00A75CF2"/>
    <w:rsid w:val="00A779FC"/>
    <w:rsid w:val="00A81CD3"/>
    <w:rsid w:val="00A83415"/>
    <w:rsid w:val="00A954A2"/>
    <w:rsid w:val="00AA3BE7"/>
    <w:rsid w:val="00AA5305"/>
    <w:rsid w:val="00AB3E9F"/>
    <w:rsid w:val="00AE0789"/>
    <w:rsid w:val="00B13995"/>
    <w:rsid w:val="00B23CCC"/>
    <w:rsid w:val="00B33741"/>
    <w:rsid w:val="00B35BD7"/>
    <w:rsid w:val="00B37E83"/>
    <w:rsid w:val="00B47672"/>
    <w:rsid w:val="00B64A70"/>
    <w:rsid w:val="00B64B2C"/>
    <w:rsid w:val="00B65743"/>
    <w:rsid w:val="00B667A2"/>
    <w:rsid w:val="00B67197"/>
    <w:rsid w:val="00B7686D"/>
    <w:rsid w:val="00B77894"/>
    <w:rsid w:val="00B778FB"/>
    <w:rsid w:val="00B834E8"/>
    <w:rsid w:val="00B84CDB"/>
    <w:rsid w:val="00B90A37"/>
    <w:rsid w:val="00B93988"/>
    <w:rsid w:val="00BA00CE"/>
    <w:rsid w:val="00BA1114"/>
    <w:rsid w:val="00BA48A7"/>
    <w:rsid w:val="00BA651D"/>
    <w:rsid w:val="00BC6F3D"/>
    <w:rsid w:val="00BC7C8A"/>
    <w:rsid w:val="00BD70F2"/>
    <w:rsid w:val="00BF32C9"/>
    <w:rsid w:val="00BF472B"/>
    <w:rsid w:val="00C02164"/>
    <w:rsid w:val="00C20D28"/>
    <w:rsid w:val="00C25F65"/>
    <w:rsid w:val="00C3329B"/>
    <w:rsid w:val="00C367CB"/>
    <w:rsid w:val="00C3740F"/>
    <w:rsid w:val="00C40004"/>
    <w:rsid w:val="00C40B1D"/>
    <w:rsid w:val="00C42DAD"/>
    <w:rsid w:val="00C47CDA"/>
    <w:rsid w:val="00C7578B"/>
    <w:rsid w:val="00C7662A"/>
    <w:rsid w:val="00C77BCD"/>
    <w:rsid w:val="00C80376"/>
    <w:rsid w:val="00C8417F"/>
    <w:rsid w:val="00C9101D"/>
    <w:rsid w:val="00CA30E1"/>
    <w:rsid w:val="00CB0EA6"/>
    <w:rsid w:val="00CB796F"/>
    <w:rsid w:val="00CC3E70"/>
    <w:rsid w:val="00CC4807"/>
    <w:rsid w:val="00CD4A6C"/>
    <w:rsid w:val="00CE0B13"/>
    <w:rsid w:val="00CE2257"/>
    <w:rsid w:val="00CF0CF5"/>
    <w:rsid w:val="00D003D2"/>
    <w:rsid w:val="00D10545"/>
    <w:rsid w:val="00D11A9A"/>
    <w:rsid w:val="00D311C5"/>
    <w:rsid w:val="00D34873"/>
    <w:rsid w:val="00D40E92"/>
    <w:rsid w:val="00D40FB6"/>
    <w:rsid w:val="00D424B2"/>
    <w:rsid w:val="00D535D2"/>
    <w:rsid w:val="00D5388C"/>
    <w:rsid w:val="00D53EB5"/>
    <w:rsid w:val="00D54FFC"/>
    <w:rsid w:val="00D57610"/>
    <w:rsid w:val="00D61DA1"/>
    <w:rsid w:val="00D7529B"/>
    <w:rsid w:val="00D86178"/>
    <w:rsid w:val="00DA1CB7"/>
    <w:rsid w:val="00DA6F3A"/>
    <w:rsid w:val="00DA7B09"/>
    <w:rsid w:val="00DC4F8E"/>
    <w:rsid w:val="00DC6394"/>
    <w:rsid w:val="00DD2025"/>
    <w:rsid w:val="00DD6C34"/>
    <w:rsid w:val="00DD709E"/>
    <w:rsid w:val="00DE7BFA"/>
    <w:rsid w:val="00DF1707"/>
    <w:rsid w:val="00DF1A98"/>
    <w:rsid w:val="00E03099"/>
    <w:rsid w:val="00E03594"/>
    <w:rsid w:val="00E22ED1"/>
    <w:rsid w:val="00E267C9"/>
    <w:rsid w:val="00E450F1"/>
    <w:rsid w:val="00E46A03"/>
    <w:rsid w:val="00E50896"/>
    <w:rsid w:val="00E5110C"/>
    <w:rsid w:val="00E52DA8"/>
    <w:rsid w:val="00E54321"/>
    <w:rsid w:val="00E54841"/>
    <w:rsid w:val="00E54C20"/>
    <w:rsid w:val="00E70573"/>
    <w:rsid w:val="00E73E5F"/>
    <w:rsid w:val="00E77CB6"/>
    <w:rsid w:val="00E77E21"/>
    <w:rsid w:val="00E80BEF"/>
    <w:rsid w:val="00E82FCD"/>
    <w:rsid w:val="00E93CE3"/>
    <w:rsid w:val="00EB0DC6"/>
    <w:rsid w:val="00EB6540"/>
    <w:rsid w:val="00EC6BF3"/>
    <w:rsid w:val="00EC7B68"/>
    <w:rsid w:val="00ED31B4"/>
    <w:rsid w:val="00EE2711"/>
    <w:rsid w:val="00EF3779"/>
    <w:rsid w:val="00EF4E6F"/>
    <w:rsid w:val="00F011B6"/>
    <w:rsid w:val="00F02327"/>
    <w:rsid w:val="00F0528E"/>
    <w:rsid w:val="00F210F9"/>
    <w:rsid w:val="00F31AA4"/>
    <w:rsid w:val="00F36F06"/>
    <w:rsid w:val="00F37970"/>
    <w:rsid w:val="00F418FB"/>
    <w:rsid w:val="00F45B32"/>
    <w:rsid w:val="00F47427"/>
    <w:rsid w:val="00F607F1"/>
    <w:rsid w:val="00F64DF8"/>
    <w:rsid w:val="00F84E59"/>
    <w:rsid w:val="00F9199A"/>
    <w:rsid w:val="00F97087"/>
    <w:rsid w:val="00FA0F09"/>
    <w:rsid w:val="00FA10ED"/>
    <w:rsid w:val="00FA4998"/>
    <w:rsid w:val="00FB2E51"/>
    <w:rsid w:val="00FC649D"/>
    <w:rsid w:val="00FD2C63"/>
    <w:rsid w:val="00FE0B40"/>
    <w:rsid w:val="00FE0B76"/>
    <w:rsid w:val="00FF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4"/>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autoSpaceDE w:val="0"/>
      <w:autoSpaceDN w:val="0"/>
      <w:adjustRightInd w:val="0"/>
      <w:spacing w:after="240"/>
      <w:ind w:left="1080"/>
      <w:outlineLvl w:val="3"/>
    </w:pPr>
    <w:rPr>
      <w:color w:val="000000"/>
      <w:szCs w:val="26"/>
    </w:rPr>
  </w:style>
  <w:style w:type="paragraph" w:styleId="Heading5">
    <w:name w:val="heading 5"/>
    <w:basedOn w:val="Normal"/>
    <w:next w:val="Normal"/>
    <w:qFormat/>
    <w:pPr>
      <w:keepNext/>
      <w:tabs>
        <w:tab w:val="left" w:pos="2160"/>
      </w:tabs>
      <w:jc w:val="center"/>
      <w:outlineLvl w:val="4"/>
    </w:pPr>
    <w:rPr>
      <w:b/>
      <w:bCs/>
      <w:sz w:val="18"/>
      <w:szCs w:val="20"/>
    </w:rPr>
  </w:style>
  <w:style w:type="paragraph" w:styleId="Heading6">
    <w:name w:val="heading 6"/>
    <w:basedOn w:val="Normal"/>
    <w:next w:val="Normal"/>
    <w:qFormat/>
    <w:pPr>
      <w:keepNext/>
      <w:autoSpaceDE w:val="0"/>
      <w:autoSpaceDN w:val="0"/>
      <w:adjustRightInd w:val="0"/>
      <w:ind w:left="1440" w:hanging="360"/>
      <w:outlineLvl w:val="5"/>
    </w:pPr>
    <w:rPr>
      <w:color w:val="000000"/>
      <w:szCs w:val="26"/>
    </w:rPr>
  </w:style>
  <w:style w:type="paragraph" w:styleId="Heading7">
    <w:name w:val="heading 7"/>
    <w:basedOn w:val="Normal"/>
    <w:next w:val="Normal"/>
    <w:qFormat/>
    <w:pPr>
      <w:keepNext/>
      <w:ind w:firstLine="1440"/>
      <w:outlineLvl w:val="6"/>
    </w:pPr>
  </w:style>
  <w:style w:type="paragraph" w:styleId="Heading8">
    <w:name w:val="heading 8"/>
    <w:basedOn w:val="Normal"/>
    <w:next w:val="Normal"/>
    <w:qFormat/>
    <w:pPr>
      <w:keepNext/>
      <w:spacing w:after="240"/>
      <w:jc w:val="center"/>
      <w:outlineLvl w:val="7"/>
    </w:pPr>
    <w:rPr>
      <w:b/>
      <w:szCs w:val="18"/>
    </w:rPr>
  </w:style>
  <w:style w:type="paragraph" w:styleId="Heading9">
    <w:name w:val="heading 9"/>
    <w:basedOn w:val="Normal"/>
    <w:next w:val="Normal"/>
    <w:qFormat/>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aliases w:val="Car"/>
    <w:basedOn w:val="Normal"/>
    <w:link w:val="FootnoteTextChar"/>
    <w:rPr>
      <w:rFonts w:cs="Times New Roman"/>
      <w:sz w:val="20"/>
      <w:szCs w:val="20"/>
      <w:lang w:val="x-none" w:eastAsia="x-none"/>
    </w:rPr>
  </w:style>
  <w:style w:type="character" w:styleId="FootnoteReference">
    <w:name w:val="footnote reference"/>
    <w:semiHidden/>
    <w:rPr>
      <w:vertAlign w:val="superscript"/>
    </w:rPr>
  </w:style>
  <w:style w:type="paragraph" w:styleId="BalloonText">
    <w:name w:val="Balloon Text"/>
    <w:basedOn w:val="Normal"/>
    <w:link w:val="BalloonTextChar"/>
    <w:semiHidden/>
    <w:rPr>
      <w:rFonts w:ascii="Tahoma" w:hAnsi="Tahoma" w:cs="Tahoma"/>
      <w:sz w:val="16"/>
      <w:szCs w:val="16"/>
    </w:rPr>
  </w:style>
  <w:style w:type="paragraph" w:styleId="BodyTextIndent2">
    <w:name w:val="Body Text Indent 2"/>
    <w:basedOn w:val="Normal"/>
    <w:pPr>
      <w:ind w:left="360"/>
    </w:pPr>
  </w:style>
  <w:style w:type="paragraph" w:styleId="BodyTextIndent3">
    <w:name w:val="Body Text Indent 3"/>
    <w:basedOn w:val="Normal"/>
    <w:pPr>
      <w:spacing w:after="120"/>
      <w:ind w:left="360"/>
    </w:pPr>
    <w:rPr>
      <w:sz w:val="16"/>
      <w:szCs w:val="16"/>
    </w:rPr>
  </w:style>
  <w:style w:type="paragraph" w:styleId="Header">
    <w:name w:val="header"/>
    <w:basedOn w:val="Normal"/>
    <w:link w:val="HeaderChar"/>
    <w:uiPriority w:val="99"/>
    <w:pPr>
      <w:tabs>
        <w:tab w:val="center" w:pos="4320"/>
        <w:tab w:val="right" w:pos="8640"/>
      </w:tabs>
    </w:pPr>
  </w:style>
  <w:style w:type="character" w:customStyle="1" w:styleId="BodyTextIndent2Char">
    <w:name w:val="Body Text Indent 2 Char"/>
    <w:rPr>
      <w:rFonts w:ascii="Arial" w:hAnsi="Arial" w:cs="Arial"/>
      <w:lang w:val="en-US" w:eastAsia="en-US"/>
    </w:rPr>
  </w:style>
  <w:style w:type="paragraph" w:customStyle="1" w:styleId="BriefText">
    <w:name w:val="Brief Text"/>
    <w:basedOn w:val="Normal"/>
    <w:pPr>
      <w:spacing w:line="480" w:lineRule="exact"/>
    </w:pPr>
    <w:rPr>
      <w:rFonts w:ascii="Century Schoolbook" w:hAnsi="Century Schoolbook"/>
      <w:szCs w:val="20"/>
    </w:rPr>
  </w:style>
  <w:style w:type="paragraph" w:customStyle="1" w:styleId="indent">
    <w:name w:val="indent"/>
    <w:basedOn w:val="Normal"/>
    <w:pPr>
      <w:autoSpaceDE w:val="0"/>
      <w:autoSpaceDN w:val="0"/>
      <w:adjustRightInd w:val="0"/>
      <w:spacing w:after="240"/>
      <w:ind w:left="720"/>
    </w:pPr>
    <w:rPr>
      <w:sz w:val="20"/>
      <w:szCs w:val="20"/>
    </w:rPr>
  </w:style>
  <w:style w:type="paragraph" w:customStyle="1" w:styleId="block1">
    <w:name w:val="block 1"/>
    <w:aliases w:val="b1"/>
    <w:basedOn w:val="Heading1"/>
    <w:pPr>
      <w:keepNext w:val="0"/>
      <w:spacing w:line="480" w:lineRule="atLeast"/>
      <w:ind w:left="1800" w:hanging="1080"/>
      <w:outlineLvl w:val="9"/>
    </w:pPr>
    <w:rPr>
      <w:rFonts w:ascii="Courier" w:hAnsi="Courier"/>
      <w:sz w:val="24"/>
    </w:rPr>
  </w:style>
  <w:style w:type="paragraph" w:customStyle="1" w:styleId="listindent">
    <w:name w:val="list indent"/>
    <w:basedOn w:val="Normal"/>
    <w:pPr>
      <w:tabs>
        <w:tab w:val="left" w:pos="2160"/>
      </w:tabs>
      <w:spacing w:after="240"/>
      <w:ind w:left="2160" w:hanging="2160"/>
      <w:outlineLvl w:val="0"/>
    </w:pPr>
    <w:rPr>
      <w:sz w:val="20"/>
      <w:szCs w:val="20"/>
    </w:rPr>
  </w:style>
  <w:style w:type="paragraph" w:customStyle="1" w:styleId="indent2">
    <w:name w:val="indent 2"/>
    <w:basedOn w:val="indent"/>
    <w:pPr>
      <w:spacing w:after="0"/>
      <w:ind w:left="2880" w:hanging="720"/>
    </w:pPr>
  </w:style>
  <w:style w:type="paragraph" w:customStyle="1" w:styleId="indentsub">
    <w:name w:val="indent sub"/>
    <w:basedOn w:val="indent"/>
    <w:pPr>
      <w:ind w:firstLine="720"/>
    </w:pPr>
  </w:style>
  <w:style w:type="paragraph" w:styleId="BodyTextIndent">
    <w:name w:val="Body Text Indent"/>
    <w:basedOn w:val="Normal"/>
    <w:link w:val="BodyTextIndentChar"/>
    <w:pPr>
      <w:spacing w:after="240"/>
      <w:ind w:left="1440"/>
    </w:pPr>
    <w:rPr>
      <w:szCs w:val="22"/>
    </w:rPr>
  </w:style>
  <w:style w:type="paragraph" w:styleId="BodyText">
    <w:name w:val="Body Text"/>
    <w:basedOn w:val="Normal"/>
  </w:style>
  <w:style w:type="paragraph" w:styleId="BodyText2">
    <w:name w:val="Body Text 2"/>
    <w:aliases w:val="bti"/>
    <w:basedOn w:val="Normal"/>
    <w:link w:val="BodyText2Char"/>
    <w:pPr>
      <w:tabs>
        <w:tab w:val="left" w:pos="360"/>
      </w:tabs>
    </w:pPr>
    <w:rPr>
      <w:b/>
      <w:bCs/>
    </w:rPr>
  </w:style>
  <w:style w:type="paragraph" w:styleId="BodyText3">
    <w:name w:val="Body Text 3"/>
    <w:basedOn w:val="Normal"/>
    <w:pPr>
      <w:spacing w:after="240"/>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zzmpTrailerItem">
    <w:name w:val="zzmpTrailerItem"/>
    <w:rPr>
      <w:rFonts w:ascii="Times New Roman" w:hAnsi="Times New Roman" w:cs="Times New Roman"/>
      <w:b w:val="0"/>
      <w:bCs/>
      <w:i w:val="0"/>
      <w:caps w:val="0"/>
      <w:smallCaps w:val="0"/>
      <w:dstrike w:val="0"/>
      <w:noProof/>
      <w:vanish w:val="0"/>
      <w:color w:val="auto"/>
      <w:spacing w:val="0"/>
      <w:position w:val="0"/>
      <w:sz w:val="16"/>
      <w:u w:val="none"/>
      <w:effect w:val="antsRed"/>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rPr>
      <w:b/>
      <w:bCs/>
    </w:rPr>
  </w:style>
  <w:style w:type="paragraph" w:customStyle="1" w:styleId="Heading2definitions">
    <w:name w:val="Heading 2 definitions"/>
    <w:basedOn w:val="Heading2"/>
    <w:rsid w:val="00B37E83"/>
    <w:pPr>
      <w:numPr>
        <w:ilvl w:val="1"/>
      </w:numPr>
      <w:tabs>
        <w:tab w:val="num" w:pos="0"/>
      </w:tabs>
      <w:spacing w:before="0" w:after="120"/>
      <w:ind w:left="720" w:hanging="720"/>
      <w:jc w:val="both"/>
    </w:pPr>
    <w:rPr>
      <w:rFonts w:cs="Times New Roman"/>
      <w:b w:val="0"/>
      <w:bCs w:val="0"/>
      <w:i w:val="0"/>
      <w:sz w:val="20"/>
      <w:lang w:val="en-CA"/>
    </w:rPr>
  </w:style>
  <w:style w:type="table" w:styleId="TableGrid">
    <w:name w:val="Table Grid"/>
    <w:basedOn w:val="TableNormal"/>
    <w:rsid w:val="00BA65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link w:val="BalloonText"/>
    <w:semiHidden/>
    <w:locked/>
    <w:rsid w:val="00D40FB6"/>
    <w:rPr>
      <w:rFonts w:ascii="Tahoma" w:hAnsi="Tahoma" w:cs="Tahoma"/>
      <w:sz w:val="16"/>
      <w:szCs w:val="16"/>
      <w:lang w:val="en-US" w:eastAsia="en-US" w:bidi="ar-SA"/>
    </w:rPr>
  </w:style>
  <w:style w:type="paragraph" w:customStyle="1" w:styleId="ConfirmNormal">
    <w:name w:val="Confirm Normal"/>
    <w:basedOn w:val="Normal"/>
    <w:rsid w:val="00D40FB6"/>
    <w:pPr>
      <w:spacing w:after="240"/>
      <w:jc w:val="both"/>
    </w:pPr>
    <w:rPr>
      <w:sz w:val="20"/>
      <w:szCs w:val="20"/>
    </w:rPr>
  </w:style>
  <w:style w:type="paragraph" w:customStyle="1" w:styleId="ConfirmArticle">
    <w:name w:val="Confirm Article"/>
    <w:basedOn w:val="Normal"/>
    <w:rsid w:val="00D40FB6"/>
    <w:pPr>
      <w:keepNext/>
      <w:spacing w:after="240"/>
      <w:jc w:val="center"/>
      <w:outlineLvl w:val="0"/>
    </w:pPr>
    <w:rPr>
      <w:b/>
      <w:bCs/>
      <w:caps/>
      <w:sz w:val="20"/>
      <w:szCs w:val="20"/>
    </w:rPr>
  </w:style>
  <w:style w:type="paragraph" w:customStyle="1" w:styleId="ConfirmTitle">
    <w:name w:val="Confirm Title"/>
    <w:basedOn w:val="Normal"/>
    <w:rsid w:val="008D5EE3"/>
    <w:pPr>
      <w:keepNext/>
      <w:spacing w:after="240"/>
      <w:jc w:val="center"/>
      <w:outlineLvl w:val="0"/>
    </w:pPr>
    <w:rPr>
      <w:b/>
      <w:bCs/>
      <w:caps/>
      <w:sz w:val="20"/>
      <w:szCs w:val="20"/>
    </w:rPr>
  </w:style>
  <w:style w:type="character" w:customStyle="1" w:styleId="FootnoteTextChar">
    <w:name w:val="Footnote Text Char"/>
    <w:aliases w:val="Car Char"/>
    <w:link w:val="FootnoteText"/>
    <w:rsid w:val="00B13995"/>
    <w:rPr>
      <w:rFonts w:ascii="Arial" w:hAnsi="Arial" w:cs="Arial"/>
    </w:rPr>
  </w:style>
  <w:style w:type="character" w:customStyle="1" w:styleId="DeltaViewInsertion">
    <w:name w:val="DeltaView Insertion"/>
    <w:uiPriority w:val="99"/>
    <w:rsid w:val="00B13995"/>
    <w:rPr>
      <w:color w:val="000000"/>
      <w:spacing w:val="0"/>
      <w:u w:val="double"/>
    </w:rPr>
  </w:style>
  <w:style w:type="paragraph" w:styleId="MacroText">
    <w:name w:val="macro"/>
    <w:link w:val="MacroTextChar"/>
    <w:rsid w:val="00B139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link w:val="MacroText"/>
    <w:rsid w:val="00B13995"/>
    <w:rPr>
      <w:rFonts w:ascii="Courier New" w:hAnsi="Courier New"/>
      <w:lang w:val="en-US" w:eastAsia="en-US" w:bidi="ar-SA"/>
    </w:rPr>
  </w:style>
  <w:style w:type="character" w:customStyle="1" w:styleId="ParaNum">
    <w:name w:val="ParaNum"/>
    <w:uiPriority w:val="99"/>
    <w:rsid w:val="00B13995"/>
    <w:rPr>
      <w:b w:val="0"/>
      <w:i w:val="0"/>
      <w:vanish w:val="0"/>
      <w:u w:val="none"/>
    </w:rPr>
  </w:style>
  <w:style w:type="paragraph" w:customStyle="1" w:styleId="coverbody">
    <w:name w:val="coverbody"/>
    <w:basedOn w:val="Normal"/>
    <w:rsid w:val="00B13995"/>
    <w:pPr>
      <w:spacing w:after="200"/>
      <w:jc w:val="both"/>
    </w:pPr>
    <w:rPr>
      <w:rFonts w:ascii="Times New Roman" w:hAnsi="Times New Roman" w:cs="Times New Roman"/>
      <w:sz w:val="20"/>
      <w:szCs w:val="20"/>
    </w:rPr>
  </w:style>
  <w:style w:type="paragraph" w:styleId="TOC1">
    <w:name w:val="toc 1"/>
    <w:basedOn w:val="Normal"/>
    <w:next w:val="Normal"/>
    <w:autoRedefine/>
    <w:rsid w:val="001239E0"/>
    <w:pPr>
      <w:autoSpaceDE w:val="0"/>
      <w:autoSpaceDN w:val="0"/>
      <w:adjustRightInd w:val="0"/>
    </w:pPr>
    <w:rPr>
      <w:szCs w:val="22"/>
    </w:rPr>
  </w:style>
  <w:style w:type="character" w:customStyle="1" w:styleId="BodyTextIndentChar">
    <w:name w:val="Body Text Indent Char"/>
    <w:basedOn w:val="DefaultParagraphFont"/>
    <w:link w:val="BodyTextIndent"/>
    <w:rsid w:val="004146F6"/>
    <w:rPr>
      <w:rFonts w:ascii="Arial" w:hAnsi="Arial" w:cs="Arial"/>
      <w:sz w:val="22"/>
      <w:szCs w:val="22"/>
    </w:rPr>
  </w:style>
  <w:style w:type="character" w:customStyle="1" w:styleId="BodyText2Char">
    <w:name w:val="Body Text 2 Char"/>
    <w:aliases w:val="bti Char"/>
    <w:basedOn w:val="DefaultParagraphFont"/>
    <w:link w:val="BodyText2"/>
    <w:rsid w:val="004146F6"/>
    <w:rPr>
      <w:rFonts w:ascii="Arial" w:hAnsi="Arial" w:cs="Arial"/>
      <w:b/>
      <w:bCs/>
      <w:sz w:val="22"/>
      <w:szCs w:val="24"/>
    </w:rPr>
  </w:style>
  <w:style w:type="paragraph" w:customStyle="1" w:styleId="ConfirmSignatureBold">
    <w:name w:val="Confirm Signature Bold"/>
    <w:basedOn w:val="Normal"/>
    <w:rsid w:val="002B3CE8"/>
    <w:pPr>
      <w:autoSpaceDE w:val="0"/>
      <w:autoSpaceDN w:val="0"/>
      <w:adjustRightInd w:val="0"/>
    </w:pPr>
    <w:rPr>
      <w:b/>
      <w:bCs/>
      <w:sz w:val="20"/>
      <w:szCs w:val="20"/>
    </w:rPr>
  </w:style>
  <w:style w:type="character" w:customStyle="1" w:styleId="HeaderChar">
    <w:name w:val="Header Char"/>
    <w:basedOn w:val="DefaultParagraphFont"/>
    <w:link w:val="Header"/>
    <w:uiPriority w:val="99"/>
    <w:rsid w:val="003C2AD9"/>
    <w:rPr>
      <w:rFonts w:ascii="Arial" w:hAnsi="Arial" w:cs="Arial"/>
      <w:sz w:val="22"/>
      <w:szCs w:val="24"/>
    </w:rPr>
  </w:style>
  <w:style w:type="paragraph" w:styleId="ListParagraph">
    <w:name w:val="List Paragraph"/>
    <w:basedOn w:val="Normal"/>
    <w:uiPriority w:val="34"/>
    <w:qFormat/>
    <w:rsid w:val="003C2AD9"/>
    <w:pPr>
      <w:ind w:left="720"/>
      <w:contextualSpacing/>
    </w:pPr>
  </w:style>
  <w:style w:type="character" w:customStyle="1" w:styleId="ConfirmSignatureLineChar">
    <w:name w:val="Confirm Signature Line Char"/>
    <w:rsid w:val="006801F1"/>
    <w:rPr>
      <w:rFonts w:ascii="Arial" w:hAnsi="Arial" w:cs="Arial"/>
      <w:spacing w:val="0"/>
      <w:u w:val="single"/>
      <w:lang w:val="en-US"/>
    </w:rPr>
  </w:style>
  <w:style w:type="paragraph" w:styleId="Revision">
    <w:name w:val="Revision"/>
    <w:hidden/>
    <w:uiPriority w:val="99"/>
    <w:semiHidden/>
    <w:rsid w:val="00D11A9A"/>
    <w:rPr>
      <w:rFonts w:ascii="Arial" w:hAnsi="Arial" w:cs="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4"/>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autoSpaceDE w:val="0"/>
      <w:autoSpaceDN w:val="0"/>
      <w:adjustRightInd w:val="0"/>
      <w:spacing w:after="240"/>
      <w:ind w:left="1080"/>
      <w:outlineLvl w:val="3"/>
    </w:pPr>
    <w:rPr>
      <w:color w:val="000000"/>
      <w:szCs w:val="26"/>
    </w:rPr>
  </w:style>
  <w:style w:type="paragraph" w:styleId="Heading5">
    <w:name w:val="heading 5"/>
    <w:basedOn w:val="Normal"/>
    <w:next w:val="Normal"/>
    <w:qFormat/>
    <w:pPr>
      <w:keepNext/>
      <w:tabs>
        <w:tab w:val="left" w:pos="2160"/>
      </w:tabs>
      <w:jc w:val="center"/>
      <w:outlineLvl w:val="4"/>
    </w:pPr>
    <w:rPr>
      <w:b/>
      <w:bCs/>
      <w:sz w:val="18"/>
      <w:szCs w:val="20"/>
    </w:rPr>
  </w:style>
  <w:style w:type="paragraph" w:styleId="Heading6">
    <w:name w:val="heading 6"/>
    <w:basedOn w:val="Normal"/>
    <w:next w:val="Normal"/>
    <w:qFormat/>
    <w:pPr>
      <w:keepNext/>
      <w:autoSpaceDE w:val="0"/>
      <w:autoSpaceDN w:val="0"/>
      <w:adjustRightInd w:val="0"/>
      <w:ind w:left="1440" w:hanging="360"/>
      <w:outlineLvl w:val="5"/>
    </w:pPr>
    <w:rPr>
      <w:color w:val="000000"/>
      <w:szCs w:val="26"/>
    </w:rPr>
  </w:style>
  <w:style w:type="paragraph" w:styleId="Heading7">
    <w:name w:val="heading 7"/>
    <w:basedOn w:val="Normal"/>
    <w:next w:val="Normal"/>
    <w:qFormat/>
    <w:pPr>
      <w:keepNext/>
      <w:ind w:firstLine="1440"/>
      <w:outlineLvl w:val="6"/>
    </w:pPr>
  </w:style>
  <w:style w:type="paragraph" w:styleId="Heading8">
    <w:name w:val="heading 8"/>
    <w:basedOn w:val="Normal"/>
    <w:next w:val="Normal"/>
    <w:qFormat/>
    <w:pPr>
      <w:keepNext/>
      <w:spacing w:after="240"/>
      <w:jc w:val="center"/>
      <w:outlineLvl w:val="7"/>
    </w:pPr>
    <w:rPr>
      <w:b/>
      <w:szCs w:val="18"/>
    </w:rPr>
  </w:style>
  <w:style w:type="paragraph" w:styleId="Heading9">
    <w:name w:val="heading 9"/>
    <w:basedOn w:val="Normal"/>
    <w:next w:val="Normal"/>
    <w:qFormat/>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aliases w:val="Car"/>
    <w:basedOn w:val="Normal"/>
    <w:link w:val="FootnoteTextChar"/>
    <w:rPr>
      <w:rFonts w:cs="Times New Roman"/>
      <w:sz w:val="20"/>
      <w:szCs w:val="20"/>
      <w:lang w:val="x-none" w:eastAsia="x-none"/>
    </w:rPr>
  </w:style>
  <w:style w:type="character" w:styleId="FootnoteReference">
    <w:name w:val="footnote reference"/>
    <w:semiHidden/>
    <w:rPr>
      <w:vertAlign w:val="superscript"/>
    </w:rPr>
  </w:style>
  <w:style w:type="paragraph" w:styleId="BalloonText">
    <w:name w:val="Balloon Text"/>
    <w:basedOn w:val="Normal"/>
    <w:link w:val="BalloonTextChar"/>
    <w:semiHidden/>
    <w:rPr>
      <w:rFonts w:ascii="Tahoma" w:hAnsi="Tahoma" w:cs="Tahoma"/>
      <w:sz w:val="16"/>
      <w:szCs w:val="16"/>
    </w:rPr>
  </w:style>
  <w:style w:type="paragraph" w:styleId="BodyTextIndent2">
    <w:name w:val="Body Text Indent 2"/>
    <w:basedOn w:val="Normal"/>
    <w:pPr>
      <w:ind w:left="360"/>
    </w:pPr>
  </w:style>
  <w:style w:type="paragraph" w:styleId="BodyTextIndent3">
    <w:name w:val="Body Text Indent 3"/>
    <w:basedOn w:val="Normal"/>
    <w:pPr>
      <w:spacing w:after="120"/>
      <w:ind w:left="360"/>
    </w:pPr>
    <w:rPr>
      <w:sz w:val="16"/>
      <w:szCs w:val="16"/>
    </w:rPr>
  </w:style>
  <w:style w:type="paragraph" w:styleId="Header">
    <w:name w:val="header"/>
    <w:basedOn w:val="Normal"/>
    <w:link w:val="HeaderChar"/>
    <w:uiPriority w:val="99"/>
    <w:pPr>
      <w:tabs>
        <w:tab w:val="center" w:pos="4320"/>
        <w:tab w:val="right" w:pos="8640"/>
      </w:tabs>
    </w:pPr>
  </w:style>
  <w:style w:type="character" w:customStyle="1" w:styleId="BodyTextIndent2Char">
    <w:name w:val="Body Text Indent 2 Char"/>
    <w:rPr>
      <w:rFonts w:ascii="Arial" w:hAnsi="Arial" w:cs="Arial"/>
      <w:lang w:val="en-US" w:eastAsia="en-US"/>
    </w:rPr>
  </w:style>
  <w:style w:type="paragraph" w:customStyle="1" w:styleId="BriefText">
    <w:name w:val="Brief Text"/>
    <w:basedOn w:val="Normal"/>
    <w:pPr>
      <w:spacing w:line="480" w:lineRule="exact"/>
    </w:pPr>
    <w:rPr>
      <w:rFonts w:ascii="Century Schoolbook" w:hAnsi="Century Schoolbook"/>
      <w:szCs w:val="20"/>
    </w:rPr>
  </w:style>
  <w:style w:type="paragraph" w:customStyle="1" w:styleId="indent">
    <w:name w:val="indent"/>
    <w:basedOn w:val="Normal"/>
    <w:pPr>
      <w:autoSpaceDE w:val="0"/>
      <w:autoSpaceDN w:val="0"/>
      <w:adjustRightInd w:val="0"/>
      <w:spacing w:after="240"/>
      <w:ind w:left="720"/>
    </w:pPr>
    <w:rPr>
      <w:sz w:val="20"/>
      <w:szCs w:val="20"/>
    </w:rPr>
  </w:style>
  <w:style w:type="paragraph" w:customStyle="1" w:styleId="block1">
    <w:name w:val="block 1"/>
    <w:aliases w:val="b1"/>
    <w:basedOn w:val="Heading1"/>
    <w:pPr>
      <w:keepNext w:val="0"/>
      <w:spacing w:line="480" w:lineRule="atLeast"/>
      <w:ind w:left="1800" w:hanging="1080"/>
      <w:outlineLvl w:val="9"/>
    </w:pPr>
    <w:rPr>
      <w:rFonts w:ascii="Courier" w:hAnsi="Courier"/>
      <w:sz w:val="24"/>
    </w:rPr>
  </w:style>
  <w:style w:type="paragraph" w:customStyle="1" w:styleId="listindent">
    <w:name w:val="list indent"/>
    <w:basedOn w:val="Normal"/>
    <w:pPr>
      <w:tabs>
        <w:tab w:val="left" w:pos="2160"/>
      </w:tabs>
      <w:spacing w:after="240"/>
      <w:ind w:left="2160" w:hanging="2160"/>
      <w:outlineLvl w:val="0"/>
    </w:pPr>
    <w:rPr>
      <w:sz w:val="20"/>
      <w:szCs w:val="20"/>
    </w:rPr>
  </w:style>
  <w:style w:type="paragraph" w:customStyle="1" w:styleId="indent2">
    <w:name w:val="indent 2"/>
    <w:basedOn w:val="indent"/>
    <w:pPr>
      <w:spacing w:after="0"/>
      <w:ind w:left="2880" w:hanging="720"/>
    </w:pPr>
  </w:style>
  <w:style w:type="paragraph" w:customStyle="1" w:styleId="indentsub">
    <w:name w:val="indent sub"/>
    <w:basedOn w:val="indent"/>
    <w:pPr>
      <w:ind w:firstLine="720"/>
    </w:pPr>
  </w:style>
  <w:style w:type="paragraph" w:styleId="BodyTextIndent">
    <w:name w:val="Body Text Indent"/>
    <w:basedOn w:val="Normal"/>
    <w:link w:val="BodyTextIndentChar"/>
    <w:pPr>
      <w:spacing w:after="240"/>
      <w:ind w:left="1440"/>
    </w:pPr>
    <w:rPr>
      <w:szCs w:val="22"/>
    </w:rPr>
  </w:style>
  <w:style w:type="paragraph" w:styleId="BodyText">
    <w:name w:val="Body Text"/>
    <w:basedOn w:val="Normal"/>
  </w:style>
  <w:style w:type="paragraph" w:styleId="BodyText2">
    <w:name w:val="Body Text 2"/>
    <w:aliases w:val="bti"/>
    <w:basedOn w:val="Normal"/>
    <w:link w:val="BodyText2Char"/>
    <w:pPr>
      <w:tabs>
        <w:tab w:val="left" w:pos="360"/>
      </w:tabs>
    </w:pPr>
    <w:rPr>
      <w:b/>
      <w:bCs/>
    </w:rPr>
  </w:style>
  <w:style w:type="paragraph" w:styleId="BodyText3">
    <w:name w:val="Body Text 3"/>
    <w:basedOn w:val="Normal"/>
    <w:pPr>
      <w:spacing w:after="240"/>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zzmpTrailerItem">
    <w:name w:val="zzmpTrailerItem"/>
    <w:rPr>
      <w:rFonts w:ascii="Times New Roman" w:hAnsi="Times New Roman" w:cs="Times New Roman"/>
      <w:b w:val="0"/>
      <w:bCs/>
      <w:i w:val="0"/>
      <w:caps w:val="0"/>
      <w:smallCaps w:val="0"/>
      <w:dstrike w:val="0"/>
      <w:noProof/>
      <w:vanish w:val="0"/>
      <w:color w:val="auto"/>
      <w:spacing w:val="0"/>
      <w:position w:val="0"/>
      <w:sz w:val="16"/>
      <w:u w:val="none"/>
      <w:effect w:val="antsRed"/>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rPr>
      <w:b/>
      <w:bCs/>
    </w:rPr>
  </w:style>
  <w:style w:type="paragraph" w:customStyle="1" w:styleId="Heading2definitions">
    <w:name w:val="Heading 2 definitions"/>
    <w:basedOn w:val="Heading2"/>
    <w:rsid w:val="00B37E83"/>
    <w:pPr>
      <w:numPr>
        <w:ilvl w:val="1"/>
      </w:numPr>
      <w:tabs>
        <w:tab w:val="num" w:pos="0"/>
      </w:tabs>
      <w:spacing w:before="0" w:after="120"/>
      <w:ind w:left="720" w:hanging="720"/>
      <w:jc w:val="both"/>
    </w:pPr>
    <w:rPr>
      <w:rFonts w:cs="Times New Roman"/>
      <w:b w:val="0"/>
      <w:bCs w:val="0"/>
      <w:i w:val="0"/>
      <w:sz w:val="20"/>
      <w:lang w:val="en-CA"/>
    </w:rPr>
  </w:style>
  <w:style w:type="table" w:styleId="TableGrid">
    <w:name w:val="Table Grid"/>
    <w:basedOn w:val="TableNormal"/>
    <w:rsid w:val="00BA65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link w:val="BalloonText"/>
    <w:semiHidden/>
    <w:locked/>
    <w:rsid w:val="00D40FB6"/>
    <w:rPr>
      <w:rFonts w:ascii="Tahoma" w:hAnsi="Tahoma" w:cs="Tahoma"/>
      <w:sz w:val="16"/>
      <w:szCs w:val="16"/>
      <w:lang w:val="en-US" w:eastAsia="en-US" w:bidi="ar-SA"/>
    </w:rPr>
  </w:style>
  <w:style w:type="paragraph" w:customStyle="1" w:styleId="ConfirmNormal">
    <w:name w:val="Confirm Normal"/>
    <w:basedOn w:val="Normal"/>
    <w:rsid w:val="00D40FB6"/>
    <w:pPr>
      <w:spacing w:after="240"/>
      <w:jc w:val="both"/>
    </w:pPr>
    <w:rPr>
      <w:sz w:val="20"/>
      <w:szCs w:val="20"/>
    </w:rPr>
  </w:style>
  <w:style w:type="paragraph" w:customStyle="1" w:styleId="ConfirmArticle">
    <w:name w:val="Confirm Article"/>
    <w:basedOn w:val="Normal"/>
    <w:rsid w:val="00D40FB6"/>
    <w:pPr>
      <w:keepNext/>
      <w:spacing w:after="240"/>
      <w:jc w:val="center"/>
      <w:outlineLvl w:val="0"/>
    </w:pPr>
    <w:rPr>
      <w:b/>
      <w:bCs/>
      <w:caps/>
      <w:sz w:val="20"/>
      <w:szCs w:val="20"/>
    </w:rPr>
  </w:style>
  <w:style w:type="paragraph" w:customStyle="1" w:styleId="ConfirmTitle">
    <w:name w:val="Confirm Title"/>
    <w:basedOn w:val="Normal"/>
    <w:rsid w:val="008D5EE3"/>
    <w:pPr>
      <w:keepNext/>
      <w:spacing w:after="240"/>
      <w:jc w:val="center"/>
      <w:outlineLvl w:val="0"/>
    </w:pPr>
    <w:rPr>
      <w:b/>
      <w:bCs/>
      <w:caps/>
      <w:sz w:val="20"/>
      <w:szCs w:val="20"/>
    </w:rPr>
  </w:style>
  <w:style w:type="character" w:customStyle="1" w:styleId="FootnoteTextChar">
    <w:name w:val="Footnote Text Char"/>
    <w:aliases w:val="Car Char"/>
    <w:link w:val="FootnoteText"/>
    <w:rsid w:val="00B13995"/>
    <w:rPr>
      <w:rFonts w:ascii="Arial" w:hAnsi="Arial" w:cs="Arial"/>
    </w:rPr>
  </w:style>
  <w:style w:type="character" w:customStyle="1" w:styleId="DeltaViewInsertion">
    <w:name w:val="DeltaView Insertion"/>
    <w:uiPriority w:val="99"/>
    <w:rsid w:val="00B13995"/>
    <w:rPr>
      <w:color w:val="000000"/>
      <w:spacing w:val="0"/>
      <w:u w:val="double"/>
    </w:rPr>
  </w:style>
  <w:style w:type="paragraph" w:styleId="MacroText">
    <w:name w:val="macro"/>
    <w:link w:val="MacroTextChar"/>
    <w:rsid w:val="00B139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link w:val="MacroText"/>
    <w:rsid w:val="00B13995"/>
    <w:rPr>
      <w:rFonts w:ascii="Courier New" w:hAnsi="Courier New"/>
      <w:lang w:val="en-US" w:eastAsia="en-US" w:bidi="ar-SA"/>
    </w:rPr>
  </w:style>
  <w:style w:type="character" w:customStyle="1" w:styleId="ParaNum">
    <w:name w:val="ParaNum"/>
    <w:uiPriority w:val="99"/>
    <w:rsid w:val="00B13995"/>
    <w:rPr>
      <w:b w:val="0"/>
      <w:i w:val="0"/>
      <w:vanish w:val="0"/>
      <w:u w:val="none"/>
    </w:rPr>
  </w:style>
  <w:style w:type="paragraph" w:customStyle="1" w:styleId="coverbody">
    <w:name w:val="coverbody"/>
    <w:basedOn w:val="Normal"/>
    <w:rsid w:val="00B13995"/>
    <w:pPr>
      <w:spacing w:after="200"/>
      <w:jc w:val="both"/>
    </w:pPr>
    <w:rPr>
      <w:rFonts w:ascii="Times New Roman" w:hAnsi="Times New Roman" w:cs="Times New Roman"/>
      <w:sz w:val="20"/>
      <w:szCs w:val="20"/>
    </w:rPr>
  </w:style>
  <w:style w:type="paragraph" w:styleId="TOC1">
    <w:name w:val="toc 1"/>
    <w:basedOn w:val="Normal"/>
    <w:next w:val="Normal"/>
    <w:autoRedefine/>
    <w:rsid w:val="001239E0"/>
    <w:pPr>
      <w:autoSpaceDE w:val="0"/>
      <w:autoSpaceDN w:val="0"/>
      <w:adjustRightInd w:val="0"/>
    </w:pPr>
    <w:rPr>
      <w:szCs w:val="22"/>
    </w:rPr>
  </w:style>
  <w:style w:type="character" w:customStyle="1" w:styleId="BodyTextIndentChar">
    <w:name w:val="Body Text Indent Char"/>
    <w:basedOn w:val="DefaultParagraphFont"/>
    <w:link w:val="BodyTextIndent"/>
    <w:rsid w:val="004146F6"/>
    <w:rPr>
      <w:rFonts w:ascii="Arial" w:hAnsi="Arial" w:cs="Arial"/>
      <w:sz w:val="22"/>
      <w:szCs w:val="22"/>
    </w:rPr>
  </w:style>
  <w:style w:type="character" w:customStyle="1" w:styleId="BodyText2Char">
    <w:name w:val="Body Text 2 Char"/>
    <w:aliases w:val="bti Char"/>
    <w:basedOn w:val="DefaultParagraphFont"/>
    <w:link w:val="BodyText2"/>
    <w:rsid w:val="004146F6"/>
    <w:rPr>
      <w:rFonts w:ascii="Arial" w:hAnsi="Arial" w:cs="Arial"/>
      <w:b/>
      <w:bCs/>
      <w:sz w:val="22"/>
      <w:szCs w:val="24"/>
    </w:rPr>
  </w:style>
  <w:style w:type="paragraph" w:customStyle="1" w:styleId="ConfirmSignatureBold">
    <w:name w:val="Confirm Signature Bold"/>
    <w:basedOn w:val="Normal"/>
    <w:rsid w:val="002B3CE8"/>
    <w:pPr>
      <w:autoSpaceDE w:val="0"/>
      <w:autoSpaceDN w:val="0"/>
      <w:adjustRightInd w:val="0"/>
    </w:pPr>
    <w:rPr>
      <w:b/>
      <w:bCs/>
      <w:sz w:val="20"/>
      <w:szCs w:val="20"/>
    </w:rPr>
  </w:style>
  <w:style w:type="character" w:customStyle="1" w:styleId="HeaderChar">
    <w:name w:val="Header Char"/>
    <w:basedOn w:val="DefaultParagraphFont"/>
    <w:link w:val="Header"/>
    <w:uiPriority w:val="99"/>
    <w:rsid w:val="003C2AD9"/>
    <w:rPr>
      <w:rFonts w:ascii="Arial" w:hAnsi="Arial" w:cs="Arial"/>
      <w:sz w:val="22"/>
      <w:szCs w:val="24"/>
    </w:rPr>
  </w:style>
  <w:style w:type="paragraph" w:styleId="ListParagraph">
    <w:name w:val="List Paragraph"/>
    <w:basedOn w:val="Normal"/>
    <w:uiPriority w:val="34"/>
    <w:qFormat/>
    <w:rsid w:val="003C2AD9"/>
    <w:pPr>
      <w:ind w:left="720"/>
      <w:contextualSpacing/>
    </w:pPr>
  </w:style>
  <w:style w:type="character" w:customStyle="1" w:styleId="ConfirmSignatureLineChar">
    <w:name w:val="Confirm Signature Line Char"/>
    <w:rsid w:val="006801F1"/>
    <w:rPr>
      <w:rFonts w:ascii="Arial" w:hAnsi="Arial" w:cs="Arial"/>
      <w:spacing w:val="0"/>
      <w:u w:val="single"/>
      <w:lang w:val="en-US"/>
    </w:rPr>
  </w:style>
  <w:style w:type="paragraph" w:styleId="Revision">
    <w:name w:val="Revision"/>
    <w:hidden/>
    <w:uiPriority w:val="99"/>
    <w:semiHidden/>
    <w:rsid w:val="00D11A9A"/>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591369">
      <w:bodyDiv w:val="1"/>
      <w:marLeft w:val="0"/>
      <w:marRight w:val="0"/>
      <w:marTop w:val="0"/>
      <w:marBottom w:val="0"/>
      <w:divBdr>
        <w:top w:val="none" w:sz="0" w:space="0" w:color="auto"/>
        <w:left w:val="none" w:sz="0" w:space="0" w:color="auto"/>
        <w:bottom w:val="none" w:sz="0" w:space="0" w:color="auto"/>
        <w:right w:val="none" w:sz="0" w:space="0" w:color="auto"/>
      </w:divBdr>
    </w:div>
    <w:div w:id="1371109636">
      <w:bodyDiv w:val="1"/>
      <w:marLeft w:val="0"/>
      <w:marRight w:val="0"/>
      <w:marTop w:val="0"/>
      <w:marBottom w:val="0"/>
      <w:divBdr>
        <w:top w:val="none" w:sz="0" w:space="0" w:color="auto"/>
        <w:left w:val="none" w:sz="0" w:space="0" w:color="auto"/>
        <w:bottom w:val="none" w:sz="0" w:space="0" w:color="auto"/>
        <w:right w:val="none" w:sz="0" w:space="0" w:color="auto"/>
      </w:divBdr>
    </w:div>
    <w:div w:id="163972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5F463-BB23-433F-9A24-B1AD31DEB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20</Pages>
  <Words>6467</Words>
  <Characters>36866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Confirmation – Resource Adequacy Capacity Product for CAISO Resources</vt:lpstr>
    </vt:vector>
  </TitlesOfParts>
  <Company>Hewlett-Packard Company</Company>
  <LinksUpToDate>false</LinksUpToDate>
  <CharactersWithSpaces>43247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Confirmation – Resource Adequacy Capacity Product for CAISO Resources</dc:title>
  <dc:creator>SDGE</dc:creator>
  <cp:lastModifiedBy>tcsaile</cp:lastModifiedBy>
  <cp:revision>9</cp:revision>
  <cp:lastPrinted>2012-08-17T21:01:00Z</cp:lastPrinted>
  <dcterms:created xsi:type="dcterms:W3CDTF">2012-08-17T06:51:00Z</dcterms:created>
  <dcterms:modified xsi:type="dcterms:W3CDTF">2012-08-17T21:02:00Z</dcterms:modified>
</cp:coreProperties>
</file>